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B4" w:rsidRPr="00FF7FF0" w:rsidRDefault="00D048B4" w:rsidP="00FF7FF0">
      <w:pPr>
        <w:jc w:val="center"/>
        <w:rPr>
          <w:b/>
          <w:sz w:val="28"/>
          <w:szCs w:val="28"/>
        </w:rPr>
      </w:pPr>
      <w:r w:rsidRPr="00FF7FF0">
        <w:rPr>
          <w:b/>
          <w:sz w:val="28"/>
          <w:szCs w:val="28"/>
        </w:rPr>
        <w:t xml:space="preserve">Surveys for Urban Equity dataset </w:t>
      </w:r>
      <w:r w:rsidR="00072D1C" w:rsidRPr="00FF7FF0">
        <w:rPr>
          <w:b/>
          <w:sz w:val="28"/>
          <w:szCs w:val="28"/>
        </w:rPr>
        <w:t xml:space="preserve">brief </w:t>
      </w:r>
      <w:r w:rsidR="00FF7FF0" w:rsidRPr="00FF7FF0">
        <w:rPr>
          <w:b/>
          <w:sz w:val="28"/>
          <w:szCs w:val="28"/>
        </w:rPr>
        <w:t xml:space="preserve">file </w:t>
      </w:r>
      <w:r w:rsidRPr="00FF7FF0">
        <w:rPr>
          <w:b/>
          <w:sz w:val="28"/>
          <w:szCs w:val="28"/>
        </w:rPr>
        <w:t>descriptions</w:t>
      </w:r>
      <w:r w:rsidR="007A5D1E">
        <w:rPr>
          <w:b/>
          <w:sz w:val="28"/>
          <w:szCs w:val="28"/>
        </w:rPr>
        <w:t xml:space="preserve"> and additional relevant information</w:t>
      </w:r>
    </w:p>
    <w:p w:rsidR="00D048B4" w:rsidRDefault="00D048B4" w:rsidP="00D048B4"/>
    <w:p w:rsidR="00FF7FF0" w:rsidRDefault="00FF7FF0" w:rsidP="00D048B4"/>
    <w:p w:rsidR="00FF7FF0" w:rsidRPr="00FF7FF0" w:rsidRDefault="00FF7FF0" w:rsidP="00D048B4">
      <w:pPr>
        <w:rPr>
          <w:b/>
        </w:rPr>
      </w:pPr>
      <w:r>
        <w:rPr>
          <w:b/>
        </w:rPr>
        <w:t>Methods</w:t>
      </w:r>
      <w:r w:rsidR="00551F87">
        <w:rPr>
          <w:b/>
        </w:rPr>
        <w:t xml:space="preserve"> and background</w:t>
      </w:r>
    </w:p>
    <w:p w:rsidR="00FF7FF0" w:rsidRDefault="00FF7FF0" w:rsidP="00D048B4"/>
    <w:p w:rsidR="008B2D9E" w:rsidRDefault="008B2D9E" w:rsidP="00D048B4">
      <w:r>
        <w:t xml:space="preserve">Please see the (open access) project protocol paper for a full description of the </w:t>
      </w:r>
      <w:r w:rsidR="00551F87">
        <w:t xml:space="preserve">project background and the </w:t>
      </w:r>
      <w:r>
        <w:t>methods used in the surveys that generated these datasets (</w:t>
      </w:r>
      <w:r w:rsidRPr="008B2D9E">
        <w:t>Elsey H, Poudel AN, Ensor T, et al</w:t>
      </w:r>
      <w:r w:rsidR="00551F87">
        <w:t>.</w:t>
      </w:r>
      <w:bookmarkStart w:id="0" w:name="_GoBack"/>
      <w:bookmarkEnd w:id="0"/>
      <w:r w:rsidR="00551F87">
        <w:t xml:space="preserve"> </w:t>
      </w:r>
      <w:r w:rsidRPr="008B2D9E">
        <w:t>Improving household surveys and use of data to address health inequities in three Asian cities: protocol for the Surveys for Urban Equity (SUE) mixed methods and feasibility study</w:t>
      </w:r>
      <w:r w:rsidR="00551F87">
        <w:t xml:space="preserve">. </w:t>
      </w:r>
      <w:r w:rsidRPr="008B2D9E">
        <w:t>BMJ Open 2018;8:e024182. doi: 10.1136/bmjopen-2018-024182</w:t>
      </w:r>
      <w:r>
        <w:t xml:space="preserve">). Note that in the protocol paper we refer to the “Sample area observation form” but the relevant files are </w:t>
      </w:r>
      <w:r w:rsidR="00FF7FF0">
        <w:t>use the term “PSU observation form” to save space.</w:t>
      </w:r>
    </w:p>
    <w:p w:rsidR="008B2D9E" w:rsidRDefault="008B2D9E" w:rsidP="00D048B4"/>
    <w:p w:rsidR="00FF7FF0" w:rsidRDefault="00FF7FF0" w:rsidP="00D048B4"/>
    <w:p w:rsidR="00FF7FF0" w:rsidRPr="00FF7FF0" w:rsidRDefault="001E0E3E" w:rsidP="00D048B4">
      <w:pPr>
        <w:rPr>
          <w:b/>
        </w:rPr>
      </w:pPr>
      <w:r>
        <w:rPr>
          <w:b/>
        </w:rPr>
        <w:t>Quantitative d</w:t>
      </w:r>
      <w:r w:rsidR="00FF7FF0">
        <w:rPr>
          <w:b/>
        </w:rPr>
        <w:t>ata</w:t>
      </w:r>
      <w:r w:rsidR="00713F2B">
        <w:rPr>
          <w:b/>
        </w:rPr>
        <w:t xml:space="preserve"> format note</w:t>
      </w:r>
    </w:p>
    <w:p w:rsidR="00FF7FF0" w:rsidRDefault="00FF7FF0" w:rsidP="00D048B4"/>
    <w:p w:rsidR="00FF7FF0" w:rsidRPr="00713F2B" w:rsidRDefault="00FF7FF0" w:rsidP="00FF7FF0">
      <w:r w:rsidRPr="00713F2B">
        <w:t>Note that all quantitative datasets are stored as SPSS .por files</w:t>
      </w:r>
      <w:r w:rsidR="00713F2B">
        <w:t xml:space="preserve"> as per UK Data Service recommendations. T</w:t>
      </w:r>
      <w:r w:rsidRPr="00713F2B">
        <w:t xml:space="preserve">hese can be read, edited and converted to other formats for free via the open source statistical software </w:t>
      </w:r>
      <w:r w:rsidRPr="00713F2B">
        <w:rPr>
          <w:i/>
        </w:rPr>
        <w:t>R</w:t>
      </w:r>
      <w:r w:rsidRPr="00713F2B">
        <w:t xml:space="preserve"> (</w:t>
      </w:r>
      <w:hyperlink r:id="rId5" w:history="1">
        <w:r w:rsidRPr="00713F2B">
          <w:rPr>
            <w:rStyle w:val="Hyperlink"/>
            <w:color w:val="auto"/>
          </w:rPr>
          <w:t>https://cran.r-project.org/</w:t>
        </w:r>
      </w:hyperlink>
      <w:r w:rsidRPr="00713F2B">
        <w:t xml:space="preserve">) using the </w:t>
      </w:r>
      <w:r w:rsidRPr="00713F2B">
        <w:rPr>
          <w:i/>
        </w:rPr>
        <w:t>haven</w:t>
      </w:r>
      <w:r w:rsidRPr="00713F2B">
        <w:t xml:space="preserve"> package. At the </w:t>
      </w:r>
      <w:r w:rsidRPr="00713F2B">
        <w:rPr>
          <w:i/>
        </w:rPr>
        <w:t>R</w:t>
      </w:r>
      <w:r w:rsidRPr="00713F2B">
        <w:t xml:space="preserve"> command line type: </w:t>
      </w:r>
    </w:p>
    <w:p w:rsidR="00FF7FF0" w:rsidRPr="00713F2B" w:rsidRDefault="00FF7FF0" w:rsidP="00FF7FF0"/>
    <w:p w:rsidR="00FF7FF0" w:rsidRPr="00713F2B" w:rsidRDefault="00FF7FF0" w:rsidP="00FF7FF0">
      <w:r w:rsidRPr="00713F2B">
        <w:t>install.packages(“haven”)</w:t>
      </w:r>
    </w:p>
    <w:p w:rsidR="00FF7FF0" w:rsidRPr="00713F2B" w:rsidRDefault="00FF7FF0" w:rsidP="00FF7FF0"/>
    <w:p w:rsidR="00FF7FF0" w:rsidRPr="00713F2B" w:rsidRDefault="00FF7FF0" w:rsidP="00FF7FF0">
      <w:r w:rsidRPr="00713F2B">
        <w:t xml:space="preserve">Then see the </w:t>
      </w:r>
      <w:r w:rsidRPr="00713F2B">
        <w:rPr>
          <w:i/>
        </w:rPr>
        <w:t>haven</w:t>
      </w:r>
      <w:r w:rsidRPr="00713F2B">
        <w:t xml:space="preserve"> package help file by typing ?haven</w:t>
      </w:r>
    </w:p>
    <w:p w:rsidR="00FF7FF0" w:rsidRDefault="00FF7FF0" w:rsidP="009711B7"/>
    <w:p w:rsidR="001E0E3E" w:rsidRDefault="001E0E3E" w:rsidP="009711B7">
      <w:pPr>
        <w:rPr>
          <w:b/>
        </w:rPr>
      </w:pPr>
    </w:p>
    <w:p w:rsidR="00713F2B" w:rsidRPr="001E0E3E" w:rsidRDefault="001E0E3E" w:rsidP="009711B7">
      <w:pPr>
        <w:rPr>
          <w:b/>
        </w:rPr>
      </w:pPr>
      <w:r w:rsidRPr="001E0E3E">
        <w:rPr>
          <w:b/>
        </w:rPr>
        <w:t>Data access note</w:t>
      </w:r>
    </w:p>
    <w:p w:rsidR="001E0E3E" w:rsidRDefault="001E0E3E" w:rsidP="009711B7"/>
    <w:p w:rsidR="001E0E3E" w:rsidRDefault="001E0E3E" w:rsidP="009711B7">
      <w:r>
        <w:t xml:space="preserve">All datasets are available with unrestricted access under a Creative Commons </w:t>
      </w:r>
      <w:r w:rsidRPr="001E0E3E">
        <w:t>Attribution 4.0 International (CC BY 4.0)</w:t>
      </w:r>
      <w:r>
        <w:t xml:space="preserve"> licence, except for the PSU geographical coordinate datasets, which are considered sensitive due to identifying survey communities. However, they are potentially available if a request is considered appropriate. Requests for this data can be made at </w:t>
      </w:r>
      <w:hyperlink r:id="rId6" w:history="1">
        <w:r>
          <w:rPr>
            <w:rStyle w:val="Hyperlink"/>
          </w:rPr>
          <w:t>https://radar.researchdata.leeds.ac.uk/</w:t>
        </w:r>
      </w:hyperlink>
      <w:r>
        <w:t>.</w:t>
      </w:r>
    </w:p>
    <w:p w:rsidR="001E0E3E" w:rsidRDefault="001E0E3E" w:rsidP="009711B7"/>
    <w:p w:rsidR="001E0E3E" w:rsidRPr="001E0E3E" w:rsidRDefault="001E0E3E" w:rsidP="009711B7"/>
    <w:p w:rsidR="00713F2B" w:rsidRDefault="00713F2B" w:rsidP="009711B7">
      <w:pPr>
        <w:rPr>
          <w:b/>
        </w:rPr>
      </w:pPr>
      <w:r>
        <w:rPr>
          <w:b/>
        </w:rPr>
        <w:t>Datasets and documentation files</w:t>
      </w:r>
    </w:p>
    <w:p w:rsidR="00713F2B" w:rsidRDefault="00713F2B" w:rsidP="009711B7"/>
    <w:p w:rsidR="00713F2B" w:rsidRDefault="00713F2B" w:rsidP="00713F2B">
      <w:r>
        <w:t>The following datasets and documentation files are available for each city survey, ordered by their numbering:</w:t>
      </w:r>
    </w:p>
    <w:p w:rsidR="00713F2B" w:rsidRDefault="00713F2B" w:rsidP="009711B7"/>
    <w:p w:rsidR="00713F2B" w:rsidRDefault="00713F2B" w:rsidP="00713F2B">
      <w:pPr>
        <w:pBdr>
          <w:top w:val="single" w:sz="4" w:space="1" w:color="auto"/>
        </w:pBdr>
      </w:pPr>
    </w:p>
    <w:p w:rsidR="00713F2B" w:rsidRPr="00713F2B" w:rsidRDefault="00713F2B" w:rsidP="00713F2B">
      <w:pPr>
        <w:rPr>
          <w:b/>
        </w:rPr>
      </w:pPr>
      <w:r w:rsidRPr="00713F2B">
        <w:rPr>
          <w:b/>
        </w:rPr>
        <w:t>1.1 - Dhaka household.por</w:t>
      </w:r>
    </w:p>
    <w:p w:rsidR="00713F2B" w:rsidRPr="00713F2B" w:rsidRDefault="00713F2B" w:rsidP="00713F2B">
      <w:pPr>
        <w:rPr>
          <w:b/>
        </w:rPr>
      </w:pPr>
      <w:r w:rsidRPr="00713F2B">
        <w:rPr>
          <w:b/>
        </w:rPr>
        <w:t>1.2 - Hanoi household.por</w:t>
      </w:r>
    </w:p>
    <w:p w:rsidR="00D048B4" w:rsidRDefault="00713F2B" w:rsidP="00713F2B">
      <w:pPr>
        <w:rPr>
          <w:b/>
        </w:rPr>
      </w:pPr>
      <w:r w:rsidRPr="00713F2B">
        <w:rPr>
          <w:b/>
        </w:rPr>
        <w:t>1.3 - Kathmandu household.por</w:t>
      </w:r>
    </w:p>
    <w:p w:rsidR="00713F2B" w:rsidRPr="00713F2B" w:rsidRDefault="00713F2B" w:rsidP="00713F2B">
      <w:pPr>
        <w:rPr>
          <w:b/>
        </w:rPr>
      </w:pPr>
      <w:r w:rsidRPr="00713F2B">
        <w:rPr>
          <w:b/>
        </w:rPr>
        <w:t>2.1 - Dhaka individual.por</w:t>
      </w:r>
    </w:p>
    <w:p w:rsidR="00713F2B" w:rsidRPr="00713F2B" w:rsidRDefault="00713F2B" w:rsidP="00713F2B">
      <w:pPr>
        <w:rPr>
          <w:b/>
        </w:rPr>
      </w:pPr>
      <w:r w:rsidRPr="00713F2B">
        <w:rPr>
          <w:b/>
        </w:rPr>
        <w:t>2.2 - Hanoi individual.por</w:t>
      </w:r>
    </w:p>
    <w:p w:rsidR="00713F2B" w:rsidRPr="00713F2B" w:rsidRDefault="00713F2B" w:rsidP="00713F2B">
      <w:pPr>
        <w:rPr>
          <w:b/>
        </w:rPr>
      </w:pPr>
      <w:r w:rsidRPr="00713F2B">
        <w:rPr>
          <w:b/>
        </w:rPr>
        <w:t>2.3 - Kathmandu individual.por</w:t>
      </w:r>
    </w:p>
    <w:p w:rsidR="00713F2B" w:rsidRDefault="00713F2B" w:rsidP="00D048B4"/>
    <w:p w:rsidR="00072D1C" w:rsidRPr="00072D1C" w:rsidRDefault="009711B7" w:rsidP="00FF7FF0">
      <w:r>
        <w:t xml:space="preserve">Household and individual </w:t>
      </w:r>
      <w:r w:rsidR="001C2515">
        <w:t>questionnaire</w:t>
      </w:r>
      <w:r>
        <w:t xml:space="preserve"> datasets respectively. File names: “CITY_NAME household.por” and “CITY_NAME individual.por”. These SPSS Portable File Format files contain the responses to the household and individ</w:t>
      </w:r>
      <w:r w:rsidR="001C2515">
        <w:t>ual survey questionnaires</w:t>
      </w:r>
      <w:r>
        <w:t xml:space="preserve"> as separate files for each city survey. The survey sample sizes and re</w:t>
      </w:r>
      <w:r w:rsidR="001C2515">
        <w:t>sponses rates are listed below.</w:t>
      </w:r>
    </w:p>
    <w:p w:rsidR="009711B7" w:rsidRDefault="009711B7" w:rsidP="009711B7"/>
    <w:p w:rsidR="009711B7" w:rsidRDefault="009711B7" w:rsidP="009711B7">
      <w:r>
        <w:t>2018 Dhaka household survey sample size = 387, response rate = 98.7% (382). Dhaka individual survey sample size = 387, response rate = 98.2% (380).</w:t>
      </w:r>
    </w:p>
    <w:p w:rsidR="009711B7" w:rsidRDefault="009711B7" w:rsidP="009711B7"/>
    <w:p w:rsidR="009711B7" w:rsidRDefault="009711B7" w:rsidP="009711B7">
      <w:r>
        <w:t>2018 Hanoi household survey sample size = 560, response rate = 82.7% (463). Hanoi individual survey sample size = 560, response rate = 80% (448).</w:t>
      </w:r>
    </w:p>
    <w:p w:rsidR="009711B7" w:rsidRDefault="009711B7" w:rsidP="009711B7"/>
    <w:p w:rsidR="009711B7" w:rsidRDefault="009711B7" w:rsidP="009711B7">
      <w:r>
        <w:t>2017-2018 Kathmandu household survey sample size = 1278, response rate = 92.3% (1180). Kathmandu individual survey sample size = 1278, response rate = 92.3% (1180).</w:t>
      </w:r>
    </w:p>
    <w:p w:rsidR="009711B7" w:rsidRDefault="009711B7" w:rsidP="009711B7"/>
    <w:p w:rsidR="00713F2B" w:rsidRDefault="00713F2B" w:rsidP="00713F2B">
      <w:pPr>
        <w:pBdr>
          <w:top w:val="single" w:sz="4" w:space="1" w:color="auto"/>
        </w:pBdr>
      </w:pPr>
    </w:p>
    <w:p w:rsidR="00713F2B" w:rsidRPr="00713F2B" w:rsidRDefault="00713F2B" w:rsidP="00713F2B">
      <w:pPr>
        <w:pBdr>
          <w:top w:val="single" w:sz="4" w:space="1" w:color="auto"/>
        </w:pBdr>
        <w:rPr>
          <w:b/>
        </w:rPr>
      </w:pPr>
      <w:r w:rsidRPr="00713F2B">
        <w:rPr>
          <w:b/>
        </w:rPr>
        <w:t>3.1 - Dhaka survey questionnaire (English version).docx</w:t>
      </w:r>
    </w:p>
    <w:p w:rsidR="00713F2B" w:rsidRPr="00713F2B" w:rsidRDefault="00713F2B" w:rsidP="00713F2B">
      <w:pPr>
        <w:pBdr>
          <w:top w:val="single" w:sz="4" w:space="1" w:color="auto"/>
        </w:pBdr>
        <w:rPr>
          <w:b/>
        </w:rPr>
      </w:pPr>
      <w:r w:rsidRPr="00713F2B">
        <w:rPr>
          <w:b/>
        </w:rPr>
        <w:t>3.2 - Hanoi survey questionnaire (English version).docx</w:t>
      </w:r>
    </w:p>
    <w:p w:rsidR="00713F2B" w:rsidRPr="00713F2B" w:rsidRDefault="00713F2B" w:rsidP="00713F2B">
      <w:pPr>
        <w:pBdr>
          <w:top w:val="single" w:sz="4" w:space="1" w:color="auto"/>
        </w:pBdr>
        <w:rPr>
          <w:b/>
        </w:rPr>
      </w:pPr>
      <w:r w:rsidRPr="00713F2B">
        <w:rPr>
          <w:b/>
        </w:rPr>
        <w:t>3.3 - Kathmandu survey questionnaire (English version).docx</w:t>
      </w:r>
    </w:p>
    <w:p w:rsidR="00713F2B" w:rsidRDefault="00713F2B" w:rsidP="009711B7"/>
    <w:p w:rsidR="009711B7" w:rsidRDefault="009711B7" w:rsidP="009711B7">
      <w:r>
        <w:t>Household and individual survey questionnaires (combined as one survey tool when used in the field). File names: “CITY_NAME survey questionnaire (English version).docx”. These Word DOCX files contain details about all the questions asked and possible responses in the survey questionnaire in each city survey about households and individuals. The table below gives an overview of the different sections of the two questionnaires (household and individual).</w:t>
      </w:r>
    </w:p>
    <w:p w:rsidR="009711B7" w:rsidRDefault="009711B7" w:rsidP="009711B7"/>
    <w:tbl>
      <w:tblPr>
        <w:tblStyle w:val="TableGrid"/>
        <w:tblW w:w="5000" w:type="pct"/>
        <w:tblLook w:val="04A0" w:firstRow="1" w:lastRow="0" w:firstColumn="1" w:lastColumn="0" w:noHBand="0" w:noVBand="1"/>
      </w:tblPr>
      <w:tblGrid>
        <w:gridCol w:w="1171"/>
        <w:gridCol w:w="1732"/>
        <w:gridCol w:w="2055"/>
        <w:gridCol w:w="4058"/>
      </w:tblGrid>
      <w:tr w:rsidR="009711B7" w:rsidRPr="00633F51" w:rsidTr="008344D4">
        <w:tc>
          <w:tcPr>
            <w:tcW w:w="659" w:type="pct"/>
          </w:tcPr>
          <w:p w:rsidR="009711B7" w:rsidRPr="00633F51" w:rsidRDefault="009711B7" w:rsidP="008344D4">
            <w:pPr>
              <w:rPr>
                <w:rFonts w:cstheme="minorHAnsi"/>
                <w:b/>
                <w:szCs w:val="20"/>
              </w:rPr>
            </w:pPr>
            <w:bookmarkStart w:id="1" w:name="_Hlk495675042"/>
            <w:r w:rsidRPr="00633F51">
              <w:rPr>
                <w:rFonts w:cstheme="minorHAnsi"/>
                <w:b/>
                <w:szCs w:val="20"/>
              </w:rPr>
              <w:t xml:space="preserve">Section </w:t>
            </w:r>
          </w:p>
        </w:tc>
        <w:tc>
          <w:tcPr>
            <w:tcW w:w="1090" w:type="pct"/>
          </w:tcPr>
          <w:p w:rsidR="009711B7" w:rsidRPr="00633F51" w:rsidRDefault="009711B7" w:rsidP="008344D4">
            <w:pPr>
              <w:ind w:left="360" w:hanging="360"/>
              <w:rPr>
                <w:rFonts w:cstheme="minorHAnsi"/>
                <w:b/>
                <w:szCs w:val="20"/>
              </w:rPr>
            </w:pPr>
            <w:r w:rsidRPr="00633F51">
              <w:rPr>
                <w:rFonts w:cstheme="minorHAnsi"/>
                <w:b/>
                <w:szCs w:val="20"/>
              </w:rPr>
              <w:t>Respondent</w:t>
            </w:r>
          </w:p>
        </w:tc>
        <w:tc>
          <w:tcPr>
            <w:tcW w:w="931" w:type="pct"/>
          </w:tcPr>
          <w:p w:rsidR="009711B7" w:rsidRPr="00633F51" w:rsidRDefault="009711B7" w:rsidP="008344D4">
            <w:pPr>
              <w:jc w:val="both"/>
              <w:rPr>
                <w:rFonts w:cstheme="minorHAnsi"/>
                <w:b/>
                <w:szCs w:val="20"/>
              </w:rPr>
            </w:pPr>
            <w:r w:rsidRPr="00633F51">
              <w:rPr>
                <w:rFonts w:cstheme="minorHAnsi"/>
                <w:b/>
                <w:szCs w:val="20"/>
              </w:rPr>
              <w:t>Information about</w:t>
            </w:r>
          </w:p>
        </w:tc>
        <w:tc>
          <w:tcPr>
            <w:tcW w:w="2320" w:type="pct"/>
          </w:tcPr>
          <w:p w:rsidR="009711B7" w:rsidRPr="00633F51" w:rsidRDefault="009711B7" w:rsidP="008344D4">
            <w:pPr>
              <w:jc w:val="both"/>
              <w:rPr>
                <w:rFonts w:cstheme="minorHAnsi"/>
                <w:b/>
                <w:szCs w:val="20"/>
              </w:rPr>
            </w:pPr>
            <w:r w:rsidRPr="00633F51">
              <w:rPr>
                <w:rFonts w:cstheme="minorHAnsi"/>
                <w:b/>
                <w:szCs w:val="20"/>
              </w:rPr>
              <w:t>Purpose of questions</w:t>
            </w:r>
          </w:p>
        </w:tc>
      </w:tr>
      <w:tr w:rsidR="009711B7" w:rsidRPr="00633F51" w:rsidTr="008344D4">
        <w:tc>
          <w:tcPr>
            <w:tcW w:w="5000" w:type="pct"/>
            <w:gridSpan w:val="4"/>
          </w:tcPr>
          <w:p w:rsidR="009711B7" w:rsidRPr="00633F51" w:rsidRDefault="009711B7" w:rsidP="008344D4">
            <w:pPr>
              <w:jc w:val="both"/>
              <w:rPr>
                <w:rFonts w:cstheme="minorHAnsi"/>
                <w:b/>
                <w:szCs w:val="20"/>
              </w:rPr>
            </w:pPr>
            <w:r w:rsidRPr="00633F51">
              <w:rPr>
                <w:rFonts w:cstheme="minorHAnsi"/>
                <w:b/>
                <w:szCs w:val="20"/>
              </w:rPr>
              <w:t>HOUSEHOLD QUESTIONNAIRE</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Cover Page (One Stage and Two Stage Sample)</w:t>
            </w:r>
          </w:p>
        </w:tc>
        <w:tc>
          <w:tcPr>
            <w:tcW w:w="1090" w:type="pct"/>
          </w:tcPr>
          <w:p w:rsidR="009711B7" w:rsidRPr="00633F51" w:rsidRDefault="009711B7" w:rsidP="008344D4">
            <w:pPr>
              <w:rPr>
                <w:rFonts w:cstheme="minorHAnsi"/>
                <w:sz w:val="16"/>
                <w:szCs w:val="16"/>
              </w:rPr>
            </w:pPr>
            <w:r w:rsidRPr="00633F51">
              <w:rPr>
                <w:rFonts w:cstheme="minorHAnsi"/>
                <w:sz w:val="16"/>
                <w:szCs w:val="16"/>
              </w:rPr>
              <w:t>Interviewer observation</w:t>
            </w:r>
          </w:p>
        </w:tc>
        <w:tc>
          <w:tcPr>
            <w:tcW w:w="931" w:type="pct"/>
          </w:tcPr>
          <w:p w:rsidR="009711B7" w:rsidRPr="00633F51" w:rsidRDefault="009711B7" w:rsidP="008344D4">
            <w:pPr>
              <w:ind w:left="29"/>
              <w:rPr>
                <w:rFonts w:cstheme="minorHAnsi"/>
                <w:sz w:val="16"/>
                <w:szCs w:val="16"/>
              </w:rPr>
            </w:pPr>
            <w:r w:rsidRPr="00633F51">
              <w:rPr>
                <w:rFonts w:cstheme="minorHAnsi"/>
                <w:sz w:val="16"/>
                <w:szCs w:val="16"/>
              </w:rPr>
              <w:t>Interview/dwelling/building</w:t>
            </w:r>
          </w:p>
        </w:tc>
        <w:tc>
          <w:tcPr>
            <w:tcW w:w="2320" w:type="pct"/>
          </w:tcPr>
          <w:p w:rsidR="009711B7" w:rsidRPr="00633F51" w:rsidRDefault="009711B7" w:rsidP="008344D4">
            <w:pPr>
              <w:ind w:left="29"/>
              <w:rPr>
                <w:rFonts w:cstheme="minorHAnsi"/>
                <w:sz w:val="16"/>
                <w:szCs w:val="16"/>
              </w:rPr>
            </w:pPr>
            <w:r w:rsidRPr="00633F51">
              <w:rPr>
                <w:rFonts w:cstheme="minorHAnsi"/>
                <w:sz w:val="16"/>
                <w:szCs w:val="16"/>
              </w:rPr>
              <w:t xml:space="preserve">To record the details of the interview and dwelling/building </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1. Household Roster</w:t>
            </w:r>
          </w:p>
        </w:tc>
        <w:tc>
          <w:tcPr>
            <w:tcW w:w="1090" w:type="pct"/>
          </w:tcPr>
          <w:p w:rsidR="009711B7" w:rsidRPr="00633F51" w:rsidRDefault="009711B7" w:rsidP="008344D4">
            <w:pPr>
              <w:rPr>
                <w:rFonts w:cstheme="minorHAnsi"/>
                <w:i/>
                <w:sz w:val="16"/>
                <w:szCs w:val="16"/>
              </w:rPr>
            </w:pPr>
            <w:r w:rsidRPr="00633F51">
              <w:rPr>
                <w:rFonts w:cstheme="minorHAnsi"/>
                <w:sz w:val="16"/>
                <w:szCs w:val="16"/>
              </w:rPr>
              <w:t>Most knowledgeable member of HH  (not necessarily the household head)</w:t>
            </w:r>
          </w:p>
        </w:tc>
        <w:tc>
          <w:tcPr>
            <w:tcW w:w="931" w:type="pct"/>
          </w:tcPr>
          <w:p w:rsidR="009711B7" w:rsidRPr="00633F51" w:rsidRDefault="009711B7" w:rsidP="008344D4">
            <w:pPr>
              <w:ind w:left="29"/>
              <w:rPr>
                <w:rFonts w:cstheme="minorHAnsi"/>
                <w:sz w:val="16"/>
                <w:szCs w:val="16"/>
              </w:rPr>
            </w:pPr>
            <w:r w:rsidRPr="00633F51">
              <w:rPr>
                <w:rFonts w:cstheme="minorHAnsi"/>
                <w:sz w:val="16"/>
                <w:szCs w:val="16"/>
              </w:rPr>
              <w:t>All members of household</w:t>
            </w:r>
          </w:p>
        </w:tc>
        <w:tc>
          <w:tcPr>
            <w:tcW w:w="2320" w:type="pct"/>
          </w:tcPr>
          <w:p w:rsidR="009711B7" w:rsidRPr="00633F51" w:rsidRDefault="009711B7" w:rsidP="008344D4">
            <w:pPr>
              <w:ind w:left="29"/>
              <w:rPr>
                <w:rFonts w:cstheme="minorHAnsi"/>
                <w:sz w:val="16"/>
                <w:szCs w:val="16"/>
              </w:rPr>
            </w:pPr>
            <w:r w:rsidRPr="00633F51">
              <w:rPr>
                <w:rFonts w:cstheme="minorHAnsi"/>
                <w:sz w:val="16"/>
                <w:szCs w:val="16"/>
              </w:rPr>
              <w:t>To identify all household members and their socio-demographic characteristics. Also to identify household members who have had an injury and the type of injury.</w:t>
            </w:r>
          </w:p>
          <w:p w:rsidR="009711B7" w:rsidRPr="00633F51" w:rsidRDefault="009711B7" w:rsidP="008344D4">
            <w:pPr>
              <w:ind w:left="29"/>
              <w:rPr>
                <w:rFonts w:cstheme="minorHAnsi"/>
                <w:sz w:val="16"/>
                <w:szCs w:val="16"/>
              </w:rPr>
            </w:pPr>
            <w:r w:rsidRPr="00633F51">
              <w:rPr>
                <w:rFonts w:cstheme="minorHAnsi"/>
                <w:sz w:val="16"/>
                <w:szCs w:val="16"/>
              </w:rPr>
              <w:t>Section L will need to be filled for ALL those who have had an injury in the last 6 months.</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2. Migration and Social Capital (HH level)</w:t>
            </w:r>
          </w:p>
        </w:tc>
        <w:tc>
          <w:tcPr>
            <w:tcW w:w="1090" w:type="pct"/>
          </w:tcPr>
          <w:p w:rsidR="009711B7" w:rsidRPr="00633F51" w:rsidRDefault="009711B7" w:rsidP="008344D4">
            <w:pPr>
              <w:rPr>
                <w:rFonts w:cstheme="minorHAnsi"/>
                <w:i/>
                <w:sz w:val="16"/>
                <w:szCs w:val="16"/>
              </w:rPr>
            </w:pPr>
            <w:r w:rsidRPr="00633F51">
              <w:rPr>
                <w:rFonts w:cstheme="minorHAnsi"/>
                <w:sz w:val="16"/>
                <w:szCs w:val="16"/>
              </w:rPr>
              <w:t>Most knowledgeable member of HH  (not necessarily the household head)</w:t>
            </w:r>
          </w:p>
        </w:tc>
        <w:tc>
          <w:tcPr>
            <w:tcW w:w="931" w:type="pct"/>
          </w:tcPr>
          <w:p w:rsidR="009711B7" w:rsidRPr="00633F51" w:rsidRDefault="009711B7" w:rsidP="008344D4">
            <w:pPr>
              <w:ind w:left="29"/>
              <w:rPr>
                <w:rFonts w:cstheme="minorHAnsi"/>
                <w:sz w:val="16"/>
                <w:szCs w:val="16"/>
              </w:rPr>
            </w:pPr>
            <w:r w:rsidRPr="00633F51">
              <w:rPr>
                <w:rFonts w:cstheme="minorHAnsi"/>
                <w:sz w:val="16"/>
                <w:szCs w:val="16"/>
              </w:rPr>
              <w:t>Whole household</w:t>
            </w:r>
          </w:p>
        </w:tc>
        <w:tc>
          <w:tcPr>
            <w:tcW w:w="2320" w:type="pct"/>
          </w:tcPr>
          <w:p w:rsidR="009711B7" w:rsidRPr="00633F51" w:rsidRDefault="009711B7" w:rsidP="008344D4">
            <w:pPr>
              <w:ind w:left="29"/>
              <w:rPr>
                <w:rFonts w:cstheme="minorHAnsi"/>
                <w:sz w:val="16"/>
                <w:szCs w:val="16"/>
              </w:rPr>
            </w:pPr>
            <w:r w:rsidRPr="00633F51">
              <w:rPr>
                <w:rFonts w:cstheme="minorHAnsi"/>
                <w:sz w:val="16"/>
                <w:szCs w:val="16"/>
              </w:rPr>
              <w:t xml:space="preserve">To identify the migration pattern of the household and the strength of community feeling from the perspective of HH head. </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3.Household  Characteristics and assets</w:t>
            </w:r>
          </w:p>
        </w:tc>
        <w:tc>
          <w:tcPr>
            <w:tcW w:w="1090" w:type="pct"/>
          </w:tcPr>
          <w:p w:rsidR="009711B7" w:rsidRPr="00633F51" w:rsidRDefault="009711B7" w:rsidP="008344D4">
            <w:pPr>
              <w:rPr>
                <w:rFonts w:cstheme="minorHAnsi"/>
                <w:i/>
                <w:sz w:val="16"/>
                <w:szCs w:val="16"/>
              </w:rPr>
            </w:pPr>
            <w:r w:rsidRPr="00633F51">
              <w:rPr>
                <w:rFonts w:cstheme="minorHAnsi"/>
                <w:sz w:val="16"/>
                <w:szCs w:val="16"/>
              </w:rPr>
              <w:t>Most knowledgeable member of HH  (not necessarily the household head)</w:t>
            </w:r>
          </w:p>
        </w:tc>
        <w:tc>
          <w:tcPr>
            <w:tcW w:w="931" w:type="pct"/>
          </w:tcPr>
          <w:p w:rsidR="009711B7" w:rsidRPr="00633F51" w:rsidRDefault="009711B7" w:rsidP="008344D4">
            <w:pPr>
              <w:rPr>
                <w:rFonts w:cstheme="minorHAnsi"/>
                <w:sz w:val="16"/>
                <w:szCs w:val="16"/>
              </w:rPr>
            </w:pPr>
            <w:r w:rsidRPr="00633F51">
              <w:rPr>
                <w:rFonts w:cstheme="minorHAnsi"/>
                <w:sz w:val="16"/>
                <w:szCs w:val="16"/>
              </w:rPr>
              <w:t>Whole household</w:t>
            </w:r>
          </w:p>
        </w:tc>
        <w:tc>
          <w:tcPr>
            <w:tcW w:w="2320" w:type="pct"/>
          </w:tcPr>
          <w:p w:rsidR="009711B7" w:rsidRPr="00633F51" w:rsidRDefault="009711B7" w:rsidP="008344D4">
            <w:pPr>
              <w:rPr>
                <w:rFonts w:cstheme="minorHAnsi"/>
                <w:sz w:val="16"/>
                <w:szCs w:val="16"/>
              </w:rPr>
            </w:pPr>
            <w:r w:rsidRPr="00633F51">
              <w:rPr>
                <w:rFonts w:cstheme="minorHAnsi"/>
                <w:sz w:val="16"/>
                <w:szCs w:val="16"/>
              </w:rPr>
              <w:t>To identify household assets (belongings and dwelling materials). The answers to these questions are used to categorise the level of wealth /poverty of the household. The results will be compared with the consumption index.</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4. Food expenses and home production</w:t>
            </w:r>
          </w:p>
        </w:tc>
        <w:tc>
          <w:tcPr>
            <w:tcW w:w="1090" w:type="pct"/>
          </w:tcPr>
          <w:p w:rsidR="009711B7" w:rsidRPr="00633F51" w:rsidRDefault="009711B7" w:rsidP="008344D4">
            <w:pPr>
              <w:rPr>
                <w:rFonts w:cstheme="minorHAnsi"/>
                <w:i/>
                <w:sz w:val="16"/>
                <w:szCs w:val="16"/>
              </w:rPr>
            </w:pPr>
            <w:r w:rsidRPr="00633F51">
              <w:rPr>
                <w:rFonts w:cstheme="minorHAnsi"/>
                <w:sz w:val="16"/>
                <w:szCs w:val="16"/>
              </w:rPr>
              <w:t>Most knowledgeable member of HH  (not necessarily the household head)</w:t>
            </w:r>
          </w:p>
        </w:tc>
        <w:tc>
          <w:tcPr>
            <w:tcW w:w="931" w:type="pct"/>
          </w:tcPr>
          <w:p w:rsidR="009711B7" w:rsidRPr="00633F51" w:rsidRDefault="009711B7" w:rsidP="008344D4">
            <w:pPr>
              <w:ind w:left="29"/>
              <w:rPr>
                <w:rFonts w:cstheme="minorHAnsi"/>
                <w:sz w:val="16"/>
                <w:szCs w:val="16"/>
              </w:rPr>
            </w:pPr>
            <w:r w:rsidRPr="00633F51">
              <w:rPr>
                <w:rFonts w:cstheme="minorHAnsi"/>
                <w:sz w:val="16"/>
                <w:szCs w:val="16"/>
              </w:rPr>
              <w:t>Whole household</w:t>
            </w:r>
          </w:p>
        </w:tc>
        <w:tc>
          <w:tcPr>
            <w:tcW w:w="2320" w:type="pct"/>
          </w:tcPr>
          <w:p w:rsidR="009711B7" w:rsidRPr="00633F51" w:rsidRDefault="009711B7" w:rsidP="008344D4">
            <w:pPr>
              <w:ind w:left="29"/>
              <w:rPr>
                <w:rFonts w:cstheme="minorHAnsi"/>
                <w:sz w:val="16"/>
                <w:szCs w:val="16"/>
              </w:rPr>
            </w:pPr>
            <w:r w:rsidRPr="00633F51">
              <w:rPr>
                <w:rFonts w:cstheme="minorHAnsi"/>
                <w:sz w:val="16"/>
                <w:szCs w:val="16"/>
              </w:rPr>
              <w:t>To understand household food consumption. This forms part of a consumption index that will be compared with assets as a way of measuring wealth/poverty</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5. Non-food expenditures</w:t>
            </w:r>
          </w:p>
        </w:tc>
        <w:tc>
          <w:tcPr>
            <w:tcW w:w="1090" w:type="pct"/>
          </w:tcPr>
          <w:p w:rsidR="009711B7" w:rsidRPr="00633F51" w:rsidRDefault="009711B7" w:rsidP="008344D4">
            <w:pPr>
              <w:rPr>
                <w:rFonts w:cstheme="minorHAnsi"/>
                <w:i/>
                <w:sz w:val="16"/>
                <w:szCs w:val="16"/>
              </w:rPr>
            </w:pPr>
            <w:r w:rsidRPr="00633F51">
              <w:rPr>
                <w:rFonts w:cstheme="minorHAnsi"/>
                <w:sz w:val="16"/>
                <w:szCs w:val="16"/>
              </w:rPr>
              <w:t>Most knowledgeable member of HH  (not necessarily the household head)</w:t>
            </w:r>
          </w:p>
        </w:tc>
        <w:tc>
          <w:tcPr>
            <w:tcW w:w="931" w:type="pct"/>
          </w:tcPr>
          <w:p w:rsidR="009711B7" w:rsidRPr="00633F51" w:rsidRDefault="009711B7" w:rsidP="008344D4">
            <w:pPr>
              <w:ind w:left="29"/>
              <w:rPr>
                <w:rFonts w:cstheme="minorHAnsi"/>
                <w:sz w:val="16"/>
                <w:szCs w:val="16"/>
              </w:rPr>
            </w:pPr>
            <w:r w:rsidRPr="00633F51">
              <w:rPr>
                <w:rFonts w:cstheme="minorHAnsi"/>
                <w:sz w:val="16"/>
                <w:szCs w:val="16"/>
              </w:rPr>
              <w:t>Whole household</w:t>
            </w:r>
          </w:p>
        </w:tc>
        <w:tc>
          <w:tcPr>
            <w:tcW w:w="2320" w:type="pct"/>
          </w:tcPr>
          <w:p w:rsidR="009711B7" w:rsidRPr="00633F51" w:rsidRDefault="009711B7" w:rsidP="008344D4">
            <w:pPr>
              <w:ind w:left="29"/>
              <w:rPr>
                <w:rFonts w:cstheme="minorHAnsi"/>
                <w:sz w:val="16"/>
                <w:szCs w:val="16"/>
              </w:rPr>
            </w:pPr>
            <w:r w:rsidRPr="00633F51">
              <w:rPr>
                <w:rFonts w:cstheme="minorHAnsi"/>
                <w:sz w:val="16"/>
                <w:szCs w:val="16"/>
              </w:rPr>
              <w:t>To understand household consumption of non-food items. This forms part of a consumption index that will be compared with assets as a way of measuring wealth/poverty</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6. Non-food expenditures- inventory of durable goods</w:t>
            </w:r>
          </w:p>
        </w:tc>
        <w:tc>
          <w:tcPr>
            <w:tcW w:w="1090" w:type="pct"/>
          </w:tcPr>
          <w:p w:rsidR="009711B7" w:rsidRPr="00633F51" w:rsidRDefault="009711B7" w:rsidP="008344D4">
            <w:pPr>
              <w:rPr>
                <w:rFonts w:cstheme="minorHAnsi"/>
                <w:i/>
                <w:sz w:val="16"/>
                <w:szCs w:val="16"/>
              </w:rPr>
            </w:pPr>
            <w:r w:rsidRPr="00633F51">
              <w:rPr>
                <w:rFonts w:cstheme="minorHAnsi"/>
                <w:sz w:val="16"/>
                <w:szCs w:val="16"/>
              </w:rPr>
              <w:t>Most knowledgeable member of HH  (not necessarily the household head)</w:t>
            </w:r>
          </w:p>
        </w:tc>
        <w:tc>
          <w:tcPr>
            <w:tcW w:w="931" w:type="pct"/>
          </w:tcPr>
          <w:p w:rsidR="009711B7" w:rsidRPr="00633F51" w:rsidRDefault="009711B7" w:rsidP="008344D4">
            <w:pPr>
              <w:rPr>
                <w:rFonts w:cstheme="minorHAnsi"/>
                <w:sz w:val="16"/>
                <w:szCs w:val="16"/>
              </w:rPr>
            </w:pPr>
            <w:r w:rsidRPr="00633F51">
              <w:rPr>
                <w:rFonts w:cstheme="minorHAnsi"/>
                <w:sz w:val="16"/>
                <w:szCs w:val="16"/>
              </w:rPr>
              <w:t>Whole household</w:t>
            </w:r>
          </w:p>
        </w:tc>
        <w:tc>
          <w:tcPr>
            <w:tcW w:w="2320" w:type="pct"/>
          </w:tcPr>
          <w:p w:rsidR="009711B7" w:rsidRPr="00633F51" w:rsidRDefault="009711B7" w:rsidP="008344D4">
            <w:pPr>
              <w:ind w:left="29"/>
              <w:rPr>
                <w:rFonts w:cstheme="minorHAnsi"/>
                <w:sz w:val="16"/>
                <w:szCs w:val="16"/>
              </w:rPr>
            </w:pPr>
            <w:r w:rsidRPr="00633F51">
              <w:rPr>
                <w:rFonts w:cstheme="minorHAnsi"/>
                <w:sz w:val="16"/>
                <w:szCs w:val="16"/>
              </w:rPr>
              <w:t>To identify the durable goods within the household. This forms part of a consumption index that will be compared with assets as a way of measuring wealth/poverty</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7. Self-production of goods</w:t>
            </w:r>
          </w:p>
        </w:tc>
        <w:tc>
          <w:tcPr>
            <w:tcW w:w="1090" w:type="pct"/>
          </w:tcPr>
          <w:p w:rsidR="009711B7" w:rsidRPr="00633F51" w:rsidRDefault="009711B7" w:rsidP="008344D4">
            <w:pPr>
              <w:rPr>
                <w:rFonts w:cstheme="minorHAnsi"/>
                <w:i/>
                <w:sz w:val="16"/>
                <w:szCs w:val="16"/>
              </w:rPr>
            </w:pPr>
            <w:r w:rsidRPr="00633F51">
              <w:rPr>
                <w:rFonts w:cstheme="minorHAnsi"/>
                <w:sz w:val="16"/>
                <w:szCs w:val="16"/>
              </w:rPr>
              <w:t>Most knowledgeable member of HH  (not necessarily the household head)</w:t>
            </w:r>
          </w:p>
        </w:tc>
        <w:tc>
          <w:tcPr>
            <w:tcW w:w="931" w:type="pct"/>
          </w:tcPr>
          <w:p w:rsidR="009711B7" w:rsidRPr="00633F51" w:rsidRDefault="009711B7" w:rsidP="008344D4">
            <w:pPr>
              <w:rPr>
                <w:rFonts w:cstheme="minorHAnsi"/>
                <w:sz w:val="16"/>
                <w:szCs w:val="16"/>
              </w:rPr>
            </w:pPr>
            <w:r w:rsidRPr="00633F51">
              <w:rPr>
                <w:rFonts w:cstheme="minorHAnsi"/>
                <w:sz w:val="16"/>
                <w:szCs w:val="16"/>
              </w:rPr>
              <w:t>Whole household</w:t>
            </w:r>
          </w:p>
        </w:tc>
        <w:tc>
          <w:tcPr>
            <w:tcW w:w="2320" w:type="pct"/>
          </w:tcPr>
          <w:p w:rsidR="009711B7" w:rsidRPr="00633F51" w:rsidRDefault="009711B7" w:rsidP="008344D4">
            <w:pPr>
              <w:ind w:left="29"/>
              <w:rPr>
                <w:rFonts w:cstheme="minorHAnsi"/>
                <w:sz w:val="16"/>
                <w:szCs w:val="16"/>
              </w:rPr>
            </w:pPr>
            <w:r w:rsidRPr="00633F51">
              <w:rPr>
                <w:rFonts w:cstheme="minorHAnsi"/>
                <w:sz w:val="16"/>
                <w:szCs w:val="16"/>
              </w:rPr>
              <w:t>To what the household has produced and consumed themselves. This forms part of a consumption index that will be compared with assets as a way of measuring wealth/poverty</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8. Housing expenses</w:t>
            </w:r>
          </w:p>
        </w:tc>
        <w:tc>
          <w:tcPr>
            <w:tcW w:w="1090" w:type="pct"/>
          </w:tcPr>
          <w:p w:rsidR="009711B7" w:rsidRPr="00633F51" w:rsidRDefault="009711B7" w:rsidP="008344D4">
            <w:pPr>
              <w:rPr>
                <w:rFonts w:cstheme="minorHAnsi"/>
                <w:i/>
                <w:sz w:val="16"/>
                <w:szCs w:val="16"/>
              </w:rPr>
            </w:pPr>
            <w:r w:rsidRPr="00633F51">
              <w:rPr>
                <w:rFonts w:cstheme="minorHAnsi"/>
                <w:sz w:val="16"/>
                <w:szCs w:val="16"/>
              </w:rPr>
              <w:t>Most knowledgeable member of HH  (not necessarily the household head)</w:t>
            </w:r>
          </w:p>
        </w:tc>
        <w:tc>
          <w:tcPr>
            <w:tcW w:w="931" w:type="pct"/>
          </w:tcPr>
          <w:p w:rsidR="009711B7" w:rsidRPr="00633F51" w:rsidRDefault="009711B7" w:rsidP="008344D4">
            <w:pPr>
              <w:rPr>
                <w:rFonts w:cstheme="minorHAnsi"/>
                <w:sz w:val="16"/>
                <w:szCs w:val="16"/>
              </w:rPr>
            </w:pPr>
            <w:r w:rsidRPr="00633F51">
              <w:rPr>
                <w:rFonts w:cstheme="minorHAnsi"/>
                <w:sz w:val="16"/>
                <w:szCs w:val="16"/>
              </w:rPr>
              <w:t>Whole household</w:t>
            </w:r>
          </w:p>
        </w:tc>
        <w:tc>
          <w:tcPr>
            <w:tcW w:w="2320" w:type="pct"/>
          </w:tcPr>
          <w:p w:rsidR="009711B7" w:rsidRPr="00633F51" w:rsidRDefault="009711B7" w:rsidP="008344D4">
            <w:pPr>
              <w:ind w:left="29"/>
              <w:rPr>
                <w:rFonts w:cstheme="minorHAnsi"/>
                <w:sz w:val="16"/>
                <w:szCs w:val="16"/>
              </w:rPr>
            </w:pPr>
            <w:r w:rsidRPr="00633F51">
              <w:rPr>
                <w:rFonts w:cstheme="minorHAnsi"/>
                <w:sz w:val="16"/>
                <w:szCs w:val="16"/>
              </w:rPr>
              <w:t>To identify how much the household spends (buy, rent, loans, utilities) on their housing. This forms part of a consumption index that will be compared with assets as a way of measuring wealth/poverty</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9. Market  price</w:t>
            </w:r>
          </w:p>
        </w:tc>
        <w:tc>
          <w:tcPr>
            <w:tcW w:w="1090" w:type="pct"/>
          </w:tcPr>
          <w:p w:rsidR="009711B7" w:rsidRPr="00633F51" w:rsidRDefault="009711B7" w:rsidP="008344D4">
            <w:pPr>
              <w:rPr>
                <w:rFonts w:cstheme="minorHAnsi"/>
                <w:i/>
                <w:sz w:val="16"/>
                <w:szCs w:val="16"/>
              </w:rPr>
            </w:pPr>
            <w:r w:rsidRPr="00633F51">
              <w:rPr>
                <w:rFonts w:cstheme="minorHAnsi"/>
                <w:sz w:val="16"/>
                <w:szCs w:val="16"/>
              </w:rPr>
              <w:t>Most knowledgeable member of HH  (not necessarily the household head)</w:t>
            </w:r>
          </w:p>
        </w:tc>
        <w:tc>
          <w:tcPr>
            <w:tcW w:w="931" w:type="pct"/>
          </w:tcPr>
          <w:p w:rsidR="009711B7" w:rsidRPr="00633F51" w:rsidRDefault="009711B7" w:rsidP="008344D4">
            <w:pPr>
              <w:rPr>
                <w:rFonts w:cstheme="minorHAnsi"/>
                <w:sz w:val="16"/>
                <w:szCs w:val="16"/>
              </w:rPr>
            </w:pPr>
            <w:r w:rsidRPr="00633F51">
              <w:rPr>
                <w:rFonts w:cstheme="minorHAnsi"/>
                <w:sz w:val="16"/>
                <w:szCs w:val="16"/>
              </w:rPr>
              <w:t>Whole household</w:t>
            </w:r>
          </w:p>
        </w:tc>
        <w:tc>
          <w:tcPr>
            <w:tcW w:w="2320" w:type="pct"/>
          </w:tcPr>
          <w:p w:rsidR="009711B7" w:rsidRPr="00633F51" w:rsidRDefault="009711B7" w:rsidP="008344D4">
            <w:pPr>
              <w:rPr>
                <w:rFonts w:cstheme="minorHAnsi"/>
                <w:sz w:val="16"/>
                <w:szCs w:val="16"/>
              </w:rPr>
            </w:pPr>
            <w:r w:rsidRPr="00633F51">
              <w:rPr>
                <w:rFonts w:cstheme="minorHAnsi"/>
                <w:sz w:val="16"/>
                <w:szCs w:val="16"/>
              </w:rPr>
              <w:t>To identify how much foods costs. Again this is part of the consumption index.</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 xml:space="preserve">10. Injury </w:t>
            </w:r>
          </w:p>
        </w:tc>
        <w:tc>
          <w:tcPr>
            <w:tcW w:w="1090" w:type="pct"/>
          </w:tcPr>
          <w:p w:rsidR="009711B7" w:rsidRPr="00633F51" w:rsidRDefault="009711B7" w:rsidP="008344D4">
            <w:pPr>
              <w:rPr>
                <w:rFonts w:cstheme="minorHAnsi"/>
                <w:i/>
                <w:sz w:val="16"/>
                <w:szCs w:val="16"/>
              </w:rPr>
            </w:pPr>
            <w:r w:rsidRPr="00633F51">
              <w:rPr>
                <w:rFonts w:cstheme="minorHAnsi"/>
                <w:sz w:val="16"/>
                <w:szCs w:val="16"/>
              </w:rPr>
              <w:t>Injured person (if suitable) or most knowledge person of HH</w:t>
            </w:r>
          </w:p>
        </w:tc>
        <w:tc>
          <w:tcPr>
            <w:tcW w:w="931" w:type="pct"/>
          </w:tcPr>
          <w:p w:rsidR="009711B7" w:rsidRPr="00633F51" w:rsidRDefault="009711B7" w:rsidP="008344D4">
            <w:pPr>
              <w:rPr>
                <w:rFonts w:cstheme="minorHAnsi"/>
                <w:sz w:val="16"/>
                <w:szCs w:val="16"/>
              </w:rPr>
            </w:pPr>
            <w:r w:rsidRPr="00633F51">
              <w:rPr>
                <w:rFonts w:cstheme="minorHAnsi"/>
                <w:sz w:val="16"/>
                <w:szCs w:val="16"/>
              </w:rPr>
              <w:t>Injured person</w:t>
            </w:r>
          </w:p>
        </w:tc>
        <w:tc>
          <w:tcPr>
            <w:tcW w:w="2320" w:type="pct"/>
          </w:tcPr>
          <w:p w:rsidR="009711B7" w:rsidRPr="00633F51" w:rsidRDefault="009711B7" w:rsidP="008344D4">
            <w:pPr>
              <w:rPr>
                <w:rFonts w:cstheme="minorHAnsi"/>
                <w:sz w:val="16"/>
                <w:szCs w:val="16"/>
              </w:rPr>
            </w:pPr>
            <w:r w:rsidRPr="00633F51">
              <w:rPr>
                <w:rFonts w:cstheme="minorHAnsi"/>
                <w:sz w:val="16"/>
                <w:szCs w:val="16"/>
              </w:rPr>
              <w:t>To understand the how, where and why injuries happen and to identify their impact on individuals and households.</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11. Injury related death</w:t>
            </w:r>
          </w:p>
        </w:tc>
        <w:tc>
          <w:tcPr>
            <w:tcW w:w="1090" w:type="pct"/>
          </w:tcPr>
          <w:p w:rsidR="009711B7" w:rsidRPr="00633F51" w:rsidRDefault="009711B7" w:rsidP="008344D4">
            <w:pPr>
              <w:rPr>
                <w:rFonts w:cstheme="minorHAnsi"/>
                <w:i/>
                <w:sz w:val="16"/>
                <w:szCs w:val="16"/>
              </w:rPr>
            </w:pPr>
            <w:r w:rsidRPr="00633F51">
              <w:rPr>
                <w:rFonts w:cstheme="minorHAnsi"/>
                <w:sz w:val="16"/>
                <w:szCs w:val="16"/>
              </w:rPr>
              <w:t>Most knowledgeable member of HH  (not necessarily the household head)</w:t>
            </w:r>
          </w:p>
        </w:tc>
        <w:tc>
          <w:tcPr>
            <w:tcW w:w="931" w:type="pct"/>
          </w:tcPr>
          <w:p w:rsidR="009711B7" w:rsidRPr="00633F51" w:rsidRDefault="009711B7" w:rsidP="008344D4">
            <w:pPr>
              <w:rPr>
                <w:rFonts w:cstheme="minorHAnsi"/>
                <w:sz w:val="16"/>
                <w:szCs w:val="16"/>
              </w:rPr>
            </w:pPr>
            <w:r w:rsidRPr="00633F51">
              <w:rPr>
                <w:rFonts w:cstheme="minorHAnsi"/>
                <w:sz w:val="16"/>
                <w:szCs w:val="16"/>
              </w:rPr>
              <w:t>Deceased member/s of the household</w:t>
            </w:r>
          </w:p>
        </w:tc>
        <w:tc>
          <w:tcPr>
            <w:tcW w:w="2320" w:type="pct"/>
          </w:tcPr>
          <w:p w:rsidR="009711B7" w:rsidRPr="00633F51" w:rsidRDefault="009711B7" w:rsidP="008344D4">
            <w:pPr>
              <w:rPr>
                <w:rFonts w:cstheme="minorHAnsi"/>
                <w:sz w:val="16"/>
                <w:szCs w:val="16"/>
              </w:rPr>
            </w:pPr>
            <w:r w:rsidRPr="00633F51">
              <w:rPr>
                <w:rFonts w:cstheme="minorHAnsi"/>
                <w:sz w:val="16"/>
                <w:szCs w:val="16"/>
              </w:rPr>
              <w:t xml:space="preserve">To understand the how, where and why fatal injuries happen. </w:t>
            </w:r>
          </w:p>
        </w:tc>
      </w:tr>
      <w:tr w:rsidR="009711B7" w:rsidRPr="00633F51" w:rsidTr="008344D4">
        <w:tc>
          <w:tcPr>
            <w:tcW w:w="5000" w:type="pct"/>
            <w:gridSpan w:val="4"/>
          </w:tcPr>
          <w:p w:rsidR="009711B7" w:rsidRPr="00633F51" w:rsidRDefault="009711B7" w:rsidP="008344D4">
            <w:pPr>
              <w:rPr>
                <w:rFonts w:cstheme="minorHAnsi"/>
                <w:b/>
              </w:rPr>
            </w:pPr>
            <w:r w:rsidRPr="00633F51">
              <w:rPr>
                <w:rFonts w:cstheme="minorHAnsi"/>
                <w:b/>
              </w:rPr>
              <w:t>INDIVIDUAL QUESTIONNAIRE</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lastRenderedPageBreak/>
              <w:t>12. Migration and Social Capital (Individual level)</w:t>
            </w:r>
          </w:p>
        </w:tc>
        <w:tc>
          <w:tcPr>
            <w:tcW w:w="1090" w:type="pct"/>
          </w:tcPr>
          <w:p w:rsidR="009711B7" w:rsidRPr="00633F51" w:rsidRDefault="009711B7" w:rsidP="008344D4">
            <w:pPr>
              <w:rPr>
                <w:rFonts w:cstheme="minorHAnsi"/>
                <w:sz w:val="16"/>
                <w:szCs w:val="16"/>
              </w:rPr>
            </w:pPr>
            <w:r w:rsidRPr="00633F51">
              <w:rPr>
                <w:rFonts w:cstheme="minorHAnsi"/>
                <w:sz w:val="16"/>
                <w:szCs w:val="16"/>
              </w:rPr>
              <w:t>Randomly selected adult household member</w:t>
            </w:r>
          </w:p>
        </w:tc>
        <w:tc>
          <w:tcPr>
            <w:tcW w:w="931" w:type="pct"/>
          </w:tcPr>
          <w:p w:rsidR="009711B7" w:rsidRPr="00633F51" w:rsidRDefault="009711B7" w:rsidP="008344D4">
            <w:pPr>
              <w:rPr>
                <w:rFonts w:cstheme="minorHAnsi"/>
                <w:sz w:val="16"/>
                <w:szCs w:val="16"/>
              </w:rPr>
            </w:pPr>
            <w:r w:rsidRPr="00633F51">
              <w:rPr>
                <w:rFonts w:cstheme="minorHAnsi"/>
                <w:sz w:val="16"/>
                <w:szCs w:val="16"/>
              </w:rPr>
              <w:t>Individual</w:t>
            </w:r>
          </w:p>
        </w:tc>
        <w:tc>
          <w:tcPr>
            <w:tcW w:w="2320" w:type="pct"/>
          </w:tcPr>
          <w:p w:rsidR="009711B7" w:rsidRPr="00633F51" w:rsidRDefault="009711B7" w:rsidP="008344D4">
            <w:pPr>
              <w:rPr>
                <w:rFonts w:cstheme="minorHAnsi"/>
                <w:sz w:val="16"/>
                <w:szCs w:val="16"/>
              </w:rPr>
            </w:pPr>
            <w:r w:rsidRPr="00633F51">
              <w:rPr>
                <w:rFonts w:cstheme="minorHAnsi"/>
                <w:sz w:val="16"/>
                <w:szCs w:val="16"/>
              </w:rPr>
              <w:t>The questions will identify the migration patterns, perceptions of the strength of community feeling in the urban adult population and peoples social networks through their mobile phone use.</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 xml:space="preserve">13. Nepal primary care depression screening </w:t>
            </w:r>
          </w:p>
        </w:tc>
        <w:tc>
          <w:tcPr>
            <w:tcW w:w="1090" w:type="pct"/>
          </w:tcPr>
          <w:p w:rsidR="009711B7" w:rsidRPr="00633F51" w:rsidRDefault="009711B7" w:rsidP="008344D4">
            <w:pPr>
              <w:rPr>
                <w:rFonts w:cstheme="minorHAnsi"/>
                <w:sz w:val="16"/>
                <w:szCs w:val="16"/>
              </w:rPr>
            </w:pPr>
            <w:r w:rsidRPr="00633F51">
              <w:rPr>
                <w:rFonts w:cstheme="minorHAnsi"/>
                <w:sz w:val="16"/>
                <w:szCs w:val="16"/>
              </w:rPr>
              <w:t>Randomly selected adult household member</w:t>
            </w:r>
          </w:p>
        </w:tc>
        <w:tc>
          <w:tcPr>
            <w:tcW w:w="931" w:type="pct"/>
          </w:tcPr>
          <w:p w:rsidR="009711B7" w:rsidRPr="00633F51" w:rsidRDefault="009711B7" w:rsidP="008344D4">
            <w:pPr>
              <w:rPr>
                <w:rFonts w:cstheme="minorHAnsi"/>
                <w:sz w:val="16"/>
                <w:szCs w:val="16"/>
              </w:rPr>
            </w:pPr>
            <w:r w:rsidRPr="00633F51">
              <w:rPr>
                <w:rFonts w:cstheme="minorHAnsi"/>
                <w:sz w:val="16"/>
                <w:szCs w:val="16"/>
              </w:rPr>
              <w:t>Individual</w:t>
            </w:r>
          </w:p>
        </w:tc>
        <w:tc>
          <w:tcPr>
            <w:tcW w:w="2320" w:type="pct"/>
          </w:tcPr>
          <w:p w:rsidR="009711B7" w:rsidRPr="00633F51" w:rsidRDefault="009711B7" w:rsidP="008344D4">
            <w:pPr>
              <w:rPr>
                <w:rFonts w:cstheme="minorHAnsi"/>
                <w:sz w:val="16"/>
                <w:szCs w:val="16"/>
              </w:rPr>
            </w:pPr>
            <w:r w:rsidRPr="00633F51">
              <w:rPr>
                <w:rFonts w:cstheme="minorHAnsi"/>
                <w:sz w:val="16"/>
                <w:szCs w:val="16"/>
              </w:rPr>
              <w:t>These questions will identify prevalence of depression in the urban adult population.</w:t>
            </w:r>
          </w:p>
        </w:tc>
      </w:tr>
      <w:tr w:rsidR="009711B7" w:rsidRPr="00633F51" w:rsidTr="008344D4">
        <w:tc>
          <w:tcPr>
            <w:tcW w:w="659" w:type="pct"/>
          </w:tcPr>
          <w:p w:rsidR="009711B7" w:rsidRPr="00633F51" w:rsidRDefault="009711B7" w:rsidP="008344D4">
            <w:pPr>
              <w:rPr>
                <w:rFonts w:cstheme="minorHAnsi"/>
                <w:i/>
                <w:sz w:val="16"/>
                <w:szCs w:val="16"/>
              </w:rPr>
            </w:pPr>
            <w:r w:rsidRPr="00633F51">
              <w:rPr>
                <w:rFonts w:cstheme="minorHAnsi"/>
                <w:i/>
                <w:sz w:val="16"/>
                <w:szCs w:val="16"/>
              </w:rPr>
              <w:t>14. Common somatic symptoms questions</w:t>
            </w:r>
          </w:p>
        </w:tc>
        <w:tc>
          <w:tcPr>
            <w:tcW w:w="1090" w:type="pct"/>
          </w:tcPr>
          <w:p w:rsidR="009711B7" w:rsidRPr="00633F51" w:rsidRDefault="009711B7" w:rsidP="008344D4">
            <w:pPr>
              <w:rPr>
                <w:rFonts w:cstheme="minorHAnsi"/>
                <w:sz w:val="16"/>
                <w:szCs w:val="16"/>
              </w:rPr>
            </w:pPr>
            <w:r w:rsidRPr="00633F51">
              <w:rPr>
                <w:rFonts w:cstheme="minorHAnsi"/>
                <w:sz w:val="16"/>
                <w:szCs w:val="16"/>
              </w:rPr>
              <w:t>Randomly selected adult household member</w:t>
            </w:r>
          </w:p>
        </w:tc>
        <w:tc>
          <w:tcPr>
            <w:tcW w:w="931" w:type="pct"/>
          </w:tcPr>
          <w:p w:rsidR="009711B7" w:rsidRPr="00633F51" w:rsidRDefault="009711B7" w:rsidP="008344D4">
            <w:pPr>
              <w:rPr>
                <w:rFonts w:cstheme="minorHAnsi"/>
                <w:sz w:val="16"/>
                <w:szCs w:val="16"/>
              </w:rPr>
            </w:pPr>
            <w:r w:rsidRPr="00633F51">
              <w:rPr>
                <w:rFonts w:cstheme="minorHAnsi"/>
                <w:sz w:val="16"/>
                <w:szCs w:val="16"/>
              </w:rPr>
              <w:t>Individual</w:t>
            </w:r>
          </w:p>
        </w:tc>
        <w:tc>
          <w:tcPr>
            <w:tcW w:w="2320" w:type="pct"/>
          </w:tcPr>
          <w:p w:rsidR="009711B7" w:rsidRPr="00633F51" w:rsidRDefault="009711B7" w:rsidP="008344D4">
            <w:pPr>
              <w:rPr>
                <w:rFonts w:cstheme="minorHAnsi"/>
                <w:sz w:val="16"/>
                <w:szCs w:val="16"/>
              </w:rPr>
            </w:pPr>
            <w:r>
              <w:rPr>
                <w:rFonts w:cstheme="minorHAnsi"/>
                <w:sz w:val="16"/>
                <w:szCs w:val="16"/>
              </w:rPr>
              <w:t xml:space="preserve">These questions will identify prevalence of common somatic symptoms associated with depression and/or anxiety etc </w:t>
            </w:r>
            <w:r w:rsidRPr="00633F51">
              <w:rPr>
                <w:rFonts w:cstheme="minorHAnsi"/>
                <w:sz w:val="16"/>
                <w:szCs w:val="16"/>
              </w:rPr>
              <w:t>in the urban adult population</w:t>
            </w:r>
            <w:r>
              <w:rPr>
                <w:rFonts w:cstheme="minorHAnsi"/>
                <w:sz w:val="16"/>
                <w:szCs w:val="16"/>
              </w:rPr>
              <w:t>.</w:t>
            </w:r>
          </w:p>
        </w:tc>
      </w:tr>
      <w:bookmarkEnd w:id="1"/>
    </w:tbl>
    <w:p w:rsidR="00713F2B" w:rsidRDefault="00713F2B" w:rsidP="009711B7"/>
    <w:p w:rsidR="00713F2B" w:rsidRDefault="00713F2B" w:rsidP="00713F2B">
      <w:pPr>
        <w:pBdr>
          <w:top w:val="single" w:sz="4" w:space="1" w:color="auto"/>
        </w:pBdr>
      </w:pPr>
    </w:p>
    <w:p w:rsidR="00713F2B" w:rsidRPr="00713F2B" w:rsidRDefault="00713F2B" w:rsidP="00713F2B">
      <w:pPr>
        <w:rPr>
          <w:b/>
        </w:rPr>
      </w:pPr>
      <w:r w:rsidRPr="00713F2B">
        <w:rPr>
          <w:b/>
        </w:rPr>
        <w:t>4.1 - Dhaka PSU observation data.por</w:t>
      </w:r>
    </w:p>
    <w:p w:rsidR="00713F2B" w:rsidRPr="00713F2B" w:rsidRDefault="00713F2B" w:rsidP="00713F2B">
      <w:pPr>
        <w:rPr>
          <w:b/>
        </w:rPr>
      </w:pPr>
      <w:r w:rsidRPr="00713F2B">
        <w:rPr>
          <w:b/>
        </w:rPr>
        <w:t>4.2 - Hanoi PSU observation data.por</w:t>
      </w:r>
    </w:p>
    <w:p w:rsidR="00713F2B" w:rsidRPr="00713F2B" w:rsidRDefault="00713F2B" w:rsidP="00713F2B">
      <w:pPr>
        <w:rPr>
          <w:b/>
        </w:rPr>
      </w:pPr>
      <w:r w:rsidRPr="00713F2B">
        <w:rPr>
          <w:b/>
        </w:rPr>
        <w:t>4.3 - Kathmandu PSU observation data.por</w:t>
      </w:r>
    </w:p>
    <w:p w:rsidR="00713F2B" w:rsidRDefault="00713F2B" w:rsidP="00713F2B"/>
    <w:p w:rsidR="009711B7" w:rsidRDefault="009711B7" w:rsidP="009711B7">
      <w:r>
        <w:t>PSU observation datasets. File names: “CITY_NAME PSU observation data.por”. These SPSS Portable File Format files contain the PSU observation form response data for all PSUs during each city survey (60 PSUs in Kathmandu, 20 PSUs in Dhaka and 20 PSUs in Hanoi).</w:t>
      </w:r>
    </w:p>
    <w:p w:rsidR="009711B7" w:rsidRDefault="009711B7" w:rsidP="00D048B4"/>
    <w:p w:rsidR="00713F2B" w:rsidRDefault="00713F2B" w:rsidP="00713F2B">
      <w:pPr>
        <w:pBdr>
          <w:top w:val="single" w:sz="4" w:space="1" w:color="auto"/>
        </w:pBdr>
      </w:pPr>
    </w:p>
    <w:p w:rsidR="00713F2B" w:rsidRPr="00713F2B" w:rsidRDefault="00713F2B" w:rsidP="00713F2B">
      <w:pPr>
        <w:pBdr>
          <w:top w:val="single" w:sz="4" w:space="1" w:color="auto"/>
        </w:pBdr>
        <w:rPr>
          <w:b/>
        </w:rPr>
      </w:pPr>
      <w:r w:rsidRPr="00713F2B">
        <w:rPr>
          <w:b/>
        </w:rPr>
        <w:t>5 - PSU observation form.xlsx</w:t>
      </w:r>
    </w:p>
    <w:p w:rsidR="00713F2B" w:rsidRDefault="00713F2B" w:rsidP="00D048B4"/>
    <w:p w:rsidR="009711B7" w:rsidRDefault="009711B7" w:rsidP="009711B7">
      <w:r>
        <w:t>PSU observation form. File name: “PSU Observation Form.xlsx”. This Excel XLSX file lists all the questions and possible fixed answers that were completed by two data collectors for every PSU in every city survey. The below table gives an overview of the issues/characteristics that the form’s questions covered.</w:t>
      </w:r>
    </w:p>
    <w:p w:rsidR="009711B7" w:rsidRDefault="009711B7" w:rsidP="009711B7"/>
    <w:tbl>
      <w:tblPr>
        <w:tblW w:w="5000" w:type="pct"/>
        <w:tblCellMar>
          <w:left w:w="0" w:type="dxa"/>
          <w:right w:w="0" w:type="dxa"/>
        </w:tblCellMar>
        <w:tblLook w:val="04A0" w:firstRow="1" w:lastRow="0" w:firstColumn="1" w:lastColumn="0" w:noHBand="0" w:noVBand="1"/>
      </w:tblPr>
      <w:tblGrid>
        <w:gridCol w:w="1952"/>
        <w:gridCol w:w="3046"/>
        <w:gridCol w:w="4008"/>
      </w:tblGrid>
      <w:tr w:rsidR="009711B7" w:rsidRPr="00BE45D3" w:rsidTr="008344D4">
        <w:tc>
          <w:tcPr>
            <w:tcW w:w="1084" w:type="pct"/>
            <w:tcBorders>
              <w:top w:val="single" w:sz="8" w:space="0" w:color="000000"/>
              <w:left w:val="single" w:sz="8" w:space="0" w:color="000000"/>
              <w:bottom w:val="single" w:sz="8" w:space="0" w:color="000000"/>
              <w:right w:val="single" w:sz="8" w:space="0" w:color="000000"/>
            </w:tcBorders>
            <w:shd w:val="clear" w:color="auto" w:fill="BFBFBF"/>
            <w:tcMar>
              <w:top w:w="15" w:type="dxa"/>
              <w:left w:w="52" w:type="dxa"/>
              <w:bottom w:w="0" w:type="dxa"/>
              <w:right w:w="52" w:type="dxa"/>
            </w:tcMar>
            <w:hideMark/>
          </w:tcPr>
          <w:p w:rsidR="009711B7" w:rsidRPr="00BE45D3" w:rsidRDefault="009711B7" w:rsidP="008344D4">
            <w:pPr>
              <w:jc w:val="center"/>
              <w:rPr>
                <w:rFonts w:eastAsia="Times New Roman" w:cstheme="minorHAnsi"/>
                <w:szCs w:val="20"/>
                <w:lang w:eastAsia="en-GB"/>
              </w:rPr>
            </w:pPr>
          </w:p>
        </w:tc>
        <w:tc>
          <w:tcPr>
            <w:tcW w:w="1691" w:type="pct"/>
            <w:tcBorders>
              <w:top w:val="single" w:sz="8" w:space="0" w:color="000000"/>
              <w:left w:val="single" w:sz="8" w:space="0" w:color="000000"/>
              <w:bottom w:val="single" w:sz="8" w:space="0" w:color="000000"/>
              <w:right w:val="single" w:sz="8" w:space="0" w:color="000000"/>
            </w:tcBorders>
            <w:shd w:val="clear" w:color="auto" w:fill="B4C6E7"/>
            <w:tcMar>
              <w:top w:w="15" w:type="dxa"/>
              <w:left w:w="52" w:type="dxa"/>
              <w:bottom w:w="0" w:type="dxa"/>
              <w:right w:w="52" w:type="dxa"/>
            </w:tcMar>
            <w:hideMark/>
          </w:tcPr>
          <w:p w:rsidR="009711B7" w:rsidRPr="00BE45D3" w:rsidRDefault="009711B7" w:rsidP="008344D4">
            <w:pPr>
              <w:jc w:val="center"/>
              <w:rPr>
                <w:rFonts w:eastAsia="Times New Roman" w:cstheme="minorHAnsi"/>
                <w:szCs w:val="20"/>
                <w:lang w:eastAsia="en-GB"/>
              </w:rPr>
            </w:pPr>
            <w:r w:rsidRPr="00BE45D3">
              <w:rPr>
                <w:rFonts w:eastAsia="Calibri" w:cstheme="minorHAnsi"/>
                <w:b/>
                <w:bCs/>
                <w:kern w:val="24"/>
                <w:szCs w:val="20"/>
                <w:lang w:eastAsia="en-GB"/>
              </w:rPr>
              <w:t>Broad Features</w:t>
            </w:r>
          </w:p>
        </w:tc>
        <w:tc>
          <w:tcPr>
            <w:tcW w:w="2225" w:type="pct"/>
            <w:tcBorders>
              <w:top w:val="single" w:sz="8" w:space="0" w:color="000000"/>
              <w:left w:val="single" w:sz="8" w:space="0" w:color="000000"/>
              <w:bottom w:val="single" w:sz="8" w:space="0" w:color="000000"/>
              <w:right w:val="single" w:sz="8" w:space="0" w:color="000000"/>
            </w:tcBorders>
            <w:shd w:val="clear" w:color="auto" w:fill="B4C6E7"/>
            <w:tcMar>
              <w:top w:w="15" w:type="dxa"/>
              <w:left w:w="52" w:type="dxa"/>
              <w:bottom w:w="0" w:type="dxa"/>
              <w:right w:w="52" w:type="dxa"/>
            </w:tcMar>
            <w:hideMark/>
          </w:tcPr>
          <w:p w:rsidR="009711B7" w:rsidRPr="00BE45D3" w:rsidRDefault="009711B7" w:rsidP="008344D4">
            <w:pPr>
              <w:jc w:val="center"/>
              <w:rPr>
                <w:rFonts w:eastAsia="Times New Roman" w:cstheme="minorHAnsi"/>
                <w:szCs w:val="20"/>
                <w:lang w:eastAsia="en-GB"/>
              </w:rPr>
            </w:pPr>
            <w:r w:rsidRPr="00BE45D3">
              <w:rPr>
                <w:rFonts w:eastAsia="Calibri" w:cstheme="minorHAnsi"/>
                <w:b/>
                <w:bCs/>
                <w:kern w:val="24"/>
                <w:szCs w:val="20"/>
                <w:lang w:eastAsia="en-GB"/>
              </w:rPr>
              <w:t>Characteristics</w:t>
            </w:r>
          </w:p>
        </w:tc>
      </w:tr>
      <w:tr w:rsidR="009711B7" w:rsidRPr="00BE45D3" w:rsidTr="008344D4">
        <w:trPr>
          <w:trHeight w:val="481"/>
        </w:trPr>
        <w:tc>
          <w:tcPr>
            <w:tcW w:w="1084" w:type="pct"/>
            <w:vMerge w:val="restart"/>
            <w:tcBorders>
              <w:top w:val="single" w:sz="8" w:space="0" w:color="000000"/>
              <w:left w:val="single" w:sz="8" w:space="0" w:color="000000"/>
              <w:bottom w:val="single" w:sz="8" w:space="0" w:color="000000"/>
              <w:right w:val="single" w:sz="8" w:space="0" w:color="000000"/>
            </w:tcBorders>
            <w:shd w:val="clear" w:color="auto" w:fill="BFBFBF"/>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Times New Roman" w:cstheme="minorHAnsi"/>
                <w:kern w:val="24"/>
                <w:szCs w:val="20"/>
                <w:lang w:eastAsia="en-GB"/>
              </w:rPr>
              <w:t>Unplanned urbanisation</w:t>
            </w:r>
          </w:p>
        </w:tc>
        <w:tc>
          <w:tcPr>
            <w:tcW w:w="1691"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 xml:space="preserve">Buildings </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 xml:space="preserve">6 characteristics e.g if single residential, connected/not, mix of commercial and residential  poor structures, </w:t>
            </w:r>
          </w:p>
        </w:tc>
      </w:tr>
      <w:tr w:rsidR="009711B7" w:rsidRPr="00BE45D3" w:rsidTr="008344D4">
        <w:trPr>
          <w:trHeight w:val="521"/>
        </w:trPr>
        <w:tc>
          <w:tcPr>
            <w:tcW w:w="1084" w:type="pct"/>
            <w:vMerge/>
            <w:tcBorders>
              <w:top w:val="single" w:sz="8" w:space="0" w:color="000000"/>
              <w:left w:val="single" w:sz="8" w:space="0" w:color="000000"/>
              <w:bottom w:val="single" w:sz="8" w:space="0" w:color="000000"/>
              <w:right w:val="single" w:sz="8" w:space="0" w:color="000000"/>
            </w:tcBorders>
            <w:vAlign w:val="center"/>
            <w:hideMark/>
          </w:tcPr>
          <w:p w:rsidR="009711B7" w:rsidRPr="00BE45D3" w:rsidRDefault="009711B7" w:rsidP="008344D4">
            <w:pPr>
              <w:rPr>
                <w:rFonts w:eastAsia="Times New Roman" w:cstheme="minorHAnsi"/>
                <w:szCs w:val="20"/>
                <w:lang w:eastAsia="en-GB"/>
              </w:rPr>
            </w:pPr>
          </w:p>
        </w:tc>
        <w:tc>
          <w:tcPr>
            <w:tcW w:w="1691"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 xml:space="preserve">Over-crowding </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Yes or no</w:t>
            </w:r>
          </w:p>
        </w:tc>
      </w:tr>
      <w:tr w:rsidR="009711B7" w:rsidRPr="00BE45D3" w:rsidTr="008344D4">
        <w:trPr>
          <w:trHeight w:val="511"/>
        </w:trPr>
        <w:tc>
          <w:tcPr>
            <w:tcW w:w="1084" w:type="pct"/>
            <w:vMerge/>
            <w:tcBorders>
              <w:top w:val="single" w:sz="8" w:space="0" w:color="000000"/>
              <w:left w:val="single" w:sz="8" w:space="0" w:color="000000"/>
              <w:bottom w:val="single" w:sz="8" w:space="0" w:color="000000"/>
              <w:right w:val="single" w:sz="8" w:space="0" w:color="000000"/>
            </w:tcBorders>
            <w:vAlign w:val="center"/>
            <w:hideMark/>
          </w:tcPr>
          <w:p w:rsidR="009711B7" w:rsidRPr="00BE45D3" w:rsidRDefault="009711B7" w:rsidP="008344D4">
            <w:pPr>
              <w:rPr>
                <w:rFonts w:eastAsia="Times New Roman" w:cstheme="minorHAnsi"/>
                <w:szCs w:val="20"/>
                <w:lang w:eastAsia="en-GB"/>
              </w:rPr>
            </w:pPr>
          </w:p>
        </w:tc>
        <w:tc>
          <w:tcPr>
            <w:tcW w:w="1691"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Roads/pathways</w:t>
            </w:r>
          </w:p>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 </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6 characteristics, e.g. well-made wide roads to narrow impassable paths</w:t>
            </w:r>
          </w:p>
        </w:tc>
      </w:tr>
      <w:tr w:rsidR="009711B7" w:rsidRPr="00BE45D3" w:rsidTr="008344D4">
        <w:trPr>
          <w:trHeight w:val="481"/>
        </w:trPr>
        <w:tc>
          <w:tcPr>
            <w:tcW w:w="1084" w:type="pct"/>
            <w:vMerge w:val="restart"/>
            <w:tcBorders>
              <w:top w:val="single" w:sz="8" w:space="0" w:color="000000"/>
              <w:left w:val="single" w:sz="8" w:space="0" w:color="000000"/>
              <w:bottom w:val="single" w:sz="8" w:space="0" w:color="000000"/>
              <w:right w:val="single" w:sz="8" w:space="0" w:color="000000"/>
            </w:tcBorders>
            <w:shd w:val="clear" w:color="auto" w:fill="BFBFBF"/>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Times New Roman" w:cstheme="minorHAnsi"/>
                <w:kern w:val="24"/>
                <w:szCs w:val="20"/>
                <w:lang w:eastAsia="en-GB"/>
              </w:rPr>
              <w:t>Contamination</w:t>
            </w:r>
          </w:p>
        </w:tc>
        <w:tc>
          <w:tcPr>
            <w:tcW w:w="1691"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 xml:space="preserve">Grey water disposal </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5 characteristics e.g. standing water, disposal into river, no grey water visible</w:t>
            </w:r>
          </w:p>
        </w:tc>
      </w:tr>
      <w:tr w:rsidR="009711B7" w:rsidRPr="00BE45D3" w:rsidTr="008344D4">
        <w:trPr>
          <w:trHeight w:val="481"/>
        </w:trPr>
        <w:tc>
          <w:tcPr>
            <w:tcW w:w="1084" w:type="pct"/>
            <w:vMerge/>
            <w:tcBorders>
              <w:top w:val="single" w:sz="8" w:space="0" w:color="000000"/>
              <w:left w:val="single" w:sz="8" w:space="0" w:color="000000"/>
              <w:bottom w:val="single" w:sz="8" w:space="0" w:color="000000"/>
              <w:right w:val="single" w:sz="8" w:space="0" w:color="000000"/>
            </w:tcBorders>
            <w:vAlign w:val="center"/>
            <w:hideMark/>
          </w:tcPr>
          <w:p w:rsidR="009711B7" w:rsidRPr="00BE45D3" w:rsidRDefault="009711B7" w:rsidP="008344D4">
            <w:pPr>
              <w:rPr>
                <w:rFonts w:eastAsia="Times New Roman" w:cstheme="minorHAnsi"/>
                <w:szCs w:val="20"/>
                <w:lang w:eastAsia="en-GB"/>
              </w:rPr>
            </w:pPr>
          </w:p>
        </w:tc>
        <w:tc>
          <w:tcPr>
            <w:tcW w:w="1691"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 xml:space="preserve">Drains </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6 characteristics e.g. covered, free-flowing, to open and blocked</w:t>
            </w:r>
          </w:p>
        </w:tc>
      </w:tr>
      <w:tr w:rsidR="009711B7" w:rsidRPr="00BE45D3" w:rsidTr="008344D4">
        <w:trPr>
          <w:trHeight w:val="481"/>
        </w:trPr>
        <w:tc>
          <w:tcPr>
            <w:tcW w:w="1084" w:type="pct"/>
            <w:vMerge/>
            <w:tcBorders>
              <w:top w:val="single" w:sz="8" w:space="0" w:color="000000"/>
              <w:left w:val="single" w:sz="8" w:space="0" w:color="000000"/>
              <w:bottom w:val="single" w:sz="8" w:space="0" w:color="000000"/>
              <w:right w:val="single" w:sz="8" w:space="0" w:color="000000"/>
            </w:tcBorders>
            <w:vAlign w:val="center"/>
            <w:hideMark/>
          </w:tcPr>
          <w:p w:rsidR="009711B7" w:rsidRPr="00BE45D3" w:rsidRDefault="009711B7" w:rsidP="008344D4">
            <w:pPr>
              <w:rPr>
                <w:rFonts w:eastAsia="Times New Roman" w:cstheme="minorHAnsi"/>
                <w:szCs w:val="20"/>
                <w:lang w:eastAsia="en-GB"/>
              </w:rPr>
            </w:pPr>
          </w:p>
        </w:tc>
        <w:tc>
          <w:tcPr>
            <w:tcW w:w="1691"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 xml:space="preserve">Open defecation and human excreta </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3 characteristics e.g. visible open defecation to none</w:t>
            </w:r>
          </w:p>
        </w:tc>
      </w:tr>
      <w:tr w:rsidR="009711B7" w:rsidRPr="00BE45D3" w:rsidTr="008344D4">
        <w:trPr>
          <w:trHeight w:val="481"/>
        </w:trPr>
        <w:tc>
          <w:tcPr>
            <w:tcW w:w="1084" w:type="pct"/>
            <w:vMerge/>
            <w:tcBorders>
              <w:top w:val="single" w:sz="8" w:space="0" w:color="000000"/>
              <w:left w:val="single" w:sz="8" w:space="0" w:color="000000"/>
              <w:bottom w:val="single" w:sz="8" w:space="0" w:color="000000"/>
              <w:right w:val="single" w:sz="8" w:space="0" w:color="000000"/>
            </w:tcBorders>
            <w:vAlign w:val="center"/>
            <w:hideMark/>
          </w:tcPr>
          <w:p w:rsidR="009711B7" w:rsidRPr="00BE45D3" w:rsidRDefault="009711B7" w:rsidP="008344D4">
            <w:pPr>
              <w:rPr>
                <w:rFonts w:eastAsia="Times New Roman" w:cstheme="minorHAnsi"/>
                <w:szCs w:val="20"/>
                <w:lang w:eastAsia="en-GB"/>
              </w:rPr>
            </w:pPr>
          </w:p>
        </w:tc>
        <w:tc>
          <w:tcPr>
            <w:tcW w:w="1691"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 xml:space="preserve">Garbage/rubbish management </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6 characteristics e.g. open dumping, irregular waste collection</w:t>
            </w:r>
          </w:p>
        </w:tc>
      </w:tr>
      <w:tr w:rsidR="009711B7" w:rsidRPr="00BE45D3" w:rsidTr="008344D4">
        <w:trPr>
          <w:trHeight w:val="481"/>
        </w:trPr>
        <w:tc>
          <w:tcPr>
            <w:tcW w:w="1084" w:type="pct"/>
            <w:vMerge w:val="restart"/>
            <w:tcBorders>
              <w:top w:val="single" w:sz="8" w:space="0" w:color="000000"/>
              <w:left w:val="single" w:sz="8" w:space="0" w:color="000000"/>
              <w:bottom w:val="single" w:sz="8" w:space="0" w:color="000000"/>
              <w:right w:val="single" w:sz="8" w:space="0" w:color="000000"/>
            </w:tcBorders>
            <w:shd w:val="clear" w:color="auto" w:fill="BFBFBF"/>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Times New Roman" w:cstheme="minorHAnsi"/>
                <w:kern w:val="24"/>
                <w:szCs w:val="20"/>
                <w:lang w:eastAsia="en-GB"/>
              </w:rPr>
              <w:t>Social and environmental risks</w:t>
            </w:r>
          </w:p>
          <w:p w:rsidR="009711B7" w:rsidRPr="00BE45D3" w:rsidRDefault="009711B7" w:rsidP="008344D4">
            <w:pPr>
              <w:rPr>
                <w:rFonts w:eastAsia="Times New Roman" w:cstheme="minorHAnsi"/>
                <w:szCs w:val="20"/>
                <w:lang w:eastAsia="en-GB"/>
              </w:rPr>
            </w:pPr>
            <w:r w:rsidRPr="00BE45D3">
              <w:rPr>
                <w:rFonts w:eastAsia="Times New Roman" w:cstheme="minorHAnsi"/>
                <w:kern w:val="24"/>
                <w:szCs w:val="20"/>
                <w:lang w:eastAsia="en-GB"/>
              </w:rPr>
              <w:t>Tenure</w:t>
            </w:r>
          </w:p>
        </w:tc>
        <w:tc>
          <w:tcPr>
            <w:tcW w:w="1691"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 xml:space="preserve">Air pollution </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Compared to rest of city,</w:t>
            </w:r>
          </w:p>
        </w:tc>
      </w:tr>
      <w:tr w:rsidR="009711B7" w:rsidRPr="00BE45D3" w:rsidTr="008344D4">
        <w:trPr>
          <w:trHeight w:val="208"/>
        </w:trPr>
        <w:tc>
          <w:tcPr>
            <w:tcW w:w="1084" w:type="pct"/>
            <w:vMerge/>
            <w:tcBorders>
              <w:top w:val="single" w:sz="8" w:space="0" w:color="000000"/>
              <w:left w:val="single" w:sz="8" w:space="0" w:color="000000"/>
              <w:bottom w:val="single" w:sz="8" w:space="0" w:color="000000"/>
              <w:right w:val="single" w:sz="8" w:space="0" w:color="000000"/>
            </w:tcBorders>
            <w:vAlign w:val="center"/>
            <w:hideMark/>
          </w:tcPr>
          <w:p w:rsidR="009711B7" w:rsidRPr="00BE45D3" w:rsidRDefault="009711B7" w:rsidP="008344D4">
            <w:pPr>
              <w:rPr>
                <w:rFonts w:eastAsia="Times New Roman" w:cstheme="minorHAnsi"/>
                <w:szCs w:val="20"/>
                <w:lang w:eastAsia="en-GB"/>
              </w:rPr>
            </w:pPr>
          </w:p>
        </w:tc>
        <w:tc>
          <w:tcPr>
            <w:tcW w:w="1691"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Environment and infrastructure</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 xml:space="preserve">10 characteristics e.g unauthorised building, landslide, river flood plain </w:t>
            </w:r>
          </w:p>
        </w:tc>
      </w:tr>
      <w:tr w:rsidR="009711B7" w:rsidRPr="00BE45D3" w:rsidTr="008344D4">
        <w:trPr>
          <w:trHeight w:val="481"/>
        </w:trPr>
        <w:tc>
          <w:tcPr>
            <w:tcW w:w="1084" w:type="pct"/>
            <w:tcBorders>
              <w:top w:val="single" w:sz="8" w:space="0" w:color="000000"/>
              <w:left w:val="single" w:sz="8" w:space="0" w:color="000000"/>
              <w:bottom w:val="single" w:sz="8" w:space="0" w:color="000000"/>
              <w:right w:val="single" w:sz="8" w:space="0" w:color="000000"/>
            </w:tcBorders>
            <w:shd w:val="clear" w:color="auto" w:fill="BFBFBF"/>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Times New Roman" w:cstheme="minorHAnsi"/>
                <w:kern w:val="24"/>
                <w:szCs w:val="20"/>
                <w:lang w:eastAsia="en-GB"/>
              </w:rPr>
              <w:t>Lack of infrastructure</w:t>
            </w:r>
          </w:p>
        </w:tc>
        <w:tc>
          <w:tcPr>
            <w:tcW w:w="1691"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 xml:space="preserve">Accessible infrastructure </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hideMark/>
          </w:tcPr>
          <w:p w:rsidR="009711B7" w:rsidRPr="00BE45D3" w:rsidRDefault="009711B7" w:rsidP="008344D4">
            <w:pPr>
              <w:rPr>
                <w:rFonts w:eastAsia="Times New Roman" w:cstheme="minorHAnsi"/>
                <w:szCs w:val="20"/>
                <w:lang w:eastAsia="en-GB"/>
              </w:rPr>
            </w:pPr>
            <w:r w:rsidRPr="00BE45D3">
              <w:rPr>
                <w:rFonts w:eastAsia="Calibri" w:cstheme="minorHAnsi"/>
                <w:kern w:val="24"/>
                <w:szCs w:val="20"/>
                <w:lang w:eastAsia="en-GB"/>
              </w:rPr>
              <w:t>14 characteristics e.g. school,  health, green space</w:t>
            </w:r>
          </w:p>
        </w:tc>
      </w:tr>
      <w:tr w:rsidR="009711B7" w:rsidRPr="00BE45D3" w:rsidTr="008344D4">
        <w:trPr>
          <w:trHeight w:val="481"/>
        </w:trPr>
        <w:tc>
          <w:tcPr>
            <w:tcW w:w="1084" w:type="pct"/>
            <w:tcBorders>
              <w:top w:val="single" w:sz="8" w:space="0" w:color="000000"/>
              <w:left w:val="single" w:sz="8" w:space="0" w:color="000000"/>
              <w:bottom w:val="single" w:sz="8" w:space="0" w:color="000000"/>
              <w:right w:val="single" w:sz="8" w:space="0" w:color="000000"/>
            </w:tcBorders>
            <w:shd w:val="clear" w:color="auto" w:fill="BFBFBF"/>
            <w:tcMar>
              <w:top w:w="15" w:type="dxa"/>
              <w:left w:w="52" w:type="dxa"/>
              <w:bottom w:w="0" w:type="dxa"/>
              <w:right w:w="52" w:type="dxa"/>
            </w:tcMar>
          </w:tcPr>
          <w:p w:rsidR="009711B7" w:rsidRPr="00BE45D3" w:rsidRDefault="009711B7" w:rsidP="008344D4">
            <w:pPr>
              <w:rPr>
                <w:rFonts w:eastAsia="Times New Roman" w:cstheme="minorHAnsi"/>
                <w:kern w:val="24"/>
                <w:szCs w:val="20"/>
                <w:lang w:eastAsia="en-GB"/>
              </w:rPr>
            </w:pPr>
            <w:r>
              <w:rPr>
                <w:rFonts w:eastAsia="Times New Roman" w:cstheme="minorHAnsi"/>
                <w:kern w:val="24"/>
                <w:szCs w:val="20"/>
                <w:lang w:eastAsia="en-GB"/>
              </w:rPr>
              <w:t>Market price</w:t>
            </w:r>
          </w:p>
        </w:tc>
        <w:tc>
          <w:tcPr>
            <w:tcW w:w="1691"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cPr>
          <w:p w:rsidR="009711B7" w:rsidRPr="00BE45D3" w:rsidRDefault="009711B7" w:rsidP="008344D4">
            <w:pPr>
              <w:rPr>
                <w:rFonts w:eastAsia="Calibri" w:cstheme="minorHAnsi"/>
                <w:kern w:val="24"/>
                <w:szCs w:val="20"/>
                <w:lang w:eastAsia="en-GB"/>
              </w:rPr>
            </w:pPr>
            <w:r>
              <w:rPr>
                <w:rFonts w:eastAsia="Calibri" w:cstheme="minorHAnsi"/>
                <w:kern w:val="24"/>
                <w:szCs w:val="20"/>
                <w:lang w:eastAsia="en-GB"/>
              </w:rPr>
              <w:t>Prices of a baskets of goods found in stalls and shops in the area</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52" w:type="dxa"/>
              <w:bottom w:w="0" w:type="dxa"/>
              <w:right w:w="52" w:type="dxa"/>
            </w:tcMar>
          </w:tcPr>
          <w:p w:rsidR="009711B7" w:rsidRPr="00BE45D3" w:rsidRDefault="009711B7" w:rsidP="008344D4">
            <w:pPr>
              <w:rPr>
                <w:rFonts w:eastAsia="Calibri" w:cstheme="minorHAnsi"/>
                <w:kern w:val="24"/>
                <w:szCs w:val="20"/>
                <w:lang w:eastAsia="en-GB"/>
              </w:rPr>
            </w:pPr>
          </w:p>
        </w:tc>
      </w:tr>
    </w:tbl>
    <w:p w:rsidR="00FF7FF0" w:rsidRDefault="00FF7FF0" w:rsidP="009711B7"/>
    <w:p w:rsidR="00713F2B" w:rsidRDefault="00713F2B" w:rsidP="00713F2B">
      <w:pPr>
        <w:pBdr>
          <w:top w:val="single" w:sz="4" w:space="1" w:color="auto"/>
        </w:pBdr>
      </w:pPr>
    </w:p>
    <w:p w:rsidR="00713F2B" w:rsidRPr="00713F2B" w:rsidRDefault="00713F2B" w:rsidP="00713F2B">
      <w:pPr>
        <w:pBdr>
          <w:top w:val="single" w:sz="4" w:space="1" w:color="auto"/>
        </w:pBdr>
        <w:rPr>
          <w:b/>
        </w:rPr>
      </w:pPr>
      <w:r w:rsidRPr="00713F2B">
        <w:rPr>
          <w:b/>
        </w:rPr>
        <w:t>6.1 - Dhaka feasibility data.por</w:t>
      </w:r>
    </w:p>
    <w:p w:rsidR="00713F2B" w:rsidRPr="00713F2B" w:rsidRDefault="00713F2B" w:rsidP="00713F2B">
      <w:pPr>
        <w:pBdr>
          <w:top w:val="single" w:sz="4" w:space="1" w:color="auto"/>
        </w:pBdr>
        <w:rPr>
          <w:b/>
        </w:rPr>
      </w:pPr>
      <w:r w:rsidRPr="00713F2B">
        <w:rPr>
          <w:b/>
        </w:rPr>
        <w:lastRenderedPageBreak/>
        <w:t>6.2 - Hanoi feasibility data.por</w:t>
      </w:r>
    </w:p>
    <w:p w:rsidR="00713F2B" w:rsidRPr="00713F2B" w:rsidRDefault="00713F2B" w:rsidP="00713F2B">
      <w:pPr>
        <w:pBdr>
          <w:top w:val="single" w:sz="4" w:space="1" w:color="auto"/>
        </w:pBdr>
        <w:rPr>
          <w:b/>
        </w:rPr>
      </w:pPr>
      <w:r w:rsidRPr="00713F2B">
        <w:rPr>
          <w:b/>
        </w:rPr>
        <w:t>6.3 - Kathmandu feasibility data.por</w:t>
      </w:r>
    </w:p>
    <w:p w:rsidR="00713F2B" w:rsidRDefault="00713F2B" w:rsidP="009711B7"/>
    <w:p w:rsidR="009711B7" w:rsidRDefault="009711B7" w:rsidP="009711B7">
      <w:r>
        <w:t>Survey feasibility results datasets (feasibility of the household and individual survey listing and sampling processes and questionnaires). File names: “CITY_NAME feasibility data.por”. These SPSS Portable File Format files contain the survey listing, sampling and questionnaire feasibility form response data for each city survey.</w:t>
      </w:r>
    </w:p>
    <w:p w:rsidR="009711B7" w:rsidRDefault="009711B7" w:rsidP="009711B7"/>
    <w:p w:rsidR="00713F2B" w:rsidRDefault="00713F2B" w:rsidP="00713F2B">
      <w:pPr>
        <w:pBdr>
          <w:top w:val="single" w:sz="4" w:space="1" w:color="auto"/>
        </w:pBdr>
      </w:pPr>
    </w:p>
    <w:p w:rsidR="00713F2B" w:rsidRPr="00713F2B" w:rsidRDefault="00713F2B" w:rsidP="00713F2B">
      <w:pPr>
        <w:pBdr>
          <w:top w:val="single" w:sz="4" w:space="1" w:color="auto"/>
        </w:pBdr>
        <w:rPr>
          <w:b/>
        </w:rPr>
      </w:pPr>
      <w:r w:rsidRPr="00713F2B">
        <w:rPr>
          <w:b/>
        </w:rPr>
        <w:t>7 - Survey &amp; questionnaire feasibility form.docx</w:t>
      </w:r>
    </w:p>
    <w:p w:rsidR="00713F2B" w:rsidRDefault="00713F2B" w:rsidP="009711B7"/>
    <w:p w:rsidR="009711B7" w:rsidRDefault="009711B7" w:rsidP="009711B7">
      <w:r>
        <w:t>Survey and questionnaire feasibility form. File name: “Survey &amp; questionnaire feasibility form.docx”. This Word DOCX file contains the questions that data collectors responded to and which assess the feasibility of the listing and sampling process and the feasibility of using the survey questionnaire (both household and individual questions).</w:t>
      </w:r>
    </w:p>
    <w:p w:rsidR="009711B7" w:rsidRDefault="009711B7" w:rsidP="00D048B4"/>
    <w:p w:rsidR="00713F2B" w:rsidRDefault="00713F2B" w:rsidP="00713F2B">
      <w:pPr>
        <w:pBdr>
          <w:top w:val="single" w:sz="4" w:space="1" w:color="auto"/>
        </w:pBdr>
      </w:pPr>
    </w:p>
    <w:p w:rsidR="00713F2B" w:rsidRPr="00713F2B" w:rsidRDefault="00713F2B" w:rsidP="00713F2B">
      <w:pPr>
        <w:pBdr>
          <w:top w:val="single" w:sz="4" w:space="1" w:color="auto"/>
        </w:pBdr>
        <w:rPr>
          <w:b/>
        </w:rPr>
      </w:pPr>
      <w:r w:rsidRPr="00713F2B">
        <w:rPr>
          <w:b/>
        </w:rPr>
        <w:t>8.1 - Dhaka PSU coordinates.csv</w:t>
      </w:r>
    </w:p>
    <w:p w:rsidR="00713F2B" w:rsidRPr="00713F2B" w:rsidRDefault="00713F2B" w:rsidP="00713F2B">
      <w:pPr>
        <w:pBdr>
          <w:top w:val="single" w:sz="4" w:space="1" w:color="auto"/>
        </w:pBdr>
        <w:rPr>
          <w:b/>
        </w:rPr>
      </w:pPr>
      <w:r w:rsidRPr="00713F2B">
        <w:rPr>
          <w:b/>
        </w:rPr>
        <w:t>8.2 - Hanoi PSU coordinates.csv</w:t>
      </w:r>
    </w:p>
    <w:p w:rsidR="00713F2B" w:rsidRPr="00713F2B" w:rsidRDefault="00713F2B" w:rsidP="00713F2B">
      <w:pPr>
        <w:pBdr>
          <w:top w:val="single" w:sz="4" w:space="1" w:color="auto"/>
        </w:pBdr>
        <w:rPr>
          <w:b/>
        </w:rPr>
      </w:pPr>
      <w:r w:rsidRPr="00713F2B">
        <w:rPr>
          <w:b/>
        </w:rPr>
        <w:t>8.3 - Kathmandu PSU coordinates.csv</w:t>
      </w:r>
    </w:p>
    <w:p w:rsidR="00713F2B" w:rsidRDefault="00713F2B" w:rsidP="00D048B4"/>
    <w:p w:rsidR="00D048B4" w:rsidRDefault="00D048B4" w:rsidP="00D048B4">
      <w:r>
        <w:t>Primary sampling units</w:t>
      </w:r>
      <w:r w:rsidR="009711B7">
        <w:t>’</w:t>
      </w:r>
      <w:r>
        <w:t xml:space="preserve"> (PSU) coordinates. File names: “CITY_NAME PSU coordinates.csv”. These Excel CSV files list the decimal coordinates for all PSUs of each survey. Because these identify the location of all PSUs they are considered sensitive data and are only available following via request on a survey-by-survey basis (see the relevant link for details).</w:t>
      </w:r>
    </w:p>
    <w:p w:rsidR="00D048B4" w:rsidRDefault="00D048B4" w:rsidP="00D048B4"/>
    <w:p w:rsidR="00713F2B" w:rsidRDefault="00713F2B" w:rsidP="00713F2B">
      <w:pPr>
        <w:pBdr>
          <w:top w:val="single" w:sz="4" w:space="1" w:color="auto"/>
        </w:pBdr>
      </w:pPr>
    </w:p>
    <w:p w:rsidR="00713F2B" w:rsidRPr="00713F2B" w:rsidRDefault="00713F2B" w:rsidP="00713F2B">
      <w:pPr>
        <w:pBdr>
          <w:top w:val="single" w:sz="4" w:space="1" w:color="auto"/>
        </w:pBdr>
        <w:rPr>
          <w:b/>
        </w:rPr>
      </w:pPr>
      <w:r w:rsidRPr="00713F2B">
        <w:rPr>
          <w:b/>
        </w:rPr>
        <w:t>9 - Survey weight calculations.pdf</w:t>
      </w:r>
    </w:p>
    <w:p w:rsidR="00713F2B" w:rsidRDefault="00713F2B" w:rsidP="00D048B4"/>
    <w:p w:rsidR="00D653B4" w:rsidRPr="002A237B" w:rsidRDefault="00D653B4" w:rsidP="00D048B4">
      <w:r>
        <w:t>Weight calculations. File names: “Weight calculations.pdf”. This PDF file explains how the household and individual questionnaire weights were calculated for all surveys.</w:t>
      </w:r>
    </w:p>
    <w:sectPr w:rsidR="00D653B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auto"/>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1D"/>
    <w:rsid w:val="00011A1D"/>
    <w:rsid w:val="00072D1C"/>
    <w:rsid w:val="00093509"/>
    <w:rsid w:val="000A395C"/>
    <w:rsid w:val="000F1C80"/>
    <w:rsid w:val="001C2515"/>
    <w:rsid w:val="001C2F45"/>
    <w:rsid w:val="001E0E3E"/>
    <w:rsid w:val="00273123"/>
    <w:rsid w:val="002A237B"/>
    <w:rsid w:val="00330467"/>
    <w:rsid w:val="003400F1"/>
    <w:rsid w:val="00416AA0"/>
    <w:rsid w:val="004C5EC9"/>
    <w:rsid w:val="00551F87"/>
    <w:rsid w:val="0056264E"/>
    <w:rsid w:val="005B0D14"/>
    <w:rsid w:val="005C161B"/>
    <w:rsid w:val="006422C8"/>
    <w:rsid w:val="0068709A"/>
    <w:rsid w:val="006F163E"/>
    <w:rsid w:val="00713F2B"/>
    <w:rsid w:val="007A5D1E"/>
    <w:rsid w:val="00820933"/>
    <w:rsid w:val="00873D7B"/>
    <w:rsid w:val="00880119"/>
    <w:rsid w:val="00890E90"/>
    <w:rsid w:val="008B2D9E"/>
    <w:rsid w:val="0091059B"/>
    <w:rsid w:val="00916EDA"/>
    <w:rsid w:val="00930117"/>
    <w:rsid w:val="009711B7"/>
    <w:rsid w:val="00A36CF5"/>
    <w:rsid w:val="00AD1B4C"/>
    <w:rsid w:val="00AD3173"/>
    <w:rsid w:val="00B23E4E"/>
    <w:rsid w:val="00B3772F"/>
    <w:rsid w:val="00B51A8B"/>
    <w:rsid w:val="00B73992"/>
    <w:rsid w:val="00B7564E"/>
    <w:rsid w:val="00BF7C01"/>
    <w:rsid w:val="00C262D5"/>
    <w:rsid w:val="00C43089"/>
    <w:rsid w:val="00CA19CD"/>
    <w:rsid w:val="00D00D33"/>
    <w:rsid w:val="00D048B4"/>
    <w:rsid w:val="00D653B4"/>
    <w:rsid w:val="00E02F0B"/>
    <w:rsid w:val="00E057DF"/>
    <w:rsid w:val="00E209F2"/>
    <w:rsid w:val="00EB66B1"/>
    <w:rsid w:val="00F367F1"/>
    <w:rsid w:val="00F419B2"/>
    <w:rsid w:val="00FF7F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5CE08-E5E4-4B01-9A5D-FB257958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DA"/>
    <w:rPr>
      <w:sz w:val="20"/>
    </w:rPr>
  </w:style>
  <w:style w:type="paragraph" w:styleId="Heading1">
    <w:name w:val="heading 1"/>
    <w:basedOn w:val="Normal"/>
    <w:next w:val="Normal"/>
    <w:link w:val="Heading1Char"/>
    <w:uiPriority w:val="9"/>
    <w:qFormat/>
    <w:rsid w:val="00916EDA"/>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16EDA"/>
    <w:pPr>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916ED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C262D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262D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262D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262D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262D5"/>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qFormat/>
    <w:rsid w:val="00C262D5"/>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C262D5"/>
    <w:pPr>
      <w:keepNext/>
    </w:pPr>
    <w:rPr>
      <w:b/>
    </w:rPr>
  </w:style>
  <w:style w:type="character" w:customStyle="1" w:styleId="SubheadingChar">
    <w:name w:val="Subheading Char"/>
    <w:basedOn w:val="DefaultParagraphFont"/>
    <w:link w:val="Subheading"/>
    <w:rsid w:val="00C262D5"/>
    <w:rPr>
      <w:b/>
    </w:rPr>
  </w:style>
  <w:style w:type="paragraph" w:styleId="Caption">
    <w:name w:val="caption"/>
    <w:basedOn w:val="Normal"/>
    <w:next w:val="Normal"/>
    <w:uiPriority w:val="35"/>
    <w:unhideWhenUsed/>
    <w:rsid w:val="00C262D5"/>
    <w:rPr>
      <w:b/>
      <w:bCs/>
      <w:szCs w:val="18"/>
    </w:rPr>
  </w:style>
  <w:style w:type="paragraph" w:styleId="Title">
    <w:name w:val="Title"/>
    <w:basedOn w:val="Normal"/>
    <w:next w:val="Normal"/>
    <w:link w:val="TitleChar"/>
    <w:uiPriority w:val="10"/>
    <w:qFormat/>
    <w:rsid w:val="00C262D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62D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262D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262D5"/>
    <w:rPr>
      <w:rFonts w:asciiTheme="majorHAnsi" w:eastAsiaTheme="majorEastAsia" w:hAnsiTheme="majorHAnsi" w:cstheme="majorBidi"/>
      <w:i/>
      <w:iCs/>
      <w:spacing w:val="13"/>
      <w:szCs w:val="24"/>
    </w:rPr>
  </w:style>
  <w:style w:type="character" w:customStyle="1" w:styleId="Heading1Char">
    <w:name w:val="Heading 1 Char"/>
    <w:basedOn w:val="DefaultParagraphFont"/>
    <w:link w:val="Heading1"/>
    <w:uiPriority w:val="9"/>
    <w:rsid w:val="00916EDA"/>
    <w:rPr>
      <w:rFonts w:eastAsiaTheme="majorEastAsia" w:cstheme="majorBidi"/>
      <w:b/>
      <w:bCs/>
      <w:sz w:val="28"/>
      <w:szCs w:val="28"/>
    </w:rPr>
  </w:style>
  <w:style w:type="character" w:customStyle="1" w:styleId="Heading2Char">
    <w:name w:val="Heading 2 Char"/>
    <w:basedOn w:val="DefaultParagraphFont"/>
    <w:link w:val="Heading2"/>
    <w:uiPriority w:val="9"/>
    <w:rsid w:val="00916EDA"/>
    <w:rPr>
      <w:rFonts w:eastAsiaTheme="majorEastAsia" w:cstheme="majorBidi"/>
      <w:b/>
      <w:bCs/>
      <w:sz w:val="24"/>
      <w:szCs w:val="26"/>
    </w:rPr>
  </w:style>
  <w:style w:type="character" w:customStyle="1" w:styleId="Heading3Char">
    <w:name w:val="Heading 3 Char"/>
    <w:basedOn w:val="DefaultParagraphFont"/>
    <w:link w:val="Heading3"/>
    <w:uiPriority w:val="9"/>
    <w:rsid w:val="00916EDA"/>
    <w:rPr>
      <w:rFonts w:eastAsiaTheme="majorEastAsia" w:cstheme="majorBidi"/>
      <w:b/>
      <w:bCs/>
      <w:sz w:val="20"/>
    </w:rPr>
  </w:style>
  <w:style w:type="character" w:customStyle="1" w:styleId="Heading4Char">
    <w:name w:val="Heading 4 Char"/>
    <w:basedOn w:val="DefaultParagraphFont"/>
    <w:link w:val="Heading4"/>
    <w:uiPriority w:val="9"/>
    <w:rsid w:val="00C262D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262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262D5"/>
    <w:rPr>
      <w:rFonts w:asciiTheme="majorHAnsi" w:eastAsiaTheme="majorEastAsia" w:hAnsiTheme="majorHAnsi" w:cstheme="majorBidi"/>
      <w:b/>
      <w:bCs/>
      <w:i/>
      <w:iCs/>
      <w:color w:val="7F7F7F" w:themeColor="text1" w:themeTint="80"/>
    </w:rPr>
  </w:style>
  <w:style w:type="paragraph" w:styleId="Quote">
    <w:name w:val="Quote"/>
    <w:basedOn w:val="Normal"/>
    <w:next w:val="Normal"/>
    <w:link w:val="QuoteChar"/>
    <w:uiPriority w:val="29"/>
    <w:qFormat/>
    <w:rsid w:val="00C262D5"/>
    <w:pPr>
      <w:spacing w:before="200"/>
      <w:ind w:left="360" w:right="360"/>
    </w:pPr>
    <w:rPr>
      <w:i/>
      <w:iCs/>
    </w:rPr>
  </w:style>
  <w:style w:type="character" w:customStyle="1" w:styleId="QuoteChar">
    <w:name w:val="Quote Char"/>
    <w:basedOn w:val="DefaultParagraphFont"/>
    <w:link w:val="Quote"/>
    <w:uiPriority w:val="29"/>
    <w:rsid w:val="00C262D5"/>
    <w:rPr>
      <w:i/>
      <w:iCs/>
    </w:rPr>
  </w:style>
  <w:style w:type="character" w:customStyle="1" w:styleId="QuoteChar1">
    <w:name w:val="Quote Char1"/>
    <w:basedOn w:val="DefaultParagraphFont"/>
    <w:uiPriority w:val="29"/>
    <w:rsid w:val="00C262D5"/>
    <w:rPr>
      <w:i/>
      <w:iCs/>
    </w:rPr>
  </w:style>
  <w:style w:type="paragraph" w:styleId="ListBullet">
    <w:name w:val="List Bullet"/>
    <w:basedOn w:val="Normal"/>
    <w:uiPriority w:val="99"/>
    <w:semiHidden/>
    <w:unhideWhenUsed/>
    <w:rsid w:val="00C262D5"/>
    <w:pPr>
      <w:numPr>
        <w:numId w:val="13"/>
      </w:numPr>
      <w:contextualSpacing/>
    </w:pPr>
  </w:style>
  <w:style w:type="paragraph" w:styleId="ListNumber">
    <w:name w:val="List Number"/>
    <w:basedOn w:val="Normal"/>
    <w:uiPriority w:val="99"/>
    <w:semiHidden/>
    <w:unhideWhenUsed/>
    <w:rsid w:val="00C262D5"/>
    <w:pPr>
      <w:numPr>
        <w:numId w:val="14"/>
      </w:numPr>
      <w:contextualSpacing/>
    </w:pPr>
  </w:style>
  <w:style w:type="paragraph" w:styleId="TableofFigures">
    <w:name w:val="table of figures"/>
    <w:basedOn w:val="Normal"/>
    <w:next w:val="Normal"/>
    <w:uiPriority w:val="99"/>
    <w:semiHidden/>
    <w:unhideWhenUsed/>
    <w:rsid w:val="00C262D5"/>
  </w:style>
  <w:style w:type="character" w:styleId="IntenseEmphasis">
    <w:name w:val="Intense Emphasis"/>
    <w:uiPriority w:val="21"/>
    <w:qFormat/>
    <w:rsid w:val="00C262D5"/>
    <w:rPr>
      <w:b/>
      <w:bCs/>
    </w:rPr>
  </w:style>
  <w:style w:type="paragraph" w:styleId="IntenseQuote">
    <w:name w:val="Intense Quote"/>
    <w:basedOn w:val="Normal"/>
    <w:next w:val="Normal"/>
    <w:link w:val="IntenseQuoteChar"/>
    <w:uiPriority w:val="30"/>
    <w:qFormat/>
    <w:rsid w:val="00C262D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62D5"/>
    <w:rPr>
      <w:b/>
      <w:bCs/>
      <w:i/>
      <w:iCs/>
    </w:rPr>
  </w:style>
  <w:style w:type="character" w:styleId="SubtleReference">
    <w:name w:val="Subtle Reference"/>
    <w:uiPriority w:val="31"/>
    <w:qFormat/>
    <w:rsid w:val="00C262D5"/>
    <w:rPr>
      <w:smallCaps/>
    </w:rPr>
  </w:style>
  <w:style w:type="character" w:customStyle="1" w:styleId="Heading7Char">
    <w:name w:val="Heading 7 Char"/>
    <w:basedOn w:val="DefaultParagraphFont"/>
    <w:link w:val="Heading7"/>
    <w:uiPriority w:val="9"/>
    <w:rsid w:val="00C262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C262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262D5"/>
    <w:rPr>
      <w:rFonts w:asciiTheme="majorHAnsi" w:eastAsiaTheme="majorEastAsia" w:hAnsiTheme="majorHAnsi" w:cstheme="majorBidi"/>
      <w:i/>
      <w:iCs/>
      <w:spacing w:val="5"/>
      <w:sz w:val="20"/>
      <w:szCs w:val="20"/>
    </w:rPr>
  </w:style>
  <w:style w:type="character" w:styleId="IntenseReference">
    <w:name w:val="Intense Reference"/>
    <w:uiPriority w:val="32"/>
    <w:qFormat/>
    <w:rsid w:val="00C262D5"/>
    <w:rPr>
      <w:smallCaps/>
      <w:spacing w:val="5"/>
      <w:u w:val="single"/>
    </w:rPr>
  </w:style>
  <w:style w:type="paragraph" w:styleId="TOCHeading">
    <w:name w:val="TOC Heading"/>
    <w:basedOn w:val="Heading1"/>
    <w:next w:val="Normal"/>
    <w:uiPriority w:val="39"/>
    <w:semiHidden/>
    <w:unhideWhenUsed/>
    <w:qFormat/>
    <w:rsid w:val="00C262D5"/>
    <w:pPr>
      <w:outlineLvl w:val="9"/>
    </w:pPr>
    <w:rPr>
      <w:lang w:bidi="en-US"/>
    </w:rPr>
  </w:style>
  <w:style w:type="paragraph" w:styleId="BlockText">
    <w:name w:val="Block Text"/>
    <w:basedOn w:val="Normal"/>
    <w:uiPriority w:val="99"/>
    <w:semiHidden/>
    <w:unhideWhenUsed/>
    <w:rsid w:val="00C262D5"/>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C262D5"/>
    <w:rPr>
      <w:color w:val="auto"/>
    </w:rPr>
  </w:style>
  <w:style w:type="paragraph" w:styleId="TOAHeading">
    <w:name w:val="toa heading"/>
    <w:basedOn w:val="Normal"/>
    <w:next w:val="Normal"/>
    <w:uiPriority w:val="99"/>
    <w:semiHidden/>
    <w:unhideWhenUsed/>
    <w:rsid w:val="00C262D5"/>
    <w:rPr>
      <w:rFonts w:eastAsiaTheme="majorEastAsia" w:cstheme="majorBidi"/>
      <w:b/>
      <w:bCs/>
      <w:sz w:val="28"/>
    </w:rPr>
  </w:style>
  <w:style w:type="paragraph" w:styleId="PlainText">
    <w:name w:val="Plain Text"/>
    <w:basedOn w:val="Normal"/>
    <w:link w:val="PlainTextChar"/>
    <w:uiPriority w:val="99"/>
    <w:semiHidden/>
    <w:unhideWhenUsed/>
    <w:rsid w:val="00C262D5"/>
    <w:rPr>
      <w:rFonts w:ascii="Consolas" w:hAnsi="Consolas"/>
      <w:szCs w:val="21"/>
    </w:rPr>
  </w:style>
  <w:style w:type="character" w:customStyle="1" w:styleId="PlainTextChar">
    <w:name w:val="Plain Text Char"/>
    <w:basedOn w:val="DefaultParagraphFont"/>
    <w:link w:val="PlainText"/>
    <w:uiPriority w:val="99"/>
    <w:semiHidden/>
    <w:rsid w:val="00C262D5"/>
    <w:rPr>
      <w:rFonts w:ascii="Consolas" w:hAnsi="Consolas"/>
      <w:szCs w:val="21"/>
    </w:rPr>
  </w:style>
  <w:style w:type="paragraph" w:styleId="BodyText3">
    <w:name w:val="Body Text 3"/>
    <w:basedOn w:val="Normal"/>
    <w:link w:val="BodyText3Char"/>
    <w:uiPriority w:val="99"/>
    <w:semiHidden/>
    <w:unhideWhenUsed/>
    <w:rsid w:val="00C262D5"/>
    <w:pPr>
      <w:spacing w:after="120"/>
    </w:pPr>
    <w:rPr>
      <w:szCs w:val="16"/>
    </w:rPr>
  </w:style>
  <w:style w:type="character" w:customStyle="1" w:styleId="BodyText3Char">
    <w:name w:val="Body Text 3 Char"/>
    <w:basedOn w:val="DefaultParagraphFont"/>
    <w:link w:val="BodyText3"/>
    <w:uiPriority w:val="99"/>
    <w:semiHidden/>
    <w:rsid w:val="00C262D5"/>
    <w:rPr>
      <w:sz w:val="20"/>
      <w:szCs w:val="16"/>
    </w:rPr>
  </w:style>
  <w:style w:type="paragraph" w:styleId="BodyText">
    <w:name w:val="Body Text"/>
    <w:basedOn w:val="Normal"/>
    <w:link w:val="BodyTextChar"/>
    <w:uiPriority w:val="99"/>
    <w:semiHidden/>
    <w:unhideWhenUsed/>
    <w:rsid w:val="00C262D5"/>
    <w:pPr>
      <w:spacing w:after="120"/>
    </w:pPr>
  </w:style>
  <w:style w:type="character" w:customStyle="1" w:styleId="BodyTextChar">
    <w:name w:val="Body Text Char"/>
    <w:basedOn w:val="DefaultParagraphFont"/>
    <w:link w:val="BodyText"/>
    <w:uiPriority w:val="99"/>
    <w:semiHidden/>
    <w:rsid w:val="00C262D5"/>
  </w:style>
  <w:style w:type="paragraph" w:styleId="BodyTextFirstIndent">
    <w:name w:val="Body Text First Indent"/>
    <w:basedOn w:val="BodyText"/>
    <w:link w:val="BodyTextFirstIndentChar"/>
    <w:uiPriority w:val="99"/>
    <w:unhideWhenUsed/>
    <w:rsid w:val="00C262D5"/>
    <w:pPr>
      <w:spacing w:after="320"/>
      <w:ind w:firstLine="360"/>
    </w:pPr>
  </w:style>
  <w:style w:type="character" w:customStyle="1" w:styleId="BodyTextFirstIndentChar">
    <w:name w:val="Body Text First Indent Char"/>
    <w:basedOn w:val="BodyTextChar"/>
    <w:link w:val="BodyTextFirstIndent"/>
    <w:uiPriority w:val="99"/>
    <w:rsid w:val="00C262D5"/>
  </w:style>
  <w:style w:type="paragraph" w:styleId="BodyTextIndent3">
    <w:name w:val="Body Text Indent 3"/>
    <w:basedOn w:val="Normal"/>
    <w:link w:val="BodyTextIndent3Char"/>
    <w:uiPriority w:val="99"/>
    <w:unhideWhenUsed/>
    <w:rsid w:val="00C262D5"/>
    <w:pPr>
      <w:spacing w:after="120"/>
      <w:ind w:left="283"/>
    </w:pPr>
    <w:rPr>
      <w:szCs w:val="16"/>
    </w:rPr>
  </w:style>
  <w:style w:type="character" w:customStyle="1" w:styleId="BodyTextIndent3Char">
    <w:name w:val="Body Text Indent 3 Char"/>
    <w:basedOn w:val="DefaultParagraphFont"/>
    <w:link w:val="BodyTextIndent3"/>
    <w:uiPriority w:val="99"/>
    <w:rsid w:val="00C262D5"/>
    <w:rPr>
      <w:sz w:val="20"/>
      <w:szCs w:val="16"/>
    </w:rPr>
  </w:style>
  <w:style w:type="paragraph" w:styleId="DocumentMap">
    <w:name w:val="Document Map"/>
    <w:basedOn w:val="Normal"/>
    <w:link w:val="DocumentMapChar"/>
    <w:uiPriority w:val="99"/>
    <w:semiHidden/>
    <w:unhideWhenUsed/>
    <w:rsid w:val="00C262D5"/>
    <w:rPr>
      <w:rFonts w:cs="Tahoma"/>
      <w:szCs w:val="16"/>
    </w:rPr>
  </w:style>
  <w:style w:type="character" w:customStyle="1" w:styleId="DocumentMapChar">
    <w:name w:val="Document Map Char"/>
    <w:basedOn w:val="DefaultParagraphFont"/>
    <w:link w:val="DocumentMap"/>
    <w:uiPriority w:val="99"/>
    <w:semiHidden/>
    <w:rsid w:val="00C262D5"/>
    <w:rPr>
      <w:rFonts w:cs="Tahoma"/>
      <w:szCs w:val="16"/>
    </w:rPr>
  </w:style>
  <w:style w:type="paragraph" w:styleId="EndnoteText">
    <w:name w:val="endnote text"/>
    <w:basedOn w:val="Normal"/>
    <w:link w:val="EndnoteTextChar"/>
    <w:uiPriority w:val="99"/>
    <w:unhideWhenUsed/>
    <w:rsid w:val="00C262D5"/>
    <w:rPr>
      <w:szCs w:val="20"/>
    </w:rPr>
  </w:style>
  <w:style w:type="character" w:customStyle="1" w:styleId="EndnoteTextChar">
    <w:name w:val="Endnote Text Char"/>
    <w:basedOn w:val="DefaultParagraphFont"/>
    <w:link w:val="EndnoteText"/>
    <w:uiPriority w:val="99"/>
    <w:rsid w:val="00C262D5"/>
    <w:rPr>
      <w:szCs w:val="20"/>
    </w:rPr>
  </w:style>
  <w:style w:type="character" w:styleId="Emphasis">
    <w:name w:val="Emphasis"/>
    <w:uiPriority w:val="20"/>
    <w:qFormat/>
    <w:rsid w:val="00C262D5"/>
    <w:rPr>
      <w:b/>
      <w:bCs/>
      <w:i/>
      <w:iCs/>
      <w:spacing w:val="10"/>
      <w:bdr w:val="none" w:sz="0" w:space="0" w:color="auto"/>
      <w:shd w:val="clear" w:color="auto" w:fill="auto"/>
    </w:rPr>
  </w:style>
  <w:style w:type="paragraph" w:styleId="EnvelopeReturn">
    <w:name w:val="envelope return"/>
    <w:basedOn w:val="Normal"/>
    <w:uiPriority w:val="99"/>
    <w:semiHidden/>
    <w:unhideWhenUsed/>
    <w:rsid w:val="00C262D5"/>
    <w:rPr>
      <w:rFonts w:eastAsiaTheme="majorEastAsia" w:cstheme="majorBidi"/>
      <w:szCs w:val="20"/>
    </w:rPr>
  </w:style>
  <w:style w:type="paragraph" w:styleId="MessageHeader">
    <w:name w:val="Message Header"/>
    <w:basedOn w:val="Normal"/>
    <w:link w:val="MessageHeaderChar"/>
    <w:uiPriority w:val="99"/>
    <w:semiHidden/>
    <w:unhideWhenUsed/>
    <w:rsid w:val="00C262D5"/>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C262D5"/>
    <w:rPr>
      <w:rFonts w:eastAsiaTheme="majorEastAsia" w:cstheme="majorBidi"/>
      <w:shd w:val="pct20" w:color="auto" w:fill="auto"/>
    </w:rPr>
  </w:style>
  <w:style w:type="paragraph" w:styleId="NoSpacing">
    <w:name w:val="No Spacing"/>
    <w:basedOn w:val="Normal"/>
    <w:link w:val="NoSpacingChar"/>
    <w:uiPriority w:val="1"/>
    <w:qFormat/>
    <w:rsid w:val="00C262D5"/>
  </w:style>
  <w:style w:type="paragraph" w:styleId="NormalWeb">
    <w:name w:val="Normal (Web)"/>
    <w:basedOn w:val="Normal"/>
    <w:uiPriority w:val="99"/>
    <w:semiHidden/>
    <w:unhideWhenUsed/>
    <w:rsid w:val="00C262D5"/>
    <w:rPr>
      <w:rFonts w:cs="Times New Roman"/>
    </w:rPr>
  </w:style>
  <w:style w:type="paragraph" w:styleId="Index1">
    <w:name w:val="index 1"/>
    <w:basedOn w:val="Normal"/>
    <w:next w:val="Normal"/>
    <w:autoRedefine/>
    <w:uiPriority w:val="99"/>
    <w:semiHidden/>
    <w:unhideWhenUsed/>
    <w:rsid w:val="00C262D5"/>
    <w:pPr>
      <w:ind w:left="240" w:hanging="240"/>
    </w:pPr>
  </w:style>
  <w:style w:type="paragraph" w:styleId="IndexHeading">
    <w:name w:val="index heading"/>
    <w:basedOn w:val="Normal"/>
    <w:next w:val="Index1"/>
    <w:uiPriority w:val="99"/>
    <w:semiHidden/>
    <w:unhideWhenUsed/>
    <w:rsid w:val="00C262D5"/>
    <w:rPr>
      <w:rFonts w:eastAsiaTheme="majorEastAsia" w:cstheme="majorBidi"/>
      <w:b/>
      <w:bCs/>
    </w:rPr>
  </w:style>
  <w:style w:type="character" w:styleId="Strong">
    <w:name w:val="Strong"/>
    <w:uiPriority w:val="22"/>
    <w:qFormat/>
    <w:rsid w:val="00C262D5"/>
    <w:rPr>
      <w:b/>
      <w:bCs/>
    </w:rPr>
  </w:style>
  <w:style w:type="character" w:customStyle="1" w:styleId="NoSpacingChar">
    <w:name w:val="No Spacing Char"/>
    <w:basedOn w:val="DefaultParagraphFont"/>
    <w:link w:val="NoSpacing"/>
    <w:uiPriority w:val="1"/>
    <w:rsid w:val="00C262D5"/>
  </w:style>
  <w:style w:type="paragraph" w:styleId="ListParagraph">
    <w:name w:val="List Paragraph"/>
    <w:basedOn w:val="Normal"/>
    <w:uiPriority w:val="34"/>
    <w:qFormat/>
    <w:rsid w:val="00C262D5"/>
    <w:pPr>
      <w:ind w:left="720"/>
      <w:contextualSpacing/>
    </w:pPr>
  </w:style>
  <w:style w:type="character" w:styleId="SubtleEmphasis">
    <w:name w:val="Subtle Emphasis"/>
    <w:uiPriority w:val="19"/>
    <w:qFormat/>
    <w:rsid w:val="00C262D5"/>
    <w:rPr>
      <w:i/>
      <w:iCs/>
    </w:rPr>
  </w:style>
  <w:style w:type="character" w:styleId="BookTitle">
    <w:name w:val="Book Title"/>
    <w:uiPriority w:val="33"/>
    <w:qFormat/>
    <w:rsid w:val="00C262D5"/>
    <w:rPr>
      <w:i/>
      <w:iCs/>
      <w:smallCaps/>
      <w:spacing w:val="5"/>
    </w:rPr>
  </w:style>
  <w:style w:type="table" w:styleId="TableGrid">
    <w:name w:val="Table Grid"/>
    <w:basedOn w:val="TableNormal"/>
    <w:uiPriority w:val="39"/>
    <w:rsid w:val="00D048B4"/>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72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ar.researchdata.leeds.ac.uk/" TargetMode="External"/><Relationship Id="rId5" Type="http://schemas.openxmlformats.org/officeDocument/2006/relationships/hyperlink" Target="https://cran.r-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l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Hicks</dc:creator>
  <cp:keywords/>
  <dc:description/>
  <cp:lastModifiedBy>Joseph Hicks</cp:lastModifiedBy>
  <cp:revision>8</cp:revision>
  <dcterms:created xsi:type="dcterms:W3CDTF">2019-12-13T16:20:00Z</dcterms:created>
  <dcterms:modified xsi:type="dcterms:W3CDTF">2019-12-19T11:11:00Z</dcterms:modified>
</cp:coreProperties>
</file>