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D2" w:rsidRDefault="002E7A00" w:rsidP="00086B33">
      <w:pPr>
        <w:jc w:val="both"/>
      </w:pPr>
      <w:r>
        <w:t>We demonstrate a</w:t>
      </w:r>
      <w:r w:rsidR="00D86AD2" w:rsidRPr="00D86AD2">
        <w:t xml:space="preserve"> </w:t>
      </w:r>
      <w:r w:rsidR="003709C3">
        <w:t xml:space="preserve">broadband </w:t>
      </w:r>
      <w:r w:rsidR="00D86AD2" w:rsidRPr="00D86AD2">
        <w:t xml:space="preserve">terahertz </w:t>
      </w:r>
      <w:r w:rsidR="003709C3">
        <w:t>gas spectroscopy through multimode self-mixing in a quantum cascade laser</w:t>
      </w:r>
      <w:r>
        <w:t xml:space="preserve">. </w:t>
      </w:r>
      <w:r w:rsidR="0003120C" w:rsidRPr="00501EB8">
        <w:t>The transmission spectra of methanol were simultaneously obtained within two distinct frequency ranges from 3.359</w:t>
      </w:r>
      <w:r w:rsidR="0003120C">
        <w:t> </w:t>
      </w:r>
      <w:r w:rsidR="0003120C" w:rsidRPr="00501EB8">
        <w:t xml:space="preserve">THz to 3.369 THz and from 3.426 THz to 3.433 THz. This approach </w:t>
      </w:r>
      <w:r w:rsidR="0003120C">
        <w:t>has increased the total measurement bandwidth</w:t>
      </w:r>
      <w:r w:rsidR="0003120C">
        <w:t xml:space="preserve"> of self-mixing spectroscopy</w:t>
      </w:r>
      <w:r w:rsidR="0003120C">
        <w:t xml:space="preserve"> </w:t>
      </w:r>
      <w:r w:rsidR="0003120C">
        <w:t xml:space="preserve">to 17GHz, </w:t>
      </w:r>
      <w:r w:rsidR="0003120C">
        <w:t>by a factor of ~7</w:t>
      </w:r>
      <w:r w:rsidR="0003120C">
        <w:t xml:space="preserve">, </w:t>
      </w:r>
      <w:r w:rsidR="0003120C">
        <w:t xml:space="preserve">and </w:t>
      </w:r>
      <w:r w:rsidR="0003120C" w:rsidRPr="00501EB8">
        <w:t>underpins future work to develop the first broadband “detector-free” multi-gas QCL spectroscopy systems.</w:t>
      </w:r>
      <w:r w:rsidR="00D86AD2" w:rsidRPr="00D86AD2">
        <w:t xml:space="preserve"> </w:t>
      </w:r>
      <w:r w:rsidR="00D86AD2">
        <w:t xml:space="preserve">Figure 1 shows </w:t>
      </w:r>
      <w:r w:rsidR="00D61251">
        <w:t>s</w:t>
      </w:r>
      <w:r w:rsidR="00D61251" w:rsidRPr="00D61251">
        <w:t>chematic illustration of the configuration of the gas spectroscopy system.</w:t>
      </w:r>
      <w:r w:rsidR="00954564">
        <w:t xml:space="preserve"> Figure 2 and figure 3 </w:t>
      </w:r>
      <w:r>
        <w:t xml:space="preserve">are </w:t>
      </w:r>
      <w:r w:rsidR="00CF0211">
        <w:t xml:space="preserve">the </w:t>
      </w:r>
      <w:r>
        <w:t xml:space="preserve">characterisation </w:t>
      </w:r>
      <w:r w:rsidR="00D61251">
        <w:t xml:space="preserve">of emission spectra and the frequency tuning range of the QCL. </w:t>
      </w:r>
      <w:r w:rsidR="00086B33">
        <w:t>Figures 4</w:t>
      </w:r>
      <w:r w:rsidR="00D61251">
        <w:t xml:space="preserve"> and figure 5 shows the spectra of the methanol, obtained simultaneously from the two modes of the QCL. Figure 6 shows the absorption coefficient</w:t>
      </w:r>
      <w:r w:rsidR="003E1133">
        <w:t>s</w:t>
      </w:r>
      <w:r w:rsidR="00D61251">
        <w:t xml:space="preserve"> of the methanol</w:t>
      </w:r>
      <w:r w:rsidR="003E1133">
        <w:t xml:space="preserve"> at different pressure.</w:t>
      </w:r>
      <w:bookmarkStart w:id="0" w:name="_GoBack"/>
      <w:bookmarkEnd w:id="0"/>
    </w:p>
    <w:sectPr w:rsidR="00D8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2"/>
    <w:rsid w:val="0003120C"/>
    <w:rsid w:val="00086B33"/>
    <w:rsid w:val="00203292"/>
    <w:rsid w:val="002E7A00"/>
    <w:rsid w:val="003709C3"/>
    <w:rsid w:val="003E1133"/>
    <w:rsid w:val="003E5F8D"/>
    <w:rsid w:val="00954564"/>
    <w:rsid w:val="00CF0211"/>
    <w:rsid w:val="00D61251"/>
    <w:rsid w:val="00D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4F8F"/>
  <w15:chartTrackingRefBased/>
  <w15:docId w15:val="{B28B6309-A974-478D-ACFB-579DE00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Yingjun Han</dc:creator>
  <cp:keywords/>
  <dc:description/>
  <cp:lastModifiedBy>Yingjun Han</cp:lastModifiedBy>
  <cp:revision>7</cp:revision>
  <dcterms:created xsi:type="dcterms:W3CDTF">2016-11-11T09:25:00Z</dcterms:created>
  <dcterms:modified xsi:type="dcterms:W3CDTF">2018-11-14T13:11:00Z</dcterms:modified>
</cp:coreProperties>
</file>