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D2" w:rsidRDefault="00B771D2" w:rsidP="00B57528">
      <w:pPr>
        <w:spacing w:line="360" w:lineRule="auto"/>
        <w:jc w:val="both"/>
      </w:pPr>
    </w:p>
    <w:p w:rsidR="00610491" w:rsidRPr="00610491" w:rsidRDefault="00610491" w:rsidP="000C0290">
      <w:pPr>
        <w:pStyle w:val="Heading2"/>
        <w:spacing w:line="360" w:lineRule="auto"/>
        <w:jc w:val="center"/>
        <w:rPr>
          <w:sz w:val="28"/>
        </w:rPr>
      </w:pPr>
      <w:r>
        <w:rPr>
          <w:sz w:val="28"/>
          <w:u w:val="single"/>
        </w:rPr>
        <w:t>Evolution of Teaching Simulation</w:t>
      </w:r>
    </w:p>
    <w:p w:rsidR="000D4899" w:rsidRDefault="00705FF2" w:rsidP="000C0290">
      <w:pPr>
        <w:pStyle w:val="Heading2"/>
        <w:spacing w:line="360" w:lineRule="auto"/>
        <w:jc w:val="center"/>
        <w:rPr>
          <w:sz w:val="28"/>
          <w:u w:val="single"/>
        </w:rPr>
      </w:pPr>
      <w:r w:rsidRPr="00B771D2">
        <w:rPr>
          <w:sz w:val="28"/>
          <w:u w:val="single"/>
        </w:rPr>
        <w:t>MODEL GUIDE</w:t>
      </w:r>
    </w:p>
    <w:p w:rsidR="000C0290" w:rsidRDefault="000C0290" w:rsidP="000C0290">
      <w:pPr>
        <w:jc w:val="center"/>
      </w:pPr>
      <w:r>
        <w:t xml:space="preserve">Written by Carrie Easter </w:t>
      </w:r>
      <w:bookmarkStart w:id="0" w:name="_GoBack"/>
      <w:bookmarkEnd w:id="0"/>
    </w:p>
    <w:p w:rsidR="000C0290" w:rsidRPr="000C0290" w:rsidRDefault="000C0290" w:rsidP="000C0290">
      <w:pPr>
        <w:jc w:val="center"/>
      </w:pPr>
      <w:r>
        <w:t>(Last Updated: 17/04/2018)</w:t>
      </w:r>
    </w:p>
    <w:p w:rsidR="000C0290" w:rsidRPr="000C0290" w:rsidRDefault="000C0290" w:rsidP="000C0290"/>
    <w:p w:rsidR="00557A21" w:rsidRDefault="00705FF2" w:rsidP="00B57528">
      <w:pPr>
        <w:spacing w:line="360" w:lineRule="auto"/>
        <w:jc w:val="both"/>
      </w:pPr>
      <w:r>
        <w:t xml:space="preserve">A useful guide on how to use the social learning / teaching </w:t>
      </w:r>
      <w:proofErr w:type="spellStart"/>
      <w:r>
        <w:t>NetLogo</w:t>
      </w:r>
      <w:proofErr w:type="spellEnd"/>
      <w:r>
        <w:t xml:space="preserve"> simulation</w:t>
      </w:r>
      <w:r w:rsidR="00557A21">
        <w:t xml:space="preserve"> available from the University of Leeds Research Data Repository (</w:t>
      </w:r>
      <w:hyperlink r:id="rId7" w:history="1">
        <w:r w:rsidR="00557A21" w:rsidRPr="00D80CFF">
          <w:rPr>
            <w:rStyle w:val="Hyperlink"/>
          </w:rPr>
          <w:t>https://doi.org/10.5518/360</w:t>
        </w:r>
      </w:hyperlink>
      <w:r w:rsidR="00557A21">
        <w:t xml:space="preserve">). </w:t>
      </w:r>
    </w:p>
    <w:p w:rsidR="001C06AC" w:rsidRDefault="00557A21" w:rsidP="00B57528">
      <w:pPr>
        <w:spacing w:line="360" w:lineRule="auto"/>
        <w:jc w:val="both"/>
      </w:pPr>
      <w:r>
        <w:t xml:space="preserve">This guide is </w:t>
      </w:r>
      <w:r w:rsidR="00705FF2">
        <w:t>for anyone wishing to use the simulation for their own research or interests.</w:t>
      </w:r>
      <w:r w:rsidR="007C7B83">
        <w:t xml:space="preserve"> </w:t>
      </w:r>
    </w:p>
    <w:p w:rsidR="002F56F9" w:rsidRDefault="007C7B83" w:rsidP="00B57528">
      <w:pPr>
        <w:spacing w:line="360" w:lineRule="auto"/>
        <w:jc w:val="both"/>
      </w:pPr>
      <w:r>
        <w:t>The purpose of this simulation was to investigate how altering certain parameters affects the likelihood that teaching (actively increasing the probability of learning in other, naïve individuals) will evolve.</w:t>
      </w:r>
      <w:r w:rsidR="00705FF2">
        <w:t xml:space="preserve"> </w:t>
      </w:r>
      <w:r w:rsidR="001C06AC">
        <w:t xml:space="preserve">Please see the Model Summary and Processes documentation available at </w:t>
      </w:r>
      <w:hyperlink r:id="rId8" w:history="1">
        <w:r w:rsidR="001C06AC" w:rsidRPr="00D80CFF">
          <w:rPr>
            <w:rStyle w:val="Hyperlink"/>
          </w:rPr>
          <w:t>https://doi.org/10.5518/360</w:t>
        </w:r>
      </w:hyperlink>
      <w:r w:rsidR="001C06AC">
        <w:t xml:space="preserve"> for a detailed description of how the model functions.</w:t>
      </w:r>
    </w:p>
    <w:p w:rsidR="001C06AC" w:rsidRDefault="00705FF2" w:rsidP="00B57528">
      <w:pPr>
        <w:spacing w:line="360" w:lineRule="auto"/>
        <w:jc w:val="both"/>
      </w:pPr>
      <w:r>
        <w:t xml:space="preserve">In order to run this simulation, users must download the free software from </w:t>
      </w:r>
      <w:hyperlink r:id="rId9" w:history="1">
        <w:r w:rsidR="001C06AC" w:rsidRPr="00D80CFF">
          <w:rPr>
            <w:rStyle w:val="Hyperlink"/>
          </w:rPr>
          <w:t>https://ccl.northwestern.edu/netlogo/download.shtml</w:t>
        </w:r>
      </w:hyperlink>
      <w:r w:rsidR="001C06AC">
        <w:t xml:space="preserve">. It is recommended that this model is run in </w:t>
      </w:r>
      <w:proofErr w:type="spellStart"/>
      <w:r w:rsidR="001C06AC">
        <w:t>NetLogo</w:t>
      </w:r>
      <w:proofErr w:type="spellEnd"/>
      <w:r w:rsidR="001C06AC">
        <w:t xml:space="preserve"> 6.0.2 or 6.0.3, due to slight changes in syntax from older versions. </w:t>
      </w:r>
    </w:p>
    <w:p w:rsidR="00E111AB" w:rsidRDefault="001C06AC" w:rsidP="00B57528">
      <w:pPr>
        <w:spacing w:line="360" w:lineRule="auto"/>
        <w:jc w:val="both"/>
      </w:pPr>
      <w:r>
        <w:t xml:space="preserve">Please note: The model was originally created in </w:t>
      </w:r>
      <w:proofErr w:type="spellStart"/>
      <w:r>
        <w:t>NetLogo</w:t>
      </w:r>
      <w:proofErr w:type="spellEnd"/>
      <w:r>
        <w:t xml:space="preserve"> 5.2.0 and then made compatible with 6.0.2 (and 6.0.3) using the program’s automatic conversion system. It is possible to convert the model back to </w:t>
      </w:r>
      <w:proofErr w:type="spellStart"/>
      <w:r>
        <w:t>NetLogo</w:t>
      </w:r>
      <w:proofErr w:type="spellEnd"/>
      <w:r>
        <w:t xml:space="preserve"> 5.2.0 syntax by opening the file in this version of </w:t>
      </w:r>
      <w:proofErr w:type="spellStart"/>
      <w:r>
        <w:t>NetLogo</w:t>
      </w:r>
      <w:proofErr w:type="spellEnd"/>
      <w:r>
        <w:t xml:space="preserve"> and agreeing to the conversion prompt. If the model is run on future versions, however, alterations to the code may be required to make it compatible. </w:t>
      </w:r>
      <w:r w:rsidR="00557A21">
        <w:t>Please see the transition guide (</w:t>
      </w:r>
      <w:hyperlink r:id="rId10" w:history="1">
        <w:r w:rsidRPr="00D80CFF">
          <w:rPr>
            <w:rStyle w:val="Hyperlink"/>
          </w:rPr>
          <w:t>http://ccl.northwestern.edu/netlogo/6.0/docs/transition.html</w:t>
        </w:r>
      </w:hyperlink>
      <w:r w:rsidR="00557A21">
        <w:t>)</w:t>
      </w:r>
      <w:r>
        <w:t xml:space="preserve"> </w:t>
      </w:r>
      <w:r w:rsidR="00557A21">
        <w:t xml:space="preserve">for information about changes between versions. </w:t>
      </w:r>
    </w:p>
    <w:p w:rsidR="00734599" w:rsidRDefault="00734599" w:rsidP="00B57528">
      <w:pPr>
        <w:spacing w:line="360" w:lineRule="auto"/>
        <w:jc w:val="both"/>
      </w:pPr>
      <w:r>
        <w:t>Please give full credit if using this model or a modified version of it in your own research.</w:t>
      </w:r>
    </w:p>
    <w:p w:rsidR="00705FF2" w:rsidRDefault="00705FF2" w:rsidP="00B57528">
      <w:pPr>
        <w:spacing w:line="360" w:lineRule="auto"/>
        <w:jc w:val="both"/>
      </w:pPr>
    </w:p>
    <w:p w:rsidR="007C7B83" w:rsidRDefault="007C7B83" w:rsidP="00B57528">
      <w:pPr>
        <w:pStyle w:val="Heading3"/>
        <w:spacing w:line="360" w:lineRule="auto"/>
        <w:rPr>
          <w:b/>
          <w:color w:val="000000" w:themeColor="text1"/>
        </w:rPr>
      </w:pPr>
      <w:proofErr w:type="spellStart"/>
      <w:r>
        <w:rPr>
          <w:b/>
          <w:color w:val="000000" w:themeColor="text1"/>
        </w:rPr>
        <w:t>NetLogo</w:t>
      </w:r>
      <w:proofErr w:type="spellEnd"/>
      <w:r>
        <w:rPr>
          <w:b/>
          <w:color w:val="000000" w:themeColor="text1"/>
        </w:rPr>
        <w:t xml:space="preserve"> Jargon</w:t>
      </w:r>
    </w:p>
    <w:p w:rsidR="007C7B83" w:rsidRDefault="007C7B83" w:rsidP="00B57528">
      <w:pPr>
        <w:spacing w:after="0" w:line="360" w:lineRule="auto"/>
        <w:ind w:left="1276" w:hanging="1276"/>
        <w:jc w:val="both"/>
      </w:pPr>
      <w:r>
        <w:t>‘World’ = the simulated space</w:t>
      </w:r>
    </w:p>
    <w:p w:rsidR="007C7B83" w:rsidRDefault="007C7B83" w:rsidP="00B57528">
      <w:pPr>
        <w:spacing w:after="0" w:line="360" w:lineRule="auto"/>
        <w:ind w:left="1276" w:hanging="1276"/>
        <w:jc w:val="both"/>
      </w:pPr>
      <w:r>
        <w:t>‘Turtles’ = individuals / agents; represented in this model as moving triangles</w:t>
      </w:r>
    </w:p>
    <w:p w:rsidR="007C7B83" w:rsidRDefault="007C7B83" w:rsidP="00B57528">
      <w:pPr>
        <w:spacing w:after="0" w:line="360" w:lineRule="auto"/>
        <w:ind w:left="1276" w:hanging="1276"/>
        <w:jc w:val="both"/>
      </w:pPr>
      <w:r>
        <w:t>‘Patches’ = the squares that make up the world</w:t>
      </w:r>
    </w:p>
    <w:p w:rsidR="007C7B83" w:rsidRDefault="007C7B83" w:rsidP="00B57528">
      <w:pPr>
        <w:spacing w:after="0" w:line="360" w:lineRule="auto"/>
        <w:ind w:left="1276" w:hanging="1276"/>
        <w:jc w:val="both"/>
      </w:pPr>
      <w:r>
        <w:t>‘Interface’ = the screen where the world and changeable variables are located (when not in this view, navigate here by clicking the ‘interface’ tab on the top-left of the window)</w:t>
      </w:r>
    </w:p>
    <w:p w:rsidR="007C7B83" w:rsidRDefault="007C7B83" w:rsidP="00B57528">
      <w:pPr>
        <w:spacing w:after="0" w:line="360" w:lineRule="auto"/>
        <w:ind w:left="1276" w:hanging="1276"/>
        <w:jc w:val="both"/>
      </w:pPr>
    </w:p>
    <w:p w:rsidR="007C7B83" w:rsidRDefault="007C7B83" w:rsidP="00B57528">
      <w:pPr>
        <w:spacing w:after="0" w:line="360" w:lineRule="auto"/>
        <w:jc w:val="both"/>
      </w:pPr>
      <w:r>
        <w:lastRenderedPageBreak/>
        <w:t xml:space="preserve">For further clarification on generic </w:t>
      </w:r>
      <w:proofErr w:type="spellStart"/>
      <w:r>
        <w:t>NetLogo</w:t>
      </w:r>
      <w:proofErr w:type="spellEnd"/>
      <w:r>
        <w:t xml:space="preserve"> features and general information on the software itself, see the </w:t>
      </w:r>
      <w:proofErr w:type="spellStart"/>
      <w:r>
        <w:t>NetLogo</w:t>
      </w:r>
      <w:proofErr w:type="spellEnd"/>
      <w:r>
        <w:t xml:space="preserve"> Programming Guide </w:t>
      </w:r>
    </w:p>
    <w:p w:rsidR="007C7B83" w:rsidRPr="007C7B83" w:rsidRDefault="007C7B83" w:rsidP="00B57528">
      <w:pPr>
        <w:spacing w:after="0" w:line="360" w:lineRule="auto"/>
        <w:jc w:val="both"/>
      </w:pPr>
      <w:r>
        <w:t>(</w:t>
      </w:r>
      <w:hyperlink r:id="rId11" w:history="1">
        <w:r w:rsidRPr="002F7FD3">
          <w:rPr>
            <w:rStyle w:val="Hyperlink"/>
          </w:rPr>
          <w:t>https://ccl.northwestern.edu/netlogo/docs/programming.html</w:t>
        </w:r>
      </w:hyperlink>
      <w:r>
        <w:t>).</w:t>
      </w:r>
    </w:p>
    <w:p w:rsidR="007C7B83" w:rsidRDefault="007C7B83" w:rsidP="00B57528">
      <w:pPr>
        <w:spacing w:line="360" w:lineRule="auto"/>
        <w:jc w:val="both"/>
      </w:pPr>
    </w:p>
    <w:p w:rsidR="00B57528" w:rsidRDefault="00B57528" w:rsidP="00B57528">
      <w:pPr>
        <w:spacing w:line="360" w:lineRule="auto"/>
        <w:jc w:val="both"/>
      </w:pPr>
    </w:p>
    <w:p w:rsidR="000D1A76" w:rsidRDefault="000D1A76" w:rsidP="00B57528">
      <w:pPr>
        <w:pStyle w:val="Heading3"/>
        <w:spacing w:line="360" w:lineRule="auto"/>
        <w:rPr>
          <w:b/>
          <w:color w:val="000000" w:themeColor="text1"/>
        </w:rPr>
      </w:pPr>
      <w:r>
        <w:rPr>
          <w:b/>
          <w:color w:val="000000" w:themeColor="text1"/>
        </w:rPr>
        <w:t>Changeable Variables on the Interface</w:t>
      </w:r>
    </w:p>
    <w:p w:rsidR="00253107" w:rsidRDefault="000D1A76" w:rsidP="00B57528">
      <w:pPr>
        <w:spacing w:line="360" w:lineRule="auto"/>
        <w:jc w:val="both"/>
      </w:pPr>
      <w:r>
        <w:t>Below is a brief explanation of the changeable variables (e.g. sliders, switches and in</w:t>
      </w:r>
      <w:r w:rsidR="00253107">
        <w:t>put choosers) on the Interface.</w:t>
      </w:r>
    </w:p>
    <w:tbl>
      <w:tblPr>
        <w:tblStyle w:val="TableGrid"/>
        <w:tblW w:w="0" w:type="auto"/>
        <w:tblLayout w:type="fixed"/>
        <w:tblLook w:val="04A0" w:firstRow="1" w:lastRow="0" w:firstColumn="1" w:lastColumn="0" w:noHBand="0" w:noVBand="1"/>
      </w:tblPr>
      <w:tblGrid>
        <w:gridCol w:w="2547"/>
        <w:gridCol w:w="6804"/>
      </w:tblGrid>
      <w:tr w:rsidR="00253107" w:rsidRPr="00253DCB" w:rsidTr="00B57528">
        <w:tc>
          <w:tcPr>
            <w:tcW w:w="2547" w:type="dxa"/>
          </w:tcPr>
          <w:p w:rsidR="00253107" w:rsidRPr="00492B73" w:rsidRDefault="00B57528" w:rsidP="00B57528">
            <w:pPr>
              <w:spacing w:line="360" w:lineRule="auto"/>
              <w:jc w:val="both"/>
              <w:rPr>
                <w:i/>
                <w:sz w:val="20"/>
                <w:szCs w:val="20"/>
              </w:rPr>
            </w:pPr>
            <w:r>
              <w:rPr>
                <w:i/>
                <w:sz w:val="20"/>
                <w:szCs w:val="20"/>
              </w:rPr>
              <w:t>restart</w:t>
            </w:r>
          </w:p>
        </w:tc>
        <w:tc>
          <w:tcPr>
            <w:tcW w:w="6804" w:type="dxa"/>
          </w:tcPr>
          <w:p w:rsidR="00253107" w:rsidRPr="00253DCB" w:rsidRDefault="00B57528" w:rsidP="00610491">
            <w:pPr>
              <w:spacing w:line="360" w:lineRule="auto"/>
              <w:jc w:val="both"/>
              <w:rPr>
                <w:sz w:val="20"/>
                <w:szCs w:val="20"/>
              </w:rPr>
            </w:pPr>
            <w:r>
              <w:rPr>
                <w:sz w:val="20"/>
                <w:szCs w:val="20"/>
              </w:rPr>
              <w:t xml:space="preserve">Once all the interface variables are set up with the values you wish to test, press this button to set up variables ready for data collection and set up the first iteration of the model. Note: This only needs to be pressed once for a given set of parameter values. The model is programmed to automatically set up the next iteration until it reaches </w:t>
            </w:r>
            <w:r w:rsidRPr="00492B73">
              <w:rPr>
                <w:i/>
                <w:sz w:val="20"/>
                <w:szCs w:val="20"/>
              </w:rPr>
              <w:t>number-of-</w:t>
            </w:r>
            <w:r w:rsidR="00610491">
              <w:rPr>
                <w:i/>
                <w:sz w:val="20"/>
                <w:szCs w:val="20"/>
              </w:rPr>
              <w:t>iterations</w:t>
            </w:r>
            <w:r>
              <w:rPr>
                <w:i/>
                <w:sz w:val="20"/>
                <w:szCs w:val="20"/>
              </w:rPr>
              <w:t>.</w:t>
            </w:r>
          </w:p>
        </w:tc>
      </w:tr>
      <w:tr w:rsidR="00B57528" w:rsidRPr="00253DCB" w:rsidTr="00B57528">
        <w:tc>
          <w:tcPr>
            <w:tcW w:w="2547" w:type="dxa"/>
          </w:tcPr>
          <w:p w:rsidR="00B57528" w:rsidRDefault="00B57528" w:rsidP="00B57528">
            <w:pPr>
              <w:spacing w:line="360" w:lineRule="auto"/>
              <w:jc w:val="both"/>
              <w:rPr>
                <w:i/>
                <w:sz w:val="20"/>
                <w:szCs w:val="20"/>
              </w:rPr>
            </w:pPr>
            <w:r>
              <w:rPr>
                <w:i/>
                <w:sz w:val="20"/>
                <w:szCs w:val="20"/>
              </w:rPr>
              <w:t>go</w:t>
            </w:r>
          </w:p>
        </w:tc>
        <w:tc>
          <w:tcPr>
            <w:tcW w:w="6804" w:type="dxa"/>
          </w:tcPr>
          <w:p w:rsidR="00B57528" w:rsidRPr="00B57528" w:rsidRDefault="00B57528" w:rsidP="00610491">
            <w:pPr>
              <w:spacing w:line="360" w:lineRule="auto"/>
              <w:jc w:val="both"/>
            </w:pPr>
            <w:r>
              <w:rPr>
                <w:sz w:val="20"/>
                <w:szCs w:val="20"/>
              </w:rPr>
              <w:t>Press this button to run the simulation. If this button is pressed again, the simulation will ‘pause’ and will continue if pressed again. This button should remain pushed down until all iterations (</w:t>
            </w:r>
            <w:r w:rsidRPr="00492B73">
              <w:rPr>
                <w:i/>
                <w:sz w:val="20"/>
                <w:szCs w:val="20"/>
              </w:rPr>
              <w:t>number-of-</w:t>
            </w:r>
            <w:r w:rsidR="00610491">
              <w:rPr>
                <w:i/>
                <w:sz w:val="20"/>
                <w:szCs w:val="20"/>
              </w:rPr>
              <w:t>iterations</w:t>
            </w:r>
            <w:r>
              <w:rPr>
                <w:sz w:val="20"/>
                <w:szCs w:val="20"/>
              </w:rPr>
              <w:t xml:space="preserve">) have been run and the data exported. The </w:t>
            </w:r>
            <w:r>
              <w:rPr>
                <w:i/>
                <w:sz w:val="20"/>
                <w:szCs w:val="20"/>
              </w:rPr>
              <w:t>restart</w:t>
            </w:r>
            <w:r>
              <w:rPr>
                <w:sz w:val="20"/>
                <w:szCs w:val="20"/>
              </w:rPr>
              <w:t xml:space="preserve"> button does not need to be pressed again until </w:t>
            </w:r>
            <w:r>
              <w:rPr>
                <w:i/>
                <w:sz w:val="20"/>
                <w:szCs w:val="20"/>
              </w:rPr>
              <w:t>go</w:t>
            </w:r>
            <w:r>
              <w:t xml:space="preserve"> </w:t>
            </w:r>
            <w:r w:rsidRPr="00B57528">
              <w:rPr>
                <w:sz w:val="20"/>
                <w:szCs w:val="20"/>
              </w:rPr>
              <w:t>button lifts itself</w:t>
            </w:r>
            <w:r>
              <w:rPr>
                <w:sz w:val="20"/>
                <w:szCs w:val="20"/>
              </w:rPr>
              <w:t xml:space="preserve"> again.</w:t>
            </w:r>
          </w:p>
        </w:tc>
      </w:tr>
      <w:tr w:rsidR="00B57528" w:rsidRPr="00253DCB" w:rsidTr="00B57528">
        <w:tc>
          <w:tcPr>
            <w:tcW w:w="2547" w:type="dxa"/>
          </w:tcPr>
          <w:p w:rsidR="00B57528" w:rsidRPr="00492B73" w:rsidRDefault="00B57528" w:rsidP="00610491">
            <w:pPr>
              <w:spacing w:line="360" w:lineRule="auto"/>
              <w:jc w:val="both"/>
              <w:rPr>
                <w:i/>
                <w:sz w:val="20"/>
                <w:szCs w:val="20"/>
              </w:rPr>
            </w:pPr>
            <w:r w:rsidRPr="00492B73">
              <w:rPr>
                <w:i/>
                <w:sz w:val="20"/>
                <w:szCs w:val="20"/>
              </w:rPr>
              <w:t>number-of-</w:t>
            </w:r>
            <w:r w:rsidR="00610491">
              <w:rPr>
                <w:i/>
                <w:sz w:val="20"/>
                <w:szCs w:val="20"/>
              </w:rPr>
              <w:t>iterations</w:t>
            </w:r>
          </w:p>
        </w:tc>
        <w:tc>
          <w:tcPr>
            <w:tcW w:w="6804" w:type="dxa"/>
          </w:tcPr>
          <w:p w:rsidR="00B57528" w:rsidRPr="00253DCB" w:rsidRDefault="00B57528" w:rsidP="00B57528">
            <w:pPr>
              <w:spacing w:line="360" w:lineRule="auto"/>
              <w:jc w:val="both"/>
              <w:rPr>
                <w:sz w:val="20"/>
                <w:szCs w:val="20"/>
              </w:rPr>
            </w:pPr>
            <w:r w:rsidRPr="00253DCB">
              <w:rPr>
                <w:sz w:val="20"/>
                <w:szCs w:val="20"/>
              </w:rPr>
              <w:t>Box to input how many iterations of the simulation, using the current variable values, should be run before the simulation stops.</w:t>
            </w:r>
          </w:p>
        </w:tc>
      </w:tr>
      <w:tr w:rsidR="00B57528" w:rsidRPr="00253DCB" w:rsidTr="00B57528">
        <w:tc>
          <w:tcPr>
            <w:tcW w:w="2547" w:type="dxa"/>
          </w:tcPr>
          <w:p w:rsidR="00B57528" w:rsidRPr="00492B73" w:rsidRDefault="00B57528" w:rsidP="00B57528">
            <w:pPr>
              <w:spacing w:line="360" w:lineRule="auto"/>
              <w:jc w:val="both"/>
              <w:rPr>
                <w:i/>
                <w:sz w:val="20"/>
                <w:szCs w:val="20"/>
              </w:rPr>
            </w:pPr>
            <w:r w:rsidRPr="00492B73">
              <w:rPr>
                <w:i/>
                <w:sz w:val="20"/>
                <w:szCs w:val="20"/>
              </w:rPr>
              <w:t>turtle-number</w:t>
            </w:r>
          </w:p>
        </w:tc>
        <w:tc>
          <w:tcPr>
            <w:tcW w:w="6804" w:type="dxa"/>
          </w:tcPr>
          <w:p w:rsidR="00B57528" w:rsidRPr="00253DCB" w:rsidRDefault="00B57528" w:rsidP="00B57528">
            <w:pPr>
              <w:spacing w:line="360" w:lineRule="auto"/>
              <w:jc w:val="both"/>
              <w:rPr>
                <w:sz w:val="20"/>
                <w:szCs w:val="20"/>
              </w:rPr>
            </w:pPr>
            <w:r w:rsidRPr="00253DCB">
              <w:rPr>
                <w:sz w:val="20"/>
                <w:szCs w:val="20"/>
              </w:rPr>
              <w:t>Number of turtles (agents) in the simulation.</w:t>
            </w:r>
          </w:p>
        </w:tc>
      </w:tr>
      <w:tr w:rsidR="00B57528" w:rsidRPr="00253DCB" w:rsidTr="00B57528">
        <w:tc>
          <w:tcPr>
            <w:tcW w:w="2547" w:type="dxa"/>
          </w:tcPr>
          <w:p w:rsidR="00B57528" w:rsidRPr="00492B73" w:rsidRDefault="00B57528" w:rsidP="00B57528">
            <w:pPr>
              <w:spacing w:line="360" w:lineRule="auto"/>
              <w:ind w:left="2268" w:hanging="2268"/>
              <w:jc w:val="both"/>
              <w:rPr>
                <w:i/>
                <w:sz w:val="20"/>
                <w:szCs w:val="20"/>
              </w:rPr>
            </w:pPr>
            <w:r w:rsidRPr="00492B73">
              <w:rPr>
                <w:i/>
                <w:sz w:val="20"/>
                <w:szCs w:val="20"/>
              </w:rPr>
              <w:t xml:space="preserve">number-of-subgroups </w:t>
            </w:r>
          </w:p>
        </w:tc>
        <w:tc>
          <w:tcPr>
            <w:tcW w:w="6804" w:type="dxa"/>
          </w:tcPr>
          <w:p w:rsidR="00B57528" w:rsidRPr="00253DCB" w:rsidRDefault="00B57528" w:rsidP="00B57528">
            <w:pPr>
              <w:spacing w:line="360" w:lineRule="auto"/>
              <w:jc w:val="both"/>
              <w:rPr>
                <w:sz w:val="20"/>
                <w:szCs w:val="20"/>
              </w:rPr>
            </w:pPr>
            <w:r w:rsidRPr="00253DCB">
              <w:rPr>
                <w:sz w:val="20"/>
                <w:szCs w:val="20"/>
              </w:rPr>
              <w:t xml:space="preserve">When &gt;1, agents are separated into subgroups (or ‘families’), with 0 relatedness between agents in separate subgroups.  </w:t>
            </w:r>
          </w:p>
        </w:tc>
      </w:tr>
      <w:tr w:rsidR="00B57528" w:rsidRPr="00253DCB" w:rsidTr="00B57528">
        <w:tc>
          <w:tcPr>
            <w:tcW w:w="2547" w:type="dxa"/>
          </w:tcPr>
          <w:p w:rsidR="00B57528" w:rsidRPr="00492B73" w:rsidRDefault="00B57528" w:rsidP="00B57528">
            <w:pPr>
              <w:spacing w:line="360" w:lineRule="auto"/>
              <w:jc w:val="both"/>
              <w:rPr>
                <w:i/>
                <w:sz w:val="20"/>
                <w:szCs w:val="20"/>
              </w:rPr>
            </w:pPr>
            <w:r w:rsidRPr="00492B73">
              <w:rPr>
                <w:i/>
                <w:sz w:val="20"/>
                <w:szCs w:val="20"/>
              </w:rPr>
              <w:t>number-of-options</w:t>
            </w:r>
          </w:p>
        </w:tc>
        <w:tc>
          <w:tcPr>
            <w:tcW w:w="6804" w:type="dxa"/>
          </w:tcPr>
          <w:p w:rsidR="00B57528" w:rsidRPr="00253DCB" w:rsidRDefault="00B57528" w:rsidP="00B57528">
            <w:pPr>
              <w:spacing w:line="360" w:lineRule="auto"/>
              <w:jc w:val="both"/>
              <w:rPr>
                <w:sz w:val="20"/>
                <w:szCs w:val="20"/>
              </w:rPr>
            </w:pPr>
            <w:r w:rsidRPr="00253DCB">
              <w:rPr>
                <w:sz w:val="20"/>
                <w:szCs w:val="20"/>
              </w:rPr>
              <w:t xml:space="preserve">Number of possible actions agents can attempt to perform on a food patch. If more than </w:t>
            </w:r>
            <w:r w:rsidRPr="00253DCB">
              <w:rPr>
                <w:i/>
                <w:sz w:val="20"/>
                <w:szCs w:val="20"/>
              </w:rPr>
              <w:t>number-of-food-patch-types</w:t>
            </w:r>
            <w:r w:rsidRPr="00253DCB">
              <w:rPr>
                <w:sz w:val="20"/>
                <w:szCs w:val="20"/>
              </w:rPr>
              <w:t>, some of the actions that agents will attempt to use won’t be correct for any of the food patches in the world – which can be used to represent cases where there is a large amount of behavioural flexibility in the actions an individual may perform, but few of them are likely to produce a successful outcome.</w:t>
            </w:r>
          </w:p>
        </w:tc>
      </w:tr>
      <w:tr w:rsidR="00B57528" w:rsidRPr="00253DCB" w:rsidTr="00B57528">
        <w:tc>
          <w:tcPr>
            <w:tcW w:w="2547" w:type="dxa"/>
          </w:tcPr>
          <w:p w:rsidR="00B57528" w:rsidRPr="00492B73" w:rsidRDefault="00B57528" w:rsidP="00B57528">
            <w:pPr>
              <w:spacing w:line="360" w:lineRule="auto"/>
              <w:jc w:val="both"/>
              <w:rPr>
                <w:i/>
                <w:sz w:val="20"/>
                <w:szCs w:val="20"/>
              </w:rPr>
            </w:pPr>
            <w:r w:rsidRPr="00492B73">
              <w:rPr>
                <w:i/>
                <w:sz w:val="20"/>
                <w:szCs w:val="20"/>
              </w:rPr>
              <w:t>number-of-food-patch-types</w:t>
            </w:r>
          </w:p>
        </w:tc>
        <w:tc>
          <w:tcPr>
            <w:tcW w:w="6804" w:type="dxa"/>
          </w:tcPr>
          <w:p w:rsidR="00B57528" w:rsidRPr="00253DCB" w:rsidRDefault="00B57528" w:rsidP="00B57528">
            <w:pPr>
              <w:spacing w:line="360" w:lineRule="auto"/>
              <w:jc w:val="both"/>
              <w:rPr>
                <w:sz w:val="20"/>
                <w:szCs w:val="20"/>
              </w:rPr>
            </w:pPr>
            <w:r>
              <w:rPr>
                <w:sz w:val="20"/>
                <w:szCs w:val="20"/>
              </w:rPr>
              <w:t xml:space="preserve">Number of ‘correct actions’ to be distributed between the food patches in the world. Each individual food patch is allocated one of these correct actions. This value should not be greater than </w:t>
            </w:r>
            <w:r w:rsidRPr="00253DCB">
              <w:rPr>
                <w:i/>
                <w:sz w:val="20"/>
                <w:szCs w:val="20"/>
              </w:rPr>
              <w:t>number-of-options</w:t>
            </w:r>
            <w:r>
              <w:rPr>
                <w:sz w:val="20"/>
                <w:szCs w:val="20"/>
              </w:rPr>
              <w:t>, unless one wants to model a scenario where some correct actions are impossible to learn.</w:t>
            </w:r>
          </w:p>
        </w:tc>
      </w:tr>
      <w:tr w:rsidR="00B57528" w:rsidRPr="00253DCB" w:rsidTr="00B57528">
        <w:tc>
          <w:tcPr>
            <w:tcW w:w="2547" w:type="dxa"/>
          </w:tcPr>
          <w:p w:rsidR="00B57528" w:rsidRPr="00492B73" w:rsidRDefault="00B57528" w:rsidP="00B57528">
            <w:pPr>
              <w:spacing w:line="360" w:lineRule="auto"/>
              <w:jc w:val="both"/>
              <w:rPr>
                <w:i/>
                <w:sz w:val="20"/>
                <w:szCs w:val="20"/>
              </w:rPr>
            </w:pPr>
            <w:r>
              <w:rPr>
                <w:i/>
                <w:sz w:val="20"/>
                <w:szCs w:val="20"/>
              </w:rPr>
              <w:t>asocial-learning-probability</w:t>
            </w:r>
          </w:p>
        </w:tc>
        <w:tc>
          <w:tcPr>
            <w:tcW w:w="6804" w:type="dxa"/>
          </w:tcPr>
          <w:p w:rsidR="00B57528" w:rsidRPr="00492B73" w:rsidRDefault="00B57528" w:rsidP="00B57528">
            <w:pPr>
              <w:spacing w:line="360" w:lineRule="auto"/>
              <w:jc w:val="both"/>
              <w:rPr>
                <w:sz w:val="20"/>
                <w:szCs w:val="20"/>
              </w:rPr>
            </w:pPr>
            <w:r>
              <w:rPr>
                <w:sz w:val="20"/>
                <w:szCs w:val="20"/>
              </w:rPr>
              <w:t xml:space="preserve">The probability of attempting to learn </w:t>
            </w:r>
            <w:proofErr w:type="spellStart"/>
            <w:r>
              <w:rPr>
                <w:sz w:val="20"/>
                <w:szCs w:val="20"/>
              </w:rPr>
              <w:t>asocially</w:t>
            </w:r>
            <w:proofErr w:type="spellEnd"/>
            <w:r>
              <w:rPr>
                <w:sz w:val="20"/>
                <w:szCs w:val="20"/>
              </w:rPr>
              <w:t xml:space="preserve"> (independently) when given the opportunity. If an agent attempt to learn </w:t>
            </w:r>
            <w:proofErr w:type="spellStart"/>
            <w:r>
              <w:rPr>
                <w:sz w:val="20"/>
                <w:szCs w:val="20"/>
              </w:rPr>
              <w:t>asocially</w:t>
            </w:r>
            <w:proofErr w:type="spellEnd"/>
            <w:r>
              <w:rPr>
                <w:sz w:val="20"/>
                <w:szCs w:val="20"/>
              </w:rPr>
              <w:t xml:space="preserve">, it will choose a random action from </w:t>
            </w:r>
            <w:r>
              <w:rPr>
                <w:i/>
                <w:sz w:val="20"/>
                <w:szCs w:val="20"/>
              </w:rPr>
              <w:t>number-of-options</w:t>
            </w:r>
            <w:r>
              <w:rPr>
                <w:sz w:val="20"/>
                <w:szCs w:val="20"/>
              </w:rPr>
              <w:t xml:space="preserve"> to perform on the food patch. Agents will attempt to </w:t>
            </w:r>
            <w:r>
              <w:rPr>
                <w:sz w:val="20"/>
                <w:szCs w:val="20"/>
              </w:rPr>
              <w:lastRenderedPageBreak/>
              <w:t xml:space="preserve">learn </w:t>
            </w:r>
            <w:proofErr w:type="spellStart"/>
            <w:r>
              <w:rPr>
                <w:sz w:val="20"/>
                <w:szCs w:val="20"/>
              </w:rPr>
              <w:t>asocially</w:t>
            </w:r>
            <w:proofErr w:type="spellEnd"/>
            <w:r>
              <w:rPr>
                <w:sz w:val="20"/>
                <w:szCs w:val="20"/>
              </w:rPr>
              <w:t xml:space="preserve"> when alone on a food patch it does not know the correct action for, or after unsuccessfully attempting to learn socially and/or via teaching.</w:t>
            </w:r>
          </w:p>
        </w:tc>
      </w:tr>
      <w:tr w:rsidR="00B57528" w:rsidRPr="00253DCB" w:rsidTr="00B57528">
        <w:tc>
          <w:tcPr>
            <w:tcW w:w="2547" w:type="dxa"/>
          </w:tcPr>
          <w:p w:rsidR="00B57528" w:rsidRPr="00492B73" w:rsidRDefault="00B57528" w:rsidP="00B57528">
            <w:pPr>
              <w:spacing w:line="360" w:lineRule="auto"/>
              <w:jc w:val="both"/>
              <w:rPr>
                <w:i/>
                <w:sz w:val="20"/>
                <w:szCs w:val="20"/>
              </w:rPr>
            </w:pPr>
            <w:r w:rsidRPr="00492B73">
              <w:rPr>
                <w:i/>
                <w:sz w:val="20"/>
                <w:szCs w:val="20"/>
              </w:rPr>
              <w:lastRenderedPageBreak/>
              <w:t>social-learning-probability</w:t>
            </w:r>
          </w:p>
        </w:tc>
        <w:tc>
          <w:tcPr>
            <w:tcW w:w="6804" w:type="dxa"/>
          </w:tcPr>
          <w:p w:rsidR="00B57528" w:rsidRPr="00253DCB" w:rsidRDefault="00B57528" w:rsidP="00B57528">
            <w:pPr>
              <w:spacing w:line="360" w:lineRule="auto"/>
              <w:jc w:val="both"/>
              <w:rPr>
                <w:sz w:val="20"/>
                <w:szCs w:val="20"/>
              </w:rPr>
            </w:pPr>
            <w:r>
              <w:rPr>
                <w:sz w:val="20"/>
                <w:szCs w:val="20"/>
              </w:rPr>
              <w:t>The probability of learning from another, informed agent on the same food patch. The agent will cycle through any available informed individuals on this food patch and learn the action they are using at this probability. Learning from a non-teacher depends entirely on this probability, while learning from a teacher depends both on this probability and other factors, such as the strength of teaching.</w:t>
            </w:r>
          </w:p>
        </w:tc>
      </w:tr>
      <w:tr w:rsidR="00B57528" w:rsidRPr="00253DCB" w:rsidTr="00B57528">
        <w:tc>
          <w:tcPr>
            <w:tcW w:w="2547" w:type="dxa"/>
          </w:tcPr>
          <w:p w:rsidR="00B57528" w:rsidRPr="00492B73" w:rsidRDefault="00B57528" w:rsidP="00B57528">
            <w:pPr>
              <w:spacing w:line="360" w:lineRule="auto"/>
              <w:jc w:val="both"/>
              <w:rPr>
                <w:i/>
                <w:sz w:val="20"/>
                <w:szCs w:val="20"/>
              </w:rPr>
            </w:pPr>
            <w:r>
              <w:rPr>
                <w:i/>
                <w:sz w:val="20"/>
                <w:szCs w:val="20"/>
              </w:rPr>
              <w:t>selective-teaching</w:t>
            </w:r>
          </w:p>
        </w:tc>
        <w:tc>
          <w:tcPr>
            <w:tcW w:w="6804" w:type="dxa"/>
          </w:tcPr>
          <w:p w:rsidR="00B57528" w:rsidRPr="00253DCB" w:rsidRDefault="00B57528" w:rsidP="00B57528">
            <w:pPr>
              <w:spacing w:line="360" w:lineRule="auto"/>
              <w:jc w:val="both"/>
              <w:rPr>
                <w:sz w:val="20"/>
                <w:szCs w:val="20"/>
              </w:rPr>
            </w:pPr>
            <w:r>
              <w:rPr>
                <w:sz w:val="20"/>
                <w:szCs w:val="20"/>
              </w:rPr>
              <w:t>The strength of teaching for agents with a selective-teaching (</w:t>
            </w:r>
            <w:proofErr w:type="spellStart"/>
            <w:r>
              <w:rPr>
                <w:sz w:val="20"/>
                <w:szCs w:val="20"/>
              </w:rPr>
              <w:t>Ts</w:t>
            </w:r>
            <w:proofErr w:type="spellEnd"/>
            <w:r>
              <w:rPr>
                <w:sz w:val="20"/>
                <w:szCs w:val="20"/>
              </w:rPr>
              <w:t xml:space="preserve">) phenotype. The probability of learning from a selective-teacher depends on the </w:t>
            </w:r>
            <w:r>
              <w:rPr>
                <w:i/>
                <w:sz w:val="20"/>
                <w:szCs w:val="20"/>
              </w:rPr>
              <w:t>social-learning-probability,</w:t>
            </w:r>
            <w:r>
              <w:rPr>
                <w:sz w:val="20"/>
                <w:szCs w:val="20"/>
              </w:rPr>
              <w:t xml:space="preserve"> this</w:t>
            </w:r>
            <w:r>
              <w:rPr>
                <w:i/>
                <w:sz w:val="20"/>
                <w:szCs w:val="20"/>
              </w:rPr>
              <w:t xml:space="preserve"> selective-teaching</w:t>
            </w:r>
            <w:r>
              <w:rPr>
                <w:sz w:val="20"/>
                <w:szCs w:val="20"/>
              </w:rPr>
              <w:t xml:space="preserve"> strength and the level of relatedness between itself and the teacher.</w:t>
            </w:r>
          </w:p>
        </w:tc>
      </w:tr>
      <w:tr w:rsidR="00B57528" w:rsidRPr="00253DCB" w:rsidTr="00B57528">
        <w:tc>
          <w:tcPr>
            <w:tcW w:w="2547" w:type="dxa"/>
          </w:tcPr>
          <w:p w:rsidR="00B57528" w:rsidRPr="00492B73" w:rsidRDefault="00B57528" w:rsidP="00B57528">
            <w:pPr>
              <w:spacing w:line="360" w:lineRule="auto"/>
              <w:jc w:val="both"/>
              <w:rPr>
                <w:i/>
                <w:sz w:val="20"/>
                <w:szCs w:val="20"/>
              </w:rPr>
            </w:pPr>
            <w:r>
              <w:rPr>
                <w:i/>
                <w:sz w:val="20"/>
                <w:szCs w:val="20"/>
              </w:rPr>
              <w:t>non-selective-teaching</w:t>
            </w:r>
          </w:p>
        </w:tc>
        <w:tc>
          <w:tcPr>
            <w:tcW w:w="6804" w:type="dxa"/>
          </w:tcPr>
          <w:p w:rsidR="00B57528" w:rsidRPr="00253DCB" w:rsidRDefault="00B57528" w:rsidP="00B57528">
            <w:pPr>
              <w:spacing w:line="360" w:lineRule="auto"/>
              <w:jc w:val="both"/>
              <w:rPr>
                <w:sz w:val="20"/>
                <w:szCs w:val="20"/>
              </w:rPr>
            </w:pPr>
            <w:r>
              <w:rPr>
                <w:sz w:val="20"/>
                <w:szCs w:val="20"/>
              </w:rPr>
              <w:t>The strength of teaching for agents with a non-selective-teaching (</w:t>
            </w:r>
            <w:proofErr w:type="spellStart"/>
            <w:r>
              <w:rPr>
                <w:sz w:val="20"/>
                <w:szCs w:val="20"/>
              </w:rPr>
              <w:t>Tns</w:t>
            </w:r>
            <w:proofErr w:type="spellEnd"/>
            <w:r>
              <w:rPr>
                <w:sz w:val="20"/>
                <w:szCs w:val="20"/>
              </w:rPr>
              <w:t xml:space="preserve">) phenotype. The probability of learning from a selective-teacher depends on the </w:t>
            </w:r>
            <w:r>
              <w:rPr>
                <w:i/>
                <w:sz w:val="20"/>
                <w:szCs w:val="20"/>
              </w:rPr>
              <w:t xml:space="preserve">social-learning-probability </w:t>
            </w:r>
            <w:r>
              <w:rPr>
                <w:sz w:val="20"/>
                <w:szCs w:val="20"/>
              </w:rPr>
              <w:t>and this</w:t>
            </w:r>
            <w:r>
              <w:rPr>
                <w:i/>
                <w:sz w:val="20"/>
                <w:szCs w:val="20"/>
              </w:rPr>
              <w:t xml:space="preserve"> selective-teaching</w:t>
            </w:r>
            <w:r>
              <w:rPr>
                <w:sz w:val="20"/>
                <w:szCs w:val="20"/>
              </w:rPr>
              <w:t xml:space="preserve"> strength.</w:t>
            </w:r>
          </w:p>
        </w:tc>
      </w:tr>
      <w:tr w:rsidR="00B57528" w:rsidRPr="00253DCB" w:rsidTr="00B57528">
        <w:tc>
          <w:tcPr>
            <w:tcW w:w="2547" w:type="dxa"/>
          </w:tcPr>
          <w:p w:rsidR="00B57528" w:rsidRPr="00492B73" w:rsidRDefault="00B57528" w:rsidP="00B57528">
            <w:pPr>
              <w:spacing w:line="360" w:lineRule="auto"/>
              <w:jc w:val="both"/>
              <w:rPr>
                <w:i/>
                <w:sz w:val="20"/>
                <w:szCs w:val="20"/>
              </w:rPr>
            </w:pPr>
            <w:proofErr w:type="gramStart"/>
            <w:r>
              <w:rPr>
                <w:i/>
                <w:sz w:val="20"/>
                <w:szCs w:val="20"/>
              </w:rPr>
              <w:t>seeded</w:t>
            </w:r>
            <w:proofErr w:type="gramEnd"/>
            <w:r>
              <w:rPr>
                <w:i/>
                <w:sz w:val="20"/>
                <w:szCs w:val="20"/>
              </w:rPr>
              <w:t>?</w:t>
            </w:r>
          </w:p>
        </w:tc>
        <w:tc>
          <w:tcPr>
            <w:tcW w:w="6804" w:type="dxa"/>
          </w:tcPr>
          <w:p w:rsidR="00B57528" w:rsidRPr="00253DCB" w:rsidRDefault="00B57528" w:rsidP="00B57528">
            <w:pPr>
              <w:spacing w:line="360" w:lineRule="auto"/>
              <w:jc w:val="both"/>
              <w:rPr>
                <w:sz w:val="20"/>
                <w:szCs w:val="20"/>
              </w:rPr>
            </w:pPr>
            <w:r>
              <w:rPr>
                <w:sz w:val="20"/>
                <w:szCs w:val="20"/>
              </w:rPr>
              <w:t>Should the population be seeded with an agent who automatically knows all possible correct feeding actions? One can choose the population to be either ‘unseeded’, ‘seeded with one informed individual’ or ‘seeded with one informed individual per subgroup’.</w:t>
            </w:r>
          </w:p>
        </w:tc>
      </w:tr>
      <w:tr w:rsidR="00B57528" w:rsidRPr="00253DCB" w:rsidTr="00B57528">
        <w:tc>
          <w:tcPr>
            <w:tcW w:w="2547" w:type="dxa"/>
          </w:tcPr>
          <w:p w:rsidR="00B57528" w:rsidRPr="00492B73" w:rsidRDefault="00B57528" w:rsidP="00B57528">
            <w:pPr>
              <w:spacing w:line="360" w:lineRule="auto"/>
              <w:jc w:val="both"/>
              <w:rPr>
                <w:i/>
                <w:sz w:val="20"/>
                <w:szCs w:val="20"/>
              </w:rPr>
            </w:pPr>
            <w:r>
              <w:rPr>
                <w:i/>
                <w:sz w:val="20"/>
                <w:szCs w:val="20"/>
              </w:rPr>
              <w:t>initial-selective-</w:t>
            </w:r>
            <w:proofErr w:type="spellStart"/>
            <w:r>
              <w:rPr>
                <w:i/>
                <w:sz w:val="20"/>
                <w:szCs w:val="20"/>
              </w:rPr>
              <w:t>freq</w:t>
            </w:r>
            <w:proofErr w:type="spellEnd"/>
            <w:r>
              <w:rPr>
                <w:i/>
                <w:sz w:val="20"/>
                <w:szCs w:val="20"/>
              </w:rPr>
              <w:t xml:space="preserve">  *</w:t>
            </w:r>
          </w:p>
        </w:tc>
        <w:tc>
          <w:tcPr>
            <w:tcW w:w="6804" w:type="dxa"/>
          </w:tcPr>
          <w:p w:rsidR="00B57528" w:rsidRPr="00253DCB" w:rsidRDefault="00B57528" w:rsidP="00B57528">
            <w:pPr>
              <w:spacing w:line="360" w:lineRule="auto"/>
              <w:jc w:val="both"/>
              <w:rPr>
                <w:sz w:val="20"/>
                <w:szCs w:val="20"/>
              </w:rPr>
            </w:pPr>
            <w:r>
              <w:rPr>
                <w:sz w:val="20"/>
                <w:szCs w:val="20"/>
              </w:rPr>
              <w:t>Frequency of selective-teaching alleles in the background population used to generate alleles in the simulated population.</w:t>
            </w:r>
          </w:p>
        </w:tc>
      </w:tr>
      <w:tr w:rsidR="00B57528" w:rsidRPr="00253DCB" w:rsidTr="00B57528">
        <w:tc>
          <w:tcPr>
            <w:tcW w:w="2547" w:type="dxa"/>
          </w:tcPr>
          <w:p w:rsidR="00B57528" w:rsidRPr="00492B73" w:rsidRDefault="00B57528" w:rsidP="00B57528">
            <w:pPr>
              <w:spacing w:line="360" w:lineRule="auto"/>
              <w:jc w:val="both"/>
              <w:rPr>
                <w:i/>
                <w:sz w:val="20"/>
                <w:szCs w:val="20"/>
              </w:rPr>
            </w:pPr>
            <w:r>
              <w:rPr>
                <w:i/>
                <w:sz w:val="20"/>
                <w:szCs w:val="20"/>
              </w:rPr>
              <w:t>initial-non-selective-</w:t>
            </w:r>
            <w:proofErr w:type="spellStart"/>
            <w:r>
              <w:rPr>
                <w:i/>
                <w:sz w:val="20"/>
                <w:szCs w:val="20"/>
              </w:rPr>
              <w:t>freq</w:t>
            </w:r>
            <w:proofErr w:type="spellEnd"/>
            <w:r>
              <w:rPr>
                <w:i/>
                <w:sz w:val="20"/>
                <w:szCs w:val="20"/>
              </w:rPr>
              <w:t xml:space="preserve">  *</w:t>
            </w:r>
          </w:p>
        </w:tc>
        <w:tc>
          <w:tcPr>
            <w:tcW w:w="6804" w:type="dxa"/>
          </w:tcPr>
          <w:p w:rsidR="00B57528" w:rsidRPr="00253DCB" w:rsidRDefault="00B57528" w:rsidP="00B57528">
            <w:pPr>
              <w:spacing w:line="360" w:lineRule="auto"/>
              <w:jc w:val="both"/>
              <w:rPr>
                <w:sz w:val="20"/>
                <w:szCs w:val="20"/>
              </w:rPr>
            </w:pPr>
            <w:r>
              <w:rPr>
                <w:sz w:val="20"/>
                <w:szCs w:val="20"/>
              </w:rPr>
              <w:t>Frequency of non-selective-teaching alleles in the background population used to generate alleles in the simulated population.</w:t>
            </w:r>
          </w:p>
        </w:tc>
      </w:tr>
      <w:tr w:rsidR="00B57528" w:rsidRPr="00253DCB" w:rsidTr="00B57528">
        <w:tc>
          <w:tcPr>
            <w:tcW w:w="2547" w:type="dxa"/>
          </w:tcPr>
          <w:p w:rsidR="00B57528" w:rsidRPr="00492B73" w:rsidRDefault="00B57528" w:rsidP="00B57528">
            <w:pPr>
              <w:spacing w:line="360" w:lineRule="auto"/>
              <w:jc w:val="both"/>
              <w:rPr>
                <w:i/>
                <w:sz w:val="20"/>
                <w:szCs w:val="20"/>
              </w:rPr>
            </w:pPr>
            <w:r>
              <w:rPr>
                <w:i/>
                <w:sz w:val="20"/>
                <w:szCs w:val="20"/>
              </w:rPr>
              <w:t>initial-non-teaching-</w:t>
            </w:r>
            <w:proofErr w:type="spellStart"/>
            <w:r>
              <w:rPr>
                <w:i/>
                <w:sz w:val="20"/>
                <w:szCs w:val="20"/>
              </w:rPr>
              <w:t>freq</w:t>
            </w:r>
            <w:proofErr w:type="spellEnd"/>
            <w:r>
              <w:rPr>
                <w:i/>
                <w:sz w:val="20"/>
                <w:szCs w:val="20"/>
              </w:rPr>
              <w:t xml:space="preserve">  *</w:t>
            </w:r>
          </w:p>
        </w:tc>
        <w:tc>
          <w:tcPr>
            <w:tcW w:w="6804" w:type="dxa"/>
          </w:tcPr>
          <w:p w:rsidR="00B57528" w:rsidRPr="00253DCB" w:rsidRDefault="00B57528" w:rsidP="00B57528">
            <w:pPr>
              <w:spacing w:line="360" w:lineRule="auto"/>
              <w:jc w:val="both"/>
              <w:rPr>
                <w:sz w:val="20"/>
                <w:szCs w:val="20"/>
              </w:rPr>
            </w:pPr>
            <w:r>
              <w:rPr>
                <w:sz w:val="20"/>
                <w:szCs w:val="20"/>
              </w:rPr>
              <w:t>Frequency of non-teaching alleles in the background population used to generate alleles in the simulated population.</w:t>
            </w:r>
          </w:p>
        </w:tc>
      </w:tr>
      <w:tr w:rsidR="00B57528" w:rsidRPr="00253DCB" w:rsidTr="00B57528">
        <w:tc>
          <w:tcPr>
            <w:tcW w:w="2547" w:type="dxa"/>
          </w:tcPr>
          <w:p w:rsidR="00B57528" w:rsidRPr="00492B73" w:rsidRDefault="00B57528" w:rsidP="00B57528">
            <w:pPr>
              <w:spacing w:line="360" w:lineRule="auto"/>
              <w:jc w:val="both"/>
              <w:rPr>
                <w:i/>
                <w:sz w:val="20"/>
                <w:szCs w:val="20"/>
              </w:rPr>
            </w:pPr>
            <w:r>
              <w:rPr>
                <w:i/>
                <w:sz w:val="20"/>
                <w:szCs w:val="20"/>
              </w:rPr>
              <w:t>dominant</w:t>
            </w:r>
          </w:p>
        </w:tc>
        <w:tc>
          <w:tcPr>
            <w:tcW w:w="6804" w:type="dxa"/>
          </w:tcPr>
          <w:p w:rsidR="00B57528" w:rsidRPr="00253DCB" w:rsidRDefault="00B57528" w:rsidP="00B57528">
            <w:pPr>
              <w:spacing w:line="360" w:lineRule="auto"/>
              <w:jc w:val="both"/>
              <w:rPr>
                <w:sz w:val="20"/>
                <w:szCs w:val="20"/>
              </w:rPr>
            </w:pPr>
            <w:r>
              <w:rPr>
                <w:sz w:val="20"/>
                <w:szCs w:val="20"/>
              </w:rPr>
              <w:t>The most dominant allele in the population. Used to generate which phenotype an agent should have based on its genotype.</w:t>
            </w:r>
          </w:p>
        </w:tc>
      </w:tr>
      <w:tr w:rsidR="00B57528" w:rsidRPr="00253DCB" w:rsidTr="00B57528">
        <w:tc>
          <w:tcPr>
            <w:tcW w:w="2547" w:type="dxa"/>
          </w:tcPr>
          <w:p w:rsidR="00B57528" w:rsidRPr="00492B73" w:rsidRDefault="00B57528" w:rsidP="00B57528">
            <w:pPr>
              <w:spacing w:line="360" w:lineRule="auto"/>
              <w:jc w:val="both"/>
              <w:rPr>
                <w:i/>
                <w:sz w:val="20"/>
                <w:szCs w:val="20"/>
              </w:rPr>
            </w:pPr>
            <w:r>
              <w:rPr>
                <w:i/>
                <w:sz w:val="20"/>
                <w:szCs w:val="20"/>
              </w:rPr>
              <w:t>second-dominant</w:t>
            </w:r>
          </w:p>
        </w:tc>
        <w:tc>
          <w:tcPr>
            <w:tcW w:w="6804" w:type="dxa"/>
          </w:tcPr>
          <w:p w:rsidR="00B57528" w:rsidRPr="00253DCB" w:rsidRDefault="00B57528" w:rsidP="00B57528">
            <w:pPr>
              <w:spacing w:line="360" w:lineRule="auto"/>
              <w:jc w:val="both"/>
              <w:rPr>
                <w:sz w:val="20"/>
                <w:szCs w:val="20"/>
              </w:rPr>
            </w:pPr>
            <w:r>
              <w:rPr>
                <w:sz w:val="20"/>
                <w:szCs w:val="20"/>
              </w:rPr>
              <w:t>The second most dominant allele in the population.</w:t>
            </w:r>
          </w:p>
        </w:tc>
      </w:tr>
      <w:tr w:rsidR="00B57528" w:rsidRPr="00253DCB" w:rsidTr="00B57528">
        <w:tc>
          <w:tcPr>
            <w:tcW w:w="2547" w:type="dxa"/>
          </w:tcPr>
          <w:p w:rsidR="00B57528" w:rsidRPr="00492B73" w:rsidRDefault="00B57528" w:rsidP="00B57528">
            <w:pPr>
              <w:spacing w:line="360" w:lineRule="auto"/>
              <w:jc w:val="both"/>
              <w:rPr>
                <w:i/>
                <w:sz w:val="20"/>
                <w:szCs w:val="20"/>
              </w:rPr>
            </w:pPr>
            <w:r>
              <w:rPr>
                <w:i/>
                <w:sz w:val="20"/>
                <w:szCs w:val="20"/>
              </w:rPr>
              <w:t>recessive</w:t>
            </w:r>
          </w:p>
        </w:tc>
        <w:tc>
          <w:tcPr>
            <w:tcW w:w="6804" w:type="dxa"/>
          </w:tcPr>
          <w:p w:rsidR="00B57528" w:rsidRPr="00253DCB" w:rsidRDefault="00B57528" w:rsidP="00B57528">
            <w:pPr>
              <w:spacing w:line="360" w:lineRule="auto"/>
              <w:jc w:val="both"/>
              <w:rPr>
                <w:sz w:val="20"/>
                <w:szCs w:val="20"/>
              </w:rPr>
            </w:pPr>
            <w:r>
              <w:rPr>
                <w:sz w:val="20"/>
                <w:szCs w:val="20"/>
              </w:rPr>
              <w:t>The recessive allele in the population.</w:t>
            </w:r>
          </w:p>
        </w:tc>
      </w:tr>
      <w:tr w:rsidR="00B57528" w:rsidRPr="00253DCB" w:rsidTr="00B57528">
        <w:tc>
          <w:tcPr>
            <w:tcW w:w="2547" w:type="dxa"/>
          </w:tcPr>
          <w:p w:rsidR="00B57528" w:rsidRDefault="00B57528" w:rsidP="00B57528">
            <w:pPr>
              <w:spacing w:line="360" w:lineRule="auto"/>
              <w:jc w:val="both"/>
              <w:rPr>
                <w:i/>
                <w:sz w:val="20"/>
                <w:szCs w:val="20"/>
              </w:rPr>
            </w:pPr>
            <w:r>
              <w:rPr>
                <w:i/>
                <w:sz w:val="20"/>
                <w:szCs w:val="20"/>
              </w:rPr>
              <w:t>number-of-generations</w:t>
            </w:r>
          </w:p>
        </w:tc>
        <w:tc>
          <w:tcPr>
            <w:tcW w:w="6804" w:type="dxa"/>
          </w:tcPr>
          <w:p w:rsidR="00B57528" w:rsidRDefault="00B57528" w:rsidP="00B57528">
            <w:pPr>
              <w:spacing w:line="360" w:lineRule="auto"/>
              <w:jc w:val="both"/>
              <w:rPr>
                <w:sz w:val="20"/>
                <w:szCs w:val="20"/>
              </w:rPr>
            </w:pPr>
            <w:r>
              <w:rPr>
                <w:sz w:val="20"/>
                <w:szCs w:val="20"/>
              </w:rPr>
              <w:t xml:space="preserve">How many generations are present in the population at any given </w:t>
            </w:r>
            <w:proofErr w:type="gramStart"/>
            <w:r>
              <w:rPr>
                <w:sz w:val="20"/>
                <w:szCs w:val="20"/>
              </w:rPr>
              <w:t>time.</w:t>
            </w:r>
            <w:proofErr w:type="gramEnd"/>
          </w:p>
        </w:tc>
      </w:tr>
      <w:tr w:rsidR="00B57528" w:rsidRPr="00253DCB" w:rsidTr="00B57528">
        <w:tc>
          <w:tcPr>
            <w:tcW w:w="2547" w:type="dxa"/>
          </w:tcPr>
          <w:p w:rsidR="00B57528" w:rsidRDefault="00B57528" w:rsidP="00B57528">
            <w:pPr>
              <w:spacing w:line="360" w:lineRule="auto"/>
              <w:jc w:val="both"/>
              <w:rPr>
                <w:i/>
                <w:sz w:val="20"/>
                <w:szCs w:val="20"/>
              </w:rPr>
            </w:pPr>
            <w:r>
              <w:rPr>
                <w:i/>
                <w:sz w:val="20"/>
                <w:szCs w:val="20"/>
              </w:rPr>
              <w:t>generation-time</w:t>
            </w:r>
          </w:p>
        </w:tc>
        <w:tc>
          <w:tcPr>
            <w:tcW w:w="6804" w:type="dxa"/>
          </w:tcPr>
          <w:p w:rsidR="00B57528" w:rsidRDefault="00B57528" w:rsidP="00B57528">
            <w:pPr>
              <w:spacing w:line="360" w:lineRule="auto"/>
              <w:jc w:val="both"/>
              <w:rPr>
                <w:sz w:val="20"/>
                <w:szCs w:val="20"/>
              </w:rPr>
            </w:pPr>
            <w:r>
              <w:rPr>
                <w:sz w:val="20"/>
                <w:szCs w:val="20"/>
              </w:rPr>
              <w:t xml:space="preserve">The number of </w:t>
            </w:r>
            <w:proofErr w:type="spellStart"/>
            <w:r>
              <w:rPr>
                <w:sz w:val="20"/>
                <w:szCs w:val="20"/>
              </w:rPr>
              <w:t>timesteps</w:t>
            </w:r>
            <w:proofErr w:type="spellEnd"/>
            <w:r>
              <w:rPr>
                <w:sz w:val="20"/>
                <w:szCs w:val="20"/>
              </w:rPr>
              <w:t xml:space="preserve"> before the oldest generation dies and the youngest generation breeds to produce the next generation.</w:t>
            </w:r>
          </w:p>
        </w:tc>
      </w:tr>
      <w:tr w:rsidR="00B57528" w:rsidRPr="00253DCB" w:rsidTr="00B57528">
        <w:tc>
          <w:tcPr>
            <w:tcW w:w="2547" w:type="dxa"/>
          </w:tcPr>
          <w:p w:rsidR="00B57528" w:rsidRDefault="00B57528" w:rsidP="00B57528">
            <w:pPr>
              <w:spacing w:line="360" w:lineRule="auto"/>
              <w:jc w:val="both"/>
              <w:rPr>
                <w:i/>
                <w:sz w:val="20"/>
                <w:szCs w:val="20"/>
              </w:rPr>
            </w:pPr>
            <w:r>
              <w:rPr>
                <w:i/>
                <w:sz w:val="20"/>
                <w:szCs w:val="20"/>
              </w:rPr>
              <w:t>stop-at-generation</w:t>
            </w:r>
          </w:p>
        </w:tc>
        <w:tc>
          <w:tcPr>
            <w:tcW w:w="6804" w:type="dxa"/>
          </w:tcPr>
          <w:p w:rsidR="00B57528" w:rsidRDefault="00B57528" w:rsidP="00B57528">
            <w:pPr>
              <w:spacing w:line="360" w:lineRule="auto"/>
              <w:jc w:val="both"/>
              <w:rPr>
                <w:sz w:val="20"/>
                <w:szCs w:val="20"/>
              </w:rPr>
            </w:pPr>
            <w:r>
              <w:rPr>
                <w:sz w:val="20"/>
                <w:szCs w:val="20"/>
              </w:rPr>
              <w:t xml:space="preserve">How many generations should be reached before this iteration of the simulation stops and the next is set up. </w:t>
            </w:r>
          </w:p>
        </w:tc>
      </w:tr>
      <w:tr w:rsidR="00B57528" w:rsidRPr="00253DCB" w:rsidTr="00B57528">
        <w:tc>
          <w:tcPr>
            <w:tcW w:w="2547" w:type="dxa"/>
          </w:tcPr>
          <w:p w:rsidR="00B57528" w:rsidRDefault="00B57528" w:rsidP="00B57528">
            <w:pPr>
              <w:spacing w:line="360" w:lineRule="auto"/>
              <w:jc w:val="both"/>
              <w:rPr>
                <w:i/>
                <w:sz w:val="20"/>
                <w:szCs w:val="20"/>
              </w:rPr>
            </w:pPr>
            <w:r>
              <w:rPr>
                <w:i/>
                <w:sz w:val="20"/>
                <w:szCs w:val="20"/>
              </w:rPr>
              <w:t>kin-follow-preference</w:t>
            </w:r>
          </w:p>
        </w:tc>
        <w:tc>
          <w:tcPr>
            <w:tcW w:w="6804" w:type="dxa"/>
          </w:tcPr>
          <w:p w:rsidR="00B57528" w:rsidRDefault="00B57528" w:rsidP="00B57528">
            <w:pPr>
              <w:spacing w:line="360" w:lineRule="auto"/>
              <w:jc w:val="both"/>
              <w:rPr>
                <w:sz w:val="20"/>
                <w:szCs w:val="20"/>
              </w:rPr>
            </w:pPr>
            <w:r>
              <w:rPr>
                <w:sz w:val="20"/>
                <w:szCs w:val="20"/>
              </w:rPr>
              <w:t>Determines how much the relatedness between two agents affects the likelihood of one following the other. Larger values promote stronger kin association within the population. A value of 0 means agents are no more likely to follow kin than non-kin. A value of -1 means agents are more likely to follow non-kin.</w:t>
            </w:r>
          </w:p>
        </w:tc>
      </w:tr>
      <w:tr w:rsidR="00B57528" w:rsidRPr="00253DCB" w:rsidTr="00B57528">
        <w:tc>
          <w:tcPr>
            <w:tcW w:w="2547" w:type="dxa"/>
          </w:tcPr>
          <w:p w:rsidR="00B57528" w:rsidRDefault="00B57528" w:rsidP="00B57528">
            <w:pPr>
              <w:spacing w:line="360" w:lineRule="auto"/>
              <w:jc w:val="both"/>
              <w:rPr>
                <w:i/>
                <w:sz w:val="20"/>
                <w:szCs w:val="20"/>
              </w:rPr>
            </w:pPr>
            <w:proofErr w:type="gramStart"/>
            <w:r>
              <w:rPr>
                <w:i/>
                <w:sz w:val="20"/>
                <w:szCs w:val="20"/>
              </w:rPr>
              <w:t>only-follow-parent-offspring</w:t>
            </w:r>
            <w:proofErr w:type="gramEnd"/>
            <w:r>
              <w:rPr>
                <w:i/>
                <w:sz w:val="20"/>
                <w:szCs w:val="20"/>
              </w:rPr>
              <w:t>?</w:t>
            </w:r>
          </w:p>
        </w:tc>
        <w:tc>
          <w:tcPr>
            <w:tcW w:w="6804" w:type="dxa"/>
          </w:tcPr>
          <w:p w:rsidR="00B57528" w:rsidRPr="007C16CF" w:rsidRDefault="00B57528" w:rsidP="00B57528">
            <w:pPr>
              <w:spacing w:line="360" w:lineRule="auto"/>
              <w:jc w:val="both"/>
              <w:rPr>
                <w:i/>
                <w:sz w:val="20"/>
                <w:szCs w:val="20"/>
              </w:rPr>
            </w:pPr>
            <w:r>
              <w:rPr>
                <w:sz w:val="20"/>
                <w:szCs w:val="20"/>
              </w:rPr>
              <w:t xml:space="preserve">When set to ‘on’, agents are constrained to only follow their parents or offspring (i.e. individuals most related to themselves). The value of the </w:t>
            </w:r>
            <w:r>
              <w:rPr>
                <w:i/>
                <w:sz w:val="20"/>
                <w:szCs w:val="20"/>
              </w:rPr>
              <w:t>kin-follow-</w:t>
            </w:r>
            <w:r>
              <w:rPr>
                <w:i/>
                <w:sz w:val="20"/>
                <w:szCs w:val="20"/>
              </w:rPr>
              <w:lastRenderedPageBreak/>
              <w:t>preference</w:t>
            </w:r>
            <w:r>
              <w:rPr>
                <w:sz w:val="20"/>
                <w:szCs w:val="20"/>
              </w:rPr>
              <w:t xml:space="preserve"> therefore does not matter in these cases. When set to ‘off’, agents are allowed to follow any other agent, with the effect of relatedness being entirely determined by the </w:t>
            </w:r>
            <w:r>
              <w:rPr>
                <w:i/>
                <w:sz w:val="20"/>
                <w:szCs w:val="20"/>
              </w:rPr>
              <w:t>kin-follow-preference.</w:t>
            </w:r>
          </w:p>
        </w:tc>
      </w:tr>
      <w:tr w:rsidR="00B57528" w:rsidRPr="00253DCB" w:rsidTr="00B57528">
        <w:tc>
          <w:tcPr>
            <w:tcW w:w="2547" w:type="dxa"/>
          </w:tcPr>
          <w:p w:rsidR="00B57528" w:rsidRDefault="00B57528" w:rsidP="00B57528">
            <w:pPr>
              <w:spacing w:line="360" w:lineRule="auto"/>
              <w:jc w:val="both"/>
              <w:rPr>
                <w:i/>
                <w:sz w:val="20"/>
                <w:szCs w:val="20"/>
              </w:rPr>
            </w:pPr>
            <w:r>
              <w:rPr>
                <w:i/>
                <w:sz w:val="20"/>
                <w:szCs w:val="20"/>
              </w:rPr>
              <w:lastRenderedPageBreak/>
              <w:t>following-radius</w:t>
            </w:r>
          </w:p>
        </w:tc>
        <w:tc>
          <w:tcPr>
            <w:tcW w:w="6804" w:type="dxa"/>
          </w:tcPr>
          <w:p w:rsidR="00B57528" w:rsidRDefault="00B57528" w:rsidP="00B57528">
            <w:pPr>
              <w:spacing w:line="360" w:lineRule="auto"/>
              <w:jc w:val="both"/>
              <w:rPr>
                <w:sz w:val="20"/>
                <w:szCs w:val="20"/>
              </w:rPr>
            </w:pPr>
            <w:r>
              <w:rPr>
                <w:sz w:val="20"/>
                <w:szCs w:val="20"/>
              </w:rPr>
              <w:t>If an agent decides to follow another agent, any agents within this radius can potentially be chosen as its leader.</w:t>
            </w:r>
          </w:p>
        </w:tc>
      </w:tr>
      <w:tr w:rsidR="00B57528" w:rsidRPr="00253DCB" w:rsidTr="00B57528">
        <w:tc>
          <w:tcPr>
            <w:tcW w:w="2547" w:type="dxa"/>
          </w:tcPr>
          <w:p w:rsidR="00B57528" w:rsidRDefault="00B57528" w:rsidP="00B57528">
            <w:pPr>
              <w:spacing w:line="360" w:lineRule="auto"/>
              <w:jc w:val="both"/>
              <w:rPr>
                <w:i/>
                <w:sz w:val="20"/>
                <w:szCs w:val="20"/>
              </w:rPr>
            </w:pPr>
            <w:r>
              <w:rPr>
                <w:i/>
                <w:sz w:val="20"/>
                <w:szCs w:val="20"/>
              </w:rPr>
              <w:t>following-probability</w:t>
            </w:r>
          </w:p>
        </w:tc>
        <w:tc>
          <w:tcPr>
            <w:tcW w:w="6804" w:type="dxa"/>
          </w:tcPr>
          <w:p w:rsidR="00B57528" w:rsidRPr="007C16CF" w:rsidRDefault="00B57528" w:rsidP="00B57528">
            <w:pPr>
              <w:spacing w:line="360" w:lineRule="auto"/>
              <w:jc w:val="both"/>
              <w:rPr>
                <w:sz w:val="20"/>
                <w:szCs w:val="20"/>
              </w:rPr>
            </w:pPr>
            <w:r>
              <w:rPr>
                <w:sz w:val="20"/>
                <w:szCs w:val="20"/>
              </w:rPr>
              <w:t xml:space="preserve">The probability during any given </w:t>
            </w:r>
            <w:proofErr w:type="spellStart"/>
            <w:r>
              <w:rPr>
                <w:sz w:val="20"/>
                <w:szCs w:val="20"/>
              </w:rPr>
              <w:t>timestep</w:t>
            </w:r>
            <w:proofErr w:type="spellEnd"/>
            <w:r>
              <w:rPr>
                <w:sz w:val="20"/>
                <w:szCs w:val="20"/>
              </w:rPr>
              <w:t xml:space="preserve"> that an agent will try and follow another individual, providing there is at least one other agent within its </w:t>
            </w:r>
            <w:r>
              <w:rPr>
                <w:i/>
                <w:sz w:val="20"/>
                <w:szCs w:val="20"/>
              </w:rPr>
              <w:t>following-radius.</w:t>
            </w:r>
          </w:p>
        </w:tc>
      </w:tr>
      <w:tr w:rsidR="00B57528" w:rsidRPr="00253DCB" w:rsidTr="00B57528">
        <w:tc>
          <w:tcPr>
            <w:tcW w:w="2547" w:type="dxa"/>
          </w:tcPr>
          <w:p w:rsidR="00B57528" w:rsidRDefault="00B57528" w:rsidP="00B57528">
            <w:pPr>
              <w:spacing w:line="360" w:lineRule="auto"/>
              <w:jc w:val="both"/>
              <w:rPr>
                <w:i/>
                <w:sz w:val="20"/>
                <w:szCs w:val="20"/>
              </w:rPr>
            </w:pPr>
            <w:r>
              <w:rPr>
                <w:i/>
                <w:sz w:val="20"/>
                <w:szCs w:val="20"/>
              </w:rPr>
              <w:t>deciding-time  **</w:t>
            </w:r>
          </w:p>
        </w:tc>
        <w:tc>
          <w:tcPr>
            <w:tcW w:w="6804" w:type="dxa"/>
          </w:tcPr>
          <w:p w:rsidR="00B57528" w:rsidRDefault="00B57528" w:rsidP="00B57528">
            <w:pPr>
              <w:spacing w:line="360" w:lineRule="auto"/>
              <w:jc w:val="both"/>
              <w:rPr>
                <w:sz w:val="20"/>
                <w:szCs w:val="20"/>
              </w:rPr>
            </w:pPr>
            <w:r>
              <w:rPr>
                <w:sz w:val="20"/>
                <w:szCs w:val="20"/>
              </w:rPr>
              <w:t xml:space="preserve">The number of </w:t>
            </w:r>
            <w:proofErr w:type="spellStart"/>
            <w:r>
              <w:rPr>
                <w:sz w:val="20"/>
                <w:szCs w:val="20"/>
              </w:rPr>
              <w:t>timesteps</w:t>
            </w:r>
            <w:proofErr w:type="spellEnd"/>
            <w:r>
              <w:rPr>
                <w:sz w:val="20"/>
                <w:szCs w:val="20"/>
              </w:rPr>
              <w:t xml:space="preserve"> an agent will remain on a food patch before it attempts to learn.</w:t>
            </w:r>
          </w:p>
        </w:tc>
      </w:tr>
      <w:tr w:rsidR="00B57528" w:rsidRPr="00253DCB" w:rsidTr="00B57528">
        <w:tc>
          <w:tcPr>
            <w:tcW w:w="2547" w:type="dxa"/>
          </w:tcPr>
          <w:p w:rsidR="00B57528" w:rsidRPr="00492B73" w:rsidRDefault="00B57528" w:rsidP="00B57528">
            <w:pPr>
              <w:spacing w:line="360" w:lineRule="auto"/>
              <w:jc w:val="both"/>
              <w:rPr>
                <w:i/>
                <w:sz w:val="20"/>
                <w:szCs w:val="20"/>
              </w:rPr>
            </w:pPr>
            <w:r>
              <w:rPr>
                <w:i/>
                <w:sz w:val="20"/>
                <w:szCs w:val="20"/>
              </w:rPr>
              <w:t>feeding-time  **</w:t>
            </w:r>
          </w:p>
        </w:tc>
        <w:tc>
          <w:tcPr>
            <w:tcW w:w="6804" w:type="dxa"/>
          </w:tcPr>
          <w:p w:rsidR="00B57528" w:rsidRPr="00253DCB" w:rsidRDefault="00B57528" w:rsidP="00B57528">
            <w:pPr>
              <w:spacing w:line="360" w:lineRule="auto"/>
              <w:jc w:val="both"/>
              <w:rPr>
                <w:sz w:val="20"/>
                <w:szCs w:val="20"/>
              </w:rPr>
            </w:pPr>
            <w:r>
              <w:rPr>
                <w:sz w:val="20"/>
                <w:szCs w:val="20"/>
              </w:rPr>
              <w:t xml:space="preserve">The number of </w:t>
            </w:r>
            <w:proofErr w:type="spellStart"/>
            <w:r>
              <w:rPr>
                <w:sz w:val="20"/>
                <w:szCs w:val="20"/>
              </w:rPr>
              <w:t>timesteps</w:t>
            </w:r>
            <w:proofErr w:type="spellEnd"/>
            <w:r>
              <w:rPr>
                <w:sz w:val="20"/>
                <w:szCs w:val="20"/>
              </w:rPr>
              <w:t xml:space="preserve"> an agent will remain on a food patch while it feeds.</w:t>
            </w:r>
          </w:p>
        </w:tc>
      </w:tr>
      <w:tr w:rsidR="00B57528" w:rsidRPr="00253DCB" w:rsidTr="00B57528">
        <w:tc>
          <w:tcPr>
            <w:tcW w:w="2547" w:type="dxa"/>
          </w:tcPr>
          <w:p w:rsidR="00B57528" w:rsidRDefault="00B57528" w:rsidP="00B57528">
            <w:pPr>
              <w:spacing w:line="360" w:lineRule="auto"/>
              <w:jc w:val="both"/>
              <w:rPr>
                <w:i/>
                <w:sz w:val="20"/>
                <w:szCs w:val="20"/>
              </w:rPr>
            </w:pPr>
            <w:r>
              <w:rPr>
                <w:i/>
                <w:sz w:val="20"/>
                <w:szCs w:val="20"/>
              </w:rPr>
              <w:t>food-patch-distribution</w:t>
            </w:r>
          </w:p>
        </w:tc>
        <w:tc>
          <w:tcPr>
            <w:tcW w:w="6804" w:type="dxa"/>
          </w:tcPr>
          <w:p w:rsidR="00B57528" w:rsidRPr="00253DCB" w:rsidRDefault="00B57528" w:rsidP="00B57528">
            <w:pPr>
              <w:spacing w:line="360" w:lineRule="auto"/>
              <w:jc w:val="both"/>
              <w:rPr>
                <w:sz w:val="20"/>
                <w:szCs w:val="20"/>
              </w:rPr>
            </w:pPr>
            <w:r>
              <w:rPr>
                <w:sz w:val="20"/>
                <w:szCs w:val="20"/>
              </w:rPr>
              <w:t>Food patches can be distributed in two ways: ‘scattered’ or ‘clustered’. Scattered food patches are distributed randomly over the world. Clustered food patches are located at the top-left of the world and are all clustered together to form a large circle.</w:t>
            </w:r>
          </w:p>
        </w:tc>
      </w:tr>
      <w:tr w:rsidR="00B57528" w:rsidRPr="00253DCB" w:rsidTr="00B57528">
        <w:tc>
          <w:tcPr>
            <w:tcW w:w="2547" w:type="dxa"/>
          </w:tcPr>
          <w:p w:rsidR="00B57528" w:rsidRDefault="00B57528" w:rsidP="00B57528">
            <w:pPr>
              <w:spacing w:line="360" w:lineRule="auto"/>
              <w:jc w:val="both"/>
              <w:rPr>
                <w:i/>
                <w:sz w:val="20"/>
                <w:szCs w:val="20"/>
              </w:rPr>
            </w:pPr>
            <w:r>
              <w:rPr>
                <w:i/>
                <w:sz w:val="20"/>
                <w:szCs w:val="20"/>
              </w:rPr>
              <w:t>food-patch-radius</w:t>
            </w:r>
          </w:p>
        </w:tc>
        <w:tc>
          <w:tcPr>
            <w:tcW w:w="6804" w:type="dxa"/>
          </w:tcPr>
          <w:p w:rsidR="00B57528" w:rsidRPr="00734599" w:rsidRDefault="00B57528" w:rsidP="00B57528">
            <w:pPr>
              <w:spacing w:line="360" w:lineRule="auto"/>
              <w:jc w:val="both"/>
              <w:rPr>
                <w:sz w:val="20"/>
                <w:szCs w:val="20"/>
              </w:rPr>
            </w:pPr>
            <w:r>
              <w:rPr>
                <w:sz w:val="20"/>
                <w:szCs w:val="20"/>
              </w:rPr>
              <w:t xml:space="preserve">Only applicable if the </w:t>
            </w:r>
            <w:r>
              <w:rPr>
                <w:i/>
                <w:sz w:val="20"/>
                <w:szCs w:val="20"/>
              </w:rPr>
              <w:t>food-patch-distribution</w:t>
            </w:r>
            <w:r>
              <w:rPr>
                <w:sz w:val="20"/>
                <w:szCs w:val="20"/>
              </w:rPr>
              <w:t xml:space="preserve"> is clustered. Determines the radius of the food patch cluster.</w:t>
            </w:r>
          </w:p>
        </w:tc>
      </w:tr>
      <w:tr w:rsidR="00B57528" w:rsidRPr="00253DCB" w:rsidTr="00B57528">
        <w:tc>
          <w:tcPr>
            <w:tcW w:w="2547" w:type="dxa"/>
          </w:tcPr>
          <w:p w:rsidR="00B57528" w:rsidRDefault="00B57528" w:rsidP="00B57528">
            <w:pPr>
              <w:spacing w:line="360" w:lineRule="auto"/>
              <w:jc w:val="both"/>
              <w:rPr>
                <w:i/>
                <w:sz w:val="20"/>
                <w:szCs w:val="20"/>
              </w:rPr>
            </w:pPr>
            <w:r>
              <w:rPr>
                <w:i/>
                <w:sz w:val="20"/>
                <w:szCs w:val="20"/>
              </w:rPr>
              <w:t>food-patch-bias</w:t>
            </w:r>
          </w:p>
        </w:tc>
        <w:tc>
          <w:tcPr>
            <w:tcW w:w="6804" w:type="dxa"/>
          </w:tcPr>
          <w:p w:rsidR="00B57528" w:rsidRPr="00253DCB" w:rsidRDefault="00B57528" w:rsidP="00B57528">
            <w:pPr>
              <w:spacing w:line="360" w:lineRule="auto"/>
              <w:jc w:val="both"/>
              <w:rPr>
                <w:sz w:val="20"/>
                <w:szCs w:val="20"/>
              </w:rPr>
            </w:pPr>
            <w:r>
              <w:rPr>
                <w:sz w:val="20"/>
                <w:szCs w:val="20"/>
              </w:rPr>
              <w:t xml:space="preserve">Only applicable if the </w:t>
            </w:r>
            <w:r>
              <w:rPr>
                <w:i/>
                <w:sz w:val="20"/>
                <w:szCs w:val="20"/>
              </w:rPr>
              <w:t>food-patch-distribution</w:t>
            </w:r>
            <w:r>
              <w:rPr>
                <w:sz w:val="20"/>
                <w:szCs w:val="20"/>
              </w:rPr>
              <w:t xml:space="preserve"> is clustered. Once an agent has visited the food patch cluster once, it will learn its location. This value determines how strongly an agent which knows the location of the cluster will move towards the cluster when not currently located on it.</w:t>
            </w:r>
          </w:p>
        </w:tc>
      </w:tr>
      <w:tr w:rsidR="00B57528" w:rsidRPr="00253DCB" w:rsidTr="00B57528">
        <w:tc>
          <w:tcPr>
            <w:tcW w:w="2547" w:type="dxa"/>
          </w:tcPr>
          <w:p w:rsidR="00B57528" w:rsidRDefault="00B57528" w:rsidP="00B57528">
            <w:pPr>
              <w:spacing w:line="360" w:lineRule="auto"/>
              <w:jc w:val="both"/>
              <w:rPr>
                <w:i/>
                <w:sz w:val="20"/>
                <w:szCs w:val="20"/>
              </w:rPr>
            </w:pPr>
            <w:r>
              <w:rPr>
                <w:i/>
                <w:sz w:val="20"/>
                <w:szCs w:val="20"/>
              </w:rPr>
              <w:t>food-patch-cover</w:t>
            </w:r>
          </w:p>
        </w:tc>
        <w:tc>
          <w:tcPr>
            <w:tcW w:w="6804" w:type="dxa"/>
          </w:tcPr>
          <w:p w:rsidR="00B57528" w:rsidRPr="00253DCB" w:rsidRDefault="00B57528" w:rsidP="00B57528">
            <w:pPr>
              <w:spacing w:line="360" w:lineRule="auto"/>
              <w:jc w:val="both"/>
              <w:rPr>
                <w:sz w:val="20"/>
                <w:szCs w:val="20"/>
              </w:rPr>
            </w:pPr>
            <w:r>
              <w:rPr>
                <w:sz w:val="20"/>
                <w:szCs w:val="20"/>
              </w:rPr>
              <w:t xml:space="preserve">Only applicable if the </w:t>
            </w:r>
            <w:r>
              <w:rPr>
                <w:i/>
                <w:sz w:val="20"/>
                <w:szCs w:val="20"/>
              </w:rPr>
              <w:t>food-patch-distribution</w:t>
            </w:r>
            <w:r>
              <w:rPr>
                <w:sz w:val="20"/>
                <w:szCs w:val="20"/>
              </w:rPr>
              <w:t xml:space="preserve"> is scattered. The percentage cover that the food patches take up in the world.</w:t>
            </w:r>
          </w:p>
        </w:tc>
      </w:tr>
    </w:tbl>
    <w:p w:rsidR="00253107" w:rsidRPr="00734599" w:rsidRDefault="00734599" w:rsidP="00B57528">
      <w:pPr>
        <w:spacing w:line="360" w:lineRule="auto"/>
        <w:jc w:val="both"/>
        <w:rPr>
          <w:sz w:val="18"/>
        </w:rPr>
      </w:pPr>
      <w:r>
        <w:rPr>
          <w:sz w:val="18"/>
        </w:rPr>
        <w:t>*</w:t>
      </w:r>
      <w:r w:rsidR="00415193" w:rsidRPr="00734599">
        <w:rPr>
          <w:sz w:val="18"/>
        </w:rPr>
        <w:t xml:space="preserve">Because second-generation agents gain only one of their alleles from the background population, gaining the second at random from their mother, the actual allele frequencies of the simulated population will vary on set up from these inputted parameters. The simulation is set to record the initial allele frequencies of the simulated population in its output. </w:t>
      </w:r>
    </w:p>
    <w:p w:rsidR="00734599" w:rsidRDefault="007C16CF" w:rsidP="00B57528">
      <w:pPr>
        <w:spacing w:line="360" w:lineRule="auto"/>
        <w:jc w:val="both"/>
        <w:rPr>
          <w:sz w:val="18"/>
        </w:rPr>
      </w:pPr>
      <w:r w:rsidRPr="00734599">
        <w:rPr>
          <w:sz w:val="18"/>
        </w:rPr>
        <w:t>**</w:t>
      </w:r>
      <w:r w:rsidR="00734599" w:rsidRPr="00734599">
        <w:rPr>
          <w:sz w:val="18"/>
        </w:rPr>
        <w:t>Increasing the deciding and feeding times will keep an agent on a food patch for longer, thus giving other agents time to reach the same food patch to promote learning.</w:t>
      </w:r>
    </w:p>
    <w:p w:rsidR="00581CE7" w:rsidRDefault="00581CE7" w:rsidP="00B57528">
      <w:pPr>
        <w:spacing w:line="360" w:lineRule="auto"/>
        <w:jc w:val="both"/>
        <w:rPr>
          <w:sz w:val="18"/>
        </w:rPr>
      </w:pPr>
    </w:p>
    <w:p w:rsidR="007367F6" w:rsidRDefault="007367F6" w:rsidP="007367F6">
      <w:pPr>
        <w:pStyle w:val="Heading3"/>
        <w:spacing w:line="360" w:lineRule="auto"/>
        <w:rPr>
          <w:b/>
          <w:color w:val="000000" w:themeColor="text1"/>
        </w:rPr>
      </w:pPr>
      <w:r>
        <w:rPr>
          <w:b/>
          <w:color w:val="000000" w:themeColor="text1"/>
        </w:rPr>
        <w:t>Exportation of Data</w:t>
      </w:r>
    </w:p>
    <w:p w:rsidR="00852BB9" w:rsidRDefault="000641AA" w:rsidP="00B57528">
      <w:pPr>
        <w:spacing w:line="360" w:lineRule="auto"/>
        <w:jc w:val="both"/>
      </w:pPr>
      <w:r>
        <w:t>This model is set up to record the following data</w:t>
      </w:r>
      <w:r w:rsidR="00852BB9">
        <w:t>, for all iterations run,</w:t>
      </w:r>
      <w:r>
        <w:t xml:space="preserve"> in a variable called </w:t>
      </w:r>
      <w:r>
        <w:rPr>
          <w:i/>
        </w:rPr>
        <w:t>dataset</w:t>
      </w:r>
      <w:r>
        <w:t xml:space="preserve">: </w:t>
      </w:r>
    </w:p>
    <w:p w:rsidR="00852BB9" w:rsidRDefault="00852BB9" w:rsidP="00852BB9">
      <w:pPr>
        <w:pStyle w:val="ListParagraph"/>
        <w:numPr>
          <w:ilvl w:val="0"/>
          <w:numId w:val="2"/>
        </w:numPr>
        <w:spacing w:line="360" w:lineRule="auto"/>
        <w:jc w:val="both"/>
      </w:pPr>
      <w:r>
        <w:t>T</w:t>
      </w:r>
      <w:r w:rsidR="000641AA">
        <w:t xml:space="preserve">he maximum generation </w:t>
      </w:r>
      <w:r>
        <w:t>at the end of each iteration</w:t>
      </w:r>
    </w:p>
    <w:p w:rsidR="00852BB9" w:rsidRDefault="00852BB9" w:rsidP="00852BB9">
      <w:pPr>
        <w:pStyle w:val="ListParagraph"/>
        <w:numPr>
          <w:ilvl w:val="0"/>
          <w:numId w:val="2"/>
        </w:numPr>
        <w:spacing w:line="360" w:lineRule="auto"/>
        <w:jc w:val="both"/>
      </w:pPr>
      <w:r>
        <w:t>T</w:t>
      </w:r>
      <w:r w:rsidR="000641AA">
        <w:t>he initial selec</w:t>
      </w:r>
      <w:r>
        <w:t>tive-teaching allele frequency</w:t>
      </w:r>
    </w:p>
    <w:p w:rsidR="000641AA" w:rsidRDefault="00852BB9" w:rsidP="00852BB9">
      <w:pPr>
        <w:pStyle w:val="ListParagraph"/>
        <w:numPr>
          <w:ilvl w:val="0"/>
          <w:numId w:val="2"/>
        </w:numPr>
        <w:spacing w:line="360" w:lineRule="auto"/>
        <w:jc w:val="both"/>
      </w:pPr>
      <w:r>
        <w:t>T</w:t>
      </w:r>
      <w:r w:rsidR="000641AA">
        <w:t xml:space="preserve">he selective-teaching allele frequency </w:t>
      </w:r>
      <w:r>
        <w:t>at the end of each iteration</w:t>
      </w:r>
    </w:p>
    <w:p w:rsidR="00852BB9" w:rsidRDefault="00852BB9" w:rsidP="00852BB9">
      <w:pPr>
        <w:pStyle w:val="ListParagraph"/>
        <w:numPr>
          <w:ilvl w:val="0"/>
          <w:numId w:val="2"/>
        </w:numPr>
        <w:spacing w:line="360" w:lineRule="auto"/>
        <w:jc w:val="both"/>
      </w:pPr>
      <w:r>
        <w:t>The initial non-selective-teaching allele frequency</w:t>
      </w:r>
    </w:p>
    <w:p w:rsidR="00852BB9" w:rsidRPr="000641AA" w:rsidRDefault="00852BB9" w:rsidP="00852BB9">
      <w:pPr>
        <w:pStyle w:val="ListParagraph"/>
        <w:numPr>
          <w:ilvl w:val="0"/>
          <w:numId w:val="2"/>
        </w:numPr>
        <w:spacing w:line="360" w:lineRule="auto"/>
        <w:jc w:val="both"/>
      </w:pPr>
      <w:r>
        <w:t>The non-selective-teaching allele frequency at the end of each iteration</w:t>
      </w:r>
    </w:p>
    <w:p w:rsidR="00852BB9" w:rsidRDefault="00852BB9" w:rsidP="00852BB9">
      <w:pPr>
        <w:pStyle w:val="ListParagraph"/>
        <w:numPr>
          <w:ilvl w:val="0"/>
          <w:numId w:val="2"/>
        </w:numPr>
        <w:spacing w:line="360" w:lineRule="auto"/>
        <w:jc w:val="both"/>
      </w:pPr>
      <w:r>
        <w:t>The initial non-teaching allele frequency</w:t>
      </w:r>
    </w:p>
    <w:p w:rsidR="00852BB9" w:rsidRDefault="00852BB9" w:rsidP="00852BB9">
      <w:pPr>
        <w:pStyle w:val="ListParagraph"/>
        <w:numPr>
          <w:ilvl w:val="0"/>
          <w:numId w:val="2"/>
        </w:numPr>
        <w:spacing w:line="360" w:lineRule="auto"/>
        <w:jc w:val="both"/>
      </w:pPr>
      <w:r>
        <w:t>The non-teaching allele frequency at the end of each iteration</w:t>
      </w:r>
    </w:p>
    <w:p w:rsidR="00581CE7" w:rsidRDefault="00581CE7" w:rsidP="00852BB9">
      <w:pPr>
        <w:pStyle w:val="ListParagraph"/>
        <w:numPr>
          <w:ilvl w:val="0"/>
          <w:numId w:val="2"/>
        </w:numPr>
        <w:spacing w:line="360" w:lineRule="auto"/>
        <w:jc w:val="both"/>
      </w:pPr>
      <w:r>
        <w:lastRenderedPageBreak/>
        <w:t>The initial number of individuals with a selective-teaching phenotype</w:t>
      </w:r>
    </w:p>
    <w:p w:rsidR="00581CE7" w:rsidRPr="000641AA" w:rsidRDefault="00581CE7" w:rsidP="00581CE7">
      <w:pPr>
        <w:pStyle w:val="ListParagraph"/>
        <w:numPr>
          <w:ilvl w:val="0"/>
          <w:numId w:val="2"/>
        </w:numPr>
        <w:spacing w:line="360" w:lineRule="auto"/>
        <w:jc w:val="both"/>
      </w:pPr>
      <w:r>
        <w:t>The number of individuals with a selective-teaching phenotype at the end of each iteration</w:t>
      </w:r>
    </w:p>
    <w:p w:rsidR="00581CE7" w:rsidRPr="000641AA" w:rsidRDefault="00581CE7" w:rsidP="00581CE7">
      <w:pPr>
        <w:pStyle w:val="ListParagraph"/>
        <w:numPr>
          <w:ilvl w:val="0"/>
          <w:numId w:val="2"/>
        </w:numPr>
        <w:spacing w:line="360" w:lineRule="auto"/>
        <w:jc w:val="both"/>
      </w:pPr>
      <w:r>
        <w:t>The initial number of individuals with a non-selective-teaching phenotype</w:t>
      </w:r>
    </w:p>
    <w:p w:rsidR="00581CE7" w:rsidRPr="000641AA" w:rsidRDefault="00581CE7" w:rsidP="00581CE7">
      <w:pPr>
        <w:pStyle w:val="ListParagraph"/>
        <w:numPr>
          <w:ilvl w:val="0"/>
          <w:numId w:val="2"/>
        </w:numPr>
        <w:spacing w:line="360" w:lineRule="auto"/>
        <w:jc w:val="both"/>
      </w:pPr>
      <w:r>
        <w:t>The number of individuals with a non-selective-teaching phenotype at the end of each iteration</w:t>
      </w:r>
    </w:p>
    <w:p w:rsidR="00852BB9" w:rsidRPr="000641AA" w:rsidRDefault="00852BB9" w:rsidP="00852BB9">
      <w:pPr>
        <w:pStyle w:val="ListParagraph"/>
        <w:spacing w:line="360" w:lineRule="auto"/>
        <w:jc w:val="both"/>
      </w:pPr>
    </w:p>
    <w:p w:rsidR="007367F6" w:rsidRDefault="007367F6" w:rsidP="00B57528">
      <w:pPr>
        <w:spacing w:line="360" w:lineRule="auto"/>
        <w:jc w:val="both"/>
      </w:pPr>
      <w:r w:rsidRPr="007367F6">
        <w:t>If you</w:t>
      </w:r>
      <w:r>
        <w:t xml:space="preserve"> wish to export </w:t>
      </w:r>
      <w:r w:rsidR="000641AA">
        <w:t xml:space="preserve">this </w:t>
      </w:r>
      <w:r>
        <w:t xml:space="preserve">data from the model, you will need to </w:t>
      </w:r>
      <w:r w:rsidR="000641AA">
        <w:t xml:space="preserve">alter the code so that a .csv file can be exported to a particular directory of your computer. To do this, </w:t>
      </w:r>
      <w:r>
        <w:t xml:space="preserve">go into the ‘Code’ tab at the top of the </w:t>
      </w:r>
      <w:proofErr w:type="spellStart"/>
      <w:r>
        <w:t>NetLogo</w:t>
      </w:r>
      <w:proofErr w:type="spellEnd"/>
      <w:r>
        <w:t xml:space="preserve"> window, find the ‘Reset and Stop Procedures’ (this can be found easily by using CTRL + F and finding ‘file-name’</w:t>
      </w:r>
      <w:r w:rsidR="000641AA">
        <w:t>). Find the line:</w:t>
      </w:r>
    </w:p>
    <w:p w:rsidR="000641AA" w:rsidRPr="000641AA" w:rsidRDefault="00581CE7" w:rsidP="000641AA">
      <w:pPr>
        <w:spacing w:line="360" w:lineRule="auto"/>
        <w:ind w:firstLine="720"/>
        <w:jc w:val="both"/>
        <w:rPr>
          <w:i/>
        </w:rPr>
      </w:pPr>
      <w:r>
        <w:rPr>
          <w:i/>
        </w:rPr>
        <w:t xml:space="preserve">; </w:t>
      </w:r>
      <w:proofErr w:type="spellStart"/>
      <w:proofErr w:type="gramStart"/>
      <w:r w:rsidR="000641AA" w:rsidRPr="000641AA">
        <w:rPr>
          <w:i/>
        </w:rPr>
        <w:t>csv:</w:t>
      </w:r>
      <w:proofErr w:type="gramEnd"/>
      <w:r w:rsidR="000641AA" w:rsidRPr="000641AA">
        <w:rPr>
          <w:i/>
        </w:rPr>
        <w:t>to-file</w:t>
      </w:r>
      <w:proofErr w:type="spellEnd"/>
      <w:r w:rsidR="000641AA" w:rsidRPr="000641AA">
        <w:rPr>
          <w:i/>
        </w:rPr>
        <w:t xml:space="preserve"> (word "C:/PathName/" file-name) dataset</w:t>
      </w:r>
    </w:p>
    <w:p w:rsidR="000641AA" w:rsidRDefault="00581CE7" w:rsidP="000641AA">
      <w:pPr>
        <w:spacing w:line="360" w:lineRule="auto"/>
        <w:jc w:val="both"/>
      </w:pPr>
      <w:r>
        <w:t>C</w:t>
      </w:r>
      <w:r w:rsidR="000641AA">
        <w:t xml:space="preserve">hange </w:t>
      </w:r>
      <w:r w:rsidR="000641AA" w:rsidRPr="000641AA">
        <w:rPr>
          <w:i/>
        </w:rPr>
        <w:t>C:/PathName</w:t>
      </w:r>
      <w:r w:rsidR="000641AA">
        <w:t xml:space="preserve"> to your file directory, making sure to leave the rest of the code, including the speech marks</w:t>
      </w:r>
      <w:r>
        <w:t xml:space="preserve"> and the forward slash at the end of the directory, intact and </w:t>
      </w:r>
      <w:r w:rsidRPr="00581CE7">
        <w:rPr>
          <w:u w:val="single"/>
        </w:rPr>
        <w:t>uncomment</w:t>
      </w:r>
      <w:r>
        <w:t xml:space="preserve"> the line by removing the semicolon from the start.</w:t>
      </w:r>
    </w:p>
    <w:p w:rsidR="00581CE7" w:rsidRDefault="000641AA" w:rsidP="000641AA">
      <w:pPr>
        <w:spacing w:line="360" w:lineRule="auto"/>
        <w:jc w:val="both"/>
      </w:pPr>
      <w:r>
        <w:t xml:space="preserve">Notice that the code is set up so that </w:t>
      </w:r>
      <w:r>
        <w:rPr>
          <w:i/>
        </w:rPr>
        <w:t xml:space="preserve">file-name </w:t>
      </w:r>
      <w:r>
        <w:t xml:space="preserve">changes depending on the inputted </w:t>
      </w:r>
      <w:r w:rsidRPr="000641AA">
        <w:rPr>
          <w:i/>
        </w:rPr>
        <w:t>only-follow-parent-offspring</w:t>
      </w:r>
      <w:proofErr w:type="gramStart"/>
      <w:r w:rsidRPr="000641AA">
        <w:rPr>
          <w:i/>
        </w:rPr>
        <w:t>?,</w:t>
      </w:r>
      <w:proofErr w:type="gramEnd"/>
      <w:r>
        <w:t xml:space="preserve"> </w:t>
      </w:r>
      <w:r>
        <w:rPr>
          <w:i/>
        </w:rPr>
        <w:t xml:space="preserve">selective-teaching, kin-following-preference, social-learning-probability </w:t>
      </w:r>
      <w:r w:rsidRPr="000641AA">
        <w:t xml:space="preserve">and </w:t>
      </w:r>
      <w:r>
        <w:rPr>
          <w:i/>
        </w:rPr>
        <w:t>asocial-learning-probability</w:t>
      </w:r>
      <w:r>
        <w:t xml:space="preserve"> values. This means a unique file name will be given to all .csv files for sets of simulations with different values for these variables. This ensures files are easily identifiable and are not overwritten. If other parameters are tested, however, file names will need to be altered to account for this.</w:t>
      </w:r>
      <w:r w:rsidR="00581CE7">
        <w:t xml:space="preserve"> </w:t>
      </w:r>
    </w:p>
    <w:p w:rsidR="000641AA" w:rsidRDefault="00581CE7" w:rsidP="000641AA">
      <w:pPr>
        <w:spacing w:line="360" w:lineRule="auto"/>
        <w:jc w:val="both"/>
      </w:pPr>
      <w:r>
        <w:t xml:space="preserve">Alternatively, if you wish to name each file individually with different names, you can leave this code alone and export the file via the command centre. To do this, wait until all your iterations have run (i.e. until the </w:t>
      </w:r>
      <w:r>
        <w:rPr>
          <w:i/>
        </w:rPr>
        <w:t>go</w:t>
      </w:r>
      <w:r>
        <w:t xml:space="preserve"> button lifts itself up again), and type the following into the command centre at the bottom of the </w:t>
      </w:r>
      <w:proofErr w:type="spellStart"/>
      <w:r>
        <w:t>NetLogo</w:t>
      </w:r>
      <w:proofErr w:type="spellEnd"/>
      <w:r>
        <w:t xml:space="preserve"> interface:</w:t>
      </w:r>
    </w:p>
    <w:p w:rsidR="00581CE7" w:rsidRPr="000641AA" w:rsidRDefault="00581CE7" w:rsidP="00581CE7">
      <w:pPr>
        <w:spacing w:line="360" w:lineRule="auto"/>
        <w:ind w:firstLine="720"/>
        <w:jc w:val="both"/>
        <w:rPr>
          <w:i/>
        </w:rPr>
      </w:pPr>
      <w:r>
        <w:tab/>
      </w:r>
      <w:proofErr w:type="spellStart"/>
      <w:proofErr w:type="gramStart"/>
      <w:r w:rsidRPr="000641AA">
        <w:rPr>
          <w:i/>
        </w:rPr>
        <w:t>csv:</w:t>
      </w:r>
      <w:proofErr w:type="gramEnd"/>
      <w:r w:rsidRPr="000641AA">
        <w:rPr>
          <w:i/>
        </w:rPr>
        <w:t>to-file</w:t>
      </w:r>
      <w:proofErr w:type="spellEnd"/>
      <w:r w:rsidRPr="000641AA">
        <w:rPr>
          <w:i/>
        </w:rPr>
        <w:t xml:space="preserve"> </w:t>
      </w:r>
      <w:r w:rsidRPr="00581CE7">
        <w:rPr>
          <w:i/>
        </w:rPr>
        <w:t>"</w:t>
      </w:r>
      <w:r>
        <w:rPr>
          <w:i/>
        </w:rPr>
        <w:t>C:/PathName/FileName.csv</w:t>
      </w:r>
      <w:r w:rsidRPr="00581CE7">
        <w:rPr>
          <w:i/>
        </w:rPr>
        <w:t>"</w:t>
      </w:r>
      <w:r w:rsidRPr="000641AA">
        <w:rPr>
          <w:i/>
        </w:rPr>
        <w:t xml:space="preserve"> dataset</w:t>
      </w:r>
    </w:p>
    <w:p w:rsidR="00207E08" w:rsidRDefault="00581CE7" w:rsidP="00B57528">
      <w:pPr>
        <w:spacing w:line="360" w:lineRule="auto"/>
        <w:jc w:val="both"/>
        <w:rPr>
          <w:sz w:val="18"/>
        </w:rPr>
      </w:pPr>
      <w:r>
        <w:t xml:space="preserve">Making sure to replace </w:t>
      </w:r>
      <w:proofErr w:type="spellStart"/>
      <w:r w:rsidRPr="00581CE7">
        <w:rPr>
          <w:i/>
        </w:rPr>
        <w:t>PathName</w:t>
      </w:r>
      <w:proofErr w:type="spellEnd"/>
      <w:r>
        <w:t xml:space="preserve"> and </w:t>
      </w:r>
      <w:proofErr w:type="spellStart"/>
      <w:r>
        <w:rPr>
          <w:i/>
        </w:rPr>
        <w:t>FileName</w:t>
      </w:r>
      <w:proofErr w:type="spellEnd"/>
      <w:r>
        <w:rPr>
          <w:i/>
        </w:rPr>
        <w:t xml:space="preserve"> </w:t>
      </w:r>
      <w:r w:rsidRPr="00581CE7">
        <w:t>with</w:t>
      </w:r>
      <w:r>
        <w:t xml:space="preserve"> the correct directory and file name. Ensure </w:t>
      </w:r>
      <w:r>
        <w:rPr>
          <w:i/>
        </w:rPr>
        <w:t>.csv</w:t>
      </w:r>
      <w:r>
        <w:t xml:space="preserve"> remains at the end of your file name or you will receive an error.</w:t>
      </w:r>
    </w:p>
    <w:p w:rsidR="00581CE7" w:rsidRDefault="00581CE7" w:rsidP="00B57528">
      <w:pPr>
        <w:spacing w:line="360" w:lineRule="auto"/>
        <w:jc w:val="both"/>
        <w:rPr>
          <w:sz w:val="18"/>
        </w:rPr>
      </w:pPr>
    </w:p>
    <w:p w:rsidR="00207E08" w:rsidRDefault="00207E08" w:rsidP="00B57528">
      <w:pPr>
        <w:spacing w:line="360" w:lineRule="auto"/>
        <w:jc w:val="both"/>
        <w:rPr>
          <w:sz w:val="18"/>
        </w:rPr>
      </w:pPr>
    </w:p>
    <w:p w:rsidR="00734599" w:rsidRDefault="00734599" w:rsidP="00B57528">
      <w:pPr>
        <w:pStyle w:val="Heading3"/>
        <w:spacing w:line="360" w:lineRule="auto"/>
        <w:rPr>
          <w:b/>
          <w:color w:val="000000" w:themeColor="text1"/>
        </w:rPr>
      </w:pPr>
      <w:r>
        <w:rPr>
          <w:b/>
          <w:color w:val="000000" w:themeColor="text1"/>
        </w:rPr>
        <w:t>Further Alterations of the Model</w:t>
      </w:r>
    </w:p>
    <w:p w:rsidR="00734599" w:rsidRDefault="00734599" w:rsidP="00B57528">
      <w:pPr>
        <w:spacing w:line="360" w:lineRule="auto"/>
        <w:jc w:val="both"/>
      </w:pPr>
      <w:r>
        <w:t xml:space="preserve">For users with a knowledge of </w:t>
      </w:r>
      <w:proofErr w:type="spellStart"/>
      <w:r>
        <w:t>NetLogo</w:t>
      </w:r>
      <w:proofErr w:type="spellEnd"/>
      <w:r>
        <w:t xml:space="preserve"> coding, further aspects of the model, beyond the changeable variables in the interface, can be modified by changing the code directly. The code for the model can be found under the ‘Code’ tab in the </w:t>
      </w:r>
      <w:proofErr w:type="spellStart"/>
      <w:r>
        <w:t>NetLogo</w:t>
      </w:r>
      <w:proofErr w:type="spellEnd"/>
      <w:r>
        <w:t xml:space="preserve"> window. </w:t>
      </w:r>
      <w:r w:rsidR="00CF0E36">
        <w:t xml:space="preserve">For further information on </w:t>
      </w:r>
      <w:proofErr w:type="spellStart"/>
      <w:r w:rsidR="00CF0E36">
        <w:t>NetLogo</w:t>
      </w:r>
      <w:proofErr w:type="spellEnd"/>
      <w:r w:rsidR="00CF0E36">
        <w:t xml:space="preserve"> coding, see the </w:t>
      </w:r>
      <w:proofErr w:type="spellStart"/>
      <w:r w:rsidR="00CF0E36">
        <w:t>NetLogo</w:t>
      </w:r>
      <w:proofErr w:type="spellEnd"/>
      <w:r w:rsidR="00CF0E36">
        <w:t xml:space="preserve"> Dictionary (V6.0.3 </w:t>
      </w:r>
      <w:hyperlink r:id="rId12" w:history="1">
        <w:r w:rsidR="00CF0E36" w:rsidRPr="00101FEC">
          <w:rPr>
            <w:rStyle w:val="Hyperlink"/>
          </w:rPr>
          <w:t>https://ccl.northwestern.edu/netlogo/docs/dictionary.html</w:t>
        </w:r>
      </w:hyperlink>
      <w:r w:rsidR="00CF0E36">
        <w:t xml:space="preserve">) </w:t>
      </w:r>
      <w:r w:rsidR="00207E08">
        <w:t xml:space="preserve">and Programming Guide </w:t>
      </w:r>
      <w:r w:rsidR="00207E08">
        <w:lastRenderedPageBreak/>
        <w:t xml:space="preserve">(V6.0.3 </w:t>
      </w:r>
      <w:hyperlink r:id="rId13" w:history="1">
        <w:r w:rsidR="00207E08" w:rsidRPr="00101FEC">
          <w:rPr>
            <w:rStyle w:val="Hyperlink"/>
          </w:rPr>
          <w:t>https://ccl.northwestern.edu/netlogo/docs/programming.html</w:t>
        </w:r>
      </w:hyperlink>
      <w:r w:rsidR="00207E08">
        <w:t xml:space="preserve">). If modelling in </w:t>
      </w:r>
      <w:proofErr w:type="spellStart"/>
      <w:r w:rsidR="00207E08">
        <w:t>NetLogo</w:t>
      </w:r>
      <w:proofErr w:type="spellEnd"/>
      <w:r w:rsidR="00207E08">
        <w:t xml:space="preserve"> 5.2.0, refer to the Transition Guide (</w:t>
      </w:r>
      <w:hyperlink r:id="rId14" w:history="1">
        <w:r w:rsidR="00207E08" w:rsidRPr="00101FEC">
          <w:rPr>
            <w:rStyle w:val="Hyperlink"/>
          </w:rPr>
          <w:t>https://ccl.northwestern.edu/netlogo/docs/transition.html</w:t>
        </w:r>
      </w:hyperlink>
      <w:r w:rsidR="00207E08">
        <w:t>) to see the differences between the versions.</w:t>
      </w:r>
    </w:p>
    <w:p w:rsidR="001C06AC" w:rsidRPr="00581CE7" w:rsidRDefault="00664B5B" w:rsidP="00B57528">
      <w:pPr>
        <w:spacing w:line="360" w:lineRule="auto"/>
        <w:jc w:val="both"/>
      </w:pPr>
      <w:r>
        <w:t xml:space="preserve">Feel free to contact the model creator, Carrie Easter, at </w:t>
      </w:r>
      <w:hyperlink r:id="rId15" w:history="1">
        <w:r w:rsidRPr="00101FEC">
          <w:rPr>
            <w:rStyle w:val="Hyperlink"/>
          </w:rPr>
          <w:t>bs13ce@leeds.ac.uk</w:t>
        </w:r>
      </w:hyperlink>
      <w:r>
        <w:t xml:space="preserve"> to discuss any aspects about the model, including how it can be altered to include other aspects.</w:t>
      </w:r>
    </w:p>
    <w:sectPr w:rsidR="001C06AC" w:rsidRPr="00581CE7" w:rsidSect="00207E08">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C7C" w:rsidRDefault="007E3C7C" w:rsidP="00705FF2">
      <w:pPr>
        <w:spacing w:after="0" w:line="240" w:lineRule="auto"/>
      </w:pPr>
      <w:r>
        <w:separator/>
      </w:r>
    </w:p>
  </w:endnote>
  <w:endnote w:type="continuationSeparator" w:id="0">
    <w:p w:rsidR="007E3C7C" w:rsidRDefault="007E3C7C" w:rsidP="0070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093896"/>
      <w:docPartObj>
        <w:docPartGallery w:val="Page Numbers (Bottom of Page)"/>
        <w:docPartUnique/>
      </w:docPartObj>
    </w:sdtPr>
    <w:sdtEndPr>
      <w:rPr>
        <w:noProof/>
      </w:rPr>
    </w:sdtEndPr>
    <w:sdtContent>
      <w:p w:rsidR="00581CE7" w:rsidRDefault="00581CE7">
        <w:pPr>
          <w:pStyle w:val="Footer"/>
          <w:jc w:val="right"/>
        </w:pPr>
        <w:r>
          <w:fldChar w:fldCharType="begin"/>
        </w:r>
        <w:r>
          <w:instrText xml:space="preserve"> PAGE   \* MERGEFORMAT </w:instrText>
        </w:r>
        <w:r>
          <w:fldChar w:fldCharType="separate"/>
        </w:r>
        <w:r w:rsidR="000C0290">
          <w:rPr>
            <w:noProof/>
          </w:rPr>
          <w:t>1</w:t>
        </w:r>
        <w:r>
          <w:rPr>
            <w:noProof/>
          </w:rPr>
          <w:fldChar w:fldCharType="end"/>
        </w:r>
      </w:p>
    </w:sdtContent>
  </w:sdt>
  <w:p w:rsidR="00581CE7" w:rsidRDefault="00581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C7C" w:rsidRDefault="007E3C7C" w:rsidP="00705FF2">
      <w:pPr>
        <w:spacing w:after="0" w:line="240" w:lineRule="auto"/>
      </w:pPr>
      <w:r>
        <w:separator/>
      </w:r>
    </w:p>
  </w:footnote>
  <w:footnote w:type="continuationSeparator" w:id="0">
    <w:p w:rsidR="007E3C7C" w:rsidRDefault="007E3C7C" w:rsidP="00705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F2699"/>
    <w:multiLevelType w:val="hybridMultilevel"/>
    <w:tmpl w:val="E942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9D62B0"/>
    <w:multiLevelType w:val="hybridMultilevel"/>
    <w:tmpl w:val="B560A566"/>
    <w:lvl w:ilvl="0" w:tplc="DAF8D5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99"/>
    <w:rsid w:val="000641AA"/>
    <w:rsid w:val="000C0290"/>
    <w:rsid w:val="000D1A76"/>
    <w:rsid w:val="000D4899"/>
    <w:rsid w:val="001C06AC"/>
    <w:rsid w:val="00207E08"/>
    <w:rsid w:val="00253107"/>
    <w:rsid w:val="00253DCB"/>
    <w:rsid w:val="00262E97"/>
    <w:rsid w:val="0029502F"/>
    <w:rsid w:val="002F56F9"/>
    <w:rsid w:val="003633D4"/>
    <w:rsid w:val="00415193"/>
    <w:rsid w:val="00492B73"/>
    <w:rsid w:val="00557A21"/>
    <w:rsid w:val="00581CE7"/>
    <w:rsid w:val="005C5B5C"/>
    <w:rsid w:val="005E0122"/>
    <w:rsid w:val="00610491"/>
    <w:rsid w:val="006226F4"/>
    <w:rsid w:val="00664B5B"/>
    <w:rsid w:val="006F6469"/>
    <w:rsid w:val="00705FF2"/>
    <w:rsid w:val="007142F4"/>
    <w:rsid w:val="00734599"/>
    <w:rsid w:val="007367F6"/>
    <w:rsid w:val="007A6526"/>
    <w:rsid w:val="007B677C"/>
    <w:rsid w:val="007C16CF"/>
    <w:rsid w:val="007C7B83"/>
    <w:rsid w:val="007E3C7C"/>
    <w:rsid w:val="00852BB9"/>
    <w:rsid w:val="00882B49"/>
    <w:rsid w:val="008E3650"/>
    <w:rsid w:val="009F3B1C"/>
    <w:rsid w:val="00B57528"/>
    <w:rsid w:val="00B771D2"/>
    <w:rsid w:val="00C233B0"/>
    <w:rsid w:val="00CF0E36"/>
    <w:rsid w:val="00DD4FB8"/>
    <w:rsid w:val="00E05EA6"/>
    <w:rsid w:val="00E111AB"/>
    <w:rsid w:val="00E46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553FA-1706-4DF7-91CB-DC373B72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99"/>
  </w:style>
  <w:style w:type="paragraph" w:styleId="Heading2">
    <w:name w:val="heading 2"/>
    <w:basedOn w:val="Normal"/>
    <w:next w:val="Normal"/>
    <w:link w:val="Heading2Char"/>
    <w:uiPriority w:val="9"/>
    <w:unhideWhenUsed/>
    <w:qFormat/>
    <w:rsid w:val="000D4899"/>
    <w:pPr>
      <w:keepNext/>
      <w:keepLines/>
      <w:spacing w:before="40" w:after="0" w:line="480" w:lineRule="auto"/>
      <w:jc w:val="both"/>
      <w:outlineLvl w:val="1"/>
    </w:pPr>
    <w:rPr>
      <w:rFonts w:ascii="Times New Roman" w:eastAsiaTheme="majorEastAsia" w:hAnsi="Times New Roman" w:cs="Times New Roman"/>
      <w:color w:val="000000" w:themeColor="text1"/>
      <w:sz w:val="24"/>
      <w:szCs w:val="24"/>
    </w:rPr>
  </w:style>
  <w:style w:type="paragraph" w:styleId="Heading3">
    <w:name w:val="heading 3"/>
    <w:basedOn w:val="Normal"/>
    <w:next w:val="Normal"/>
    <w:link w:val="Heading3Char"/>
    <w:uiPriority w:val="9"/>
    <w:unhideWhenUsed/>
    <w:qFormat/>
    <w:rsid w:val="00B77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899"/>
    <w:rPr>
      <w:rFonts w:ascii="Times New Roman" w:eastAsiaTheme="majorEastAsia" w:hAnsi="Times New Roman" w:cs="Times New Roman"/>
      <w:color w:val="000000" w:themeColor="text1"/>
      <w:sz w:val="24"/>
      <w:szCs w:val="24"/>
    </w:rPr>
  </w:style>
  <w:style w:type="character" w:styleId="SubtleReference">
    <w:name w:val="Subtle Reference"/>
    <w:basedOn w:val="DefaultParagraphFont"/>
    <w:uiPriority w:val="31"/>
    <w:qFormat/>
    <w:rsid w:val="000D4899"/>
    <w:rPr>
      <w:smallCaps/>
      <w:color w:val="5A5A5A" w:themeColor="text1" w:themeTint="A5"/>
    </w:rPr>
  </w:style>
  <w:style w:type="character" w:styleId="Hyperlink">
    <w:name w:val="Hyperlink"/>
    <w:basedOn w:val="DefaultParagraphFont"/>
    <w:uiPriority w:val="99"/>
    <w:unhideWhenUsed/>
    <w:rsid w:val="00705FF2"/>
    <w:rPr>
      <w:color w:val="0563C1" w:themeColor="hyperlink"/>
      <w:u w:val="single"/>
    </w:rPr>
  </w:style>
  <w:style w:type="paragraph" w:styleId="Header">
    <w:name w:val="header"/>
    <w:basedOn w:val="Normal"/>
    <w:link w:val="HeaderChar"/>
    <w:uiPriority w:val="99"/>
    <w:unhideWhenUsed/>
    <w:rsid w:val="00705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FF2"/>
  </w:style>
  <w:style w:type="paragraph" w:styleId="Footer">
    <w:name w:val="footer"/>
    <w:basedOn w:val="Normal"/>
    <w:link w:val="FooterChar"/>
    <w:uiPriority w:val="99"/>
    <w:unhideWhenUsed/>
    <w:rsid w:val="00705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FF2"/>
  </w:style>
  <w:style w:type="paragraph" w:styleId="Subtitle">
    <w:name w:val="Subtitle"/>
    <w:basedOn w:val="Normal"/>
    <w:next w:val="Normal"/>
    <w:link w:val="SubtitleChar"/>
    <w:uiPriority w:val="11"/>
    <w:qFormat/>
    <w:rsid w:val="00B771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71D2"/>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B771D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C7B83"/>
    <w:pPr>
      <w:ind w:left="720"/>
      <w:contextualSpacing/>
    </w:pPr>
  </w:style>
  <w:style w:type="table" w:styleId="TableGrid">
    <w:name w:val="Table Grid"/>
    <w:basedOn w:val="TableNormal"/>
    <w:uiPriority w:val="39"/>
    <w:rsid w:val="00253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0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518/360" TargetMode="External"/><Relationship Id="rId13" Type="http://schemas.openxmlformats.org/officeDocument/2006/relationships/hyperlink" Target="https://ccl.northwestern.edu/netlogo/docs/programming.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5518/360" TargetMode="External"/><Relationship Id="rId12" Type="http://schemas.openxmlformats.org/officeDocument/2006/relationships/hyperlink" Target="https://ccl.northwestern.edu/netlogo/docs/dictionar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l.northwestern.edu/netlogo/docs/programming.html" TargetMode="External"/><Relationship Id="rId5" Type="http://schemas.openxmlformats.org/officeDocument/2006/relationships/footnotes" Target="footnotes.xml"/><Relationship Id="rId15" Type="http://schemas.openxmlformats.org/officeDocument/2006/relationships/hyperlink" Target="mailto:bs13ce@leeds.ac.uk" TargetMode="External"/><Relationship Id="rId10" Type="http://schemas.openxmlformats.org/officeDocument/2006/relationships/hyperlink" Target="http://ccl.northwestern.edu/netlogo/6.0/docs/transition.html" TargetMode="External"/><Relationship Id="rId4" Type="http://schemas.openxmlformats.org/officeDocument/2006/relationships/webSettings" Target="webSettings.xml"/><Relationship Id="rId9" Type="http://schemas.openxmlformats.org/officeDocument/2006/relationships/hyperlink" Target="https://ccl.northwestern.edu/netlogo/download.shtml" TargetMode="External"/><Relationship Id="rId14" Type="http://schemas.openxmlformats.org/officeDocument/2006/relationships/hyperlink" Target="https://ccl.northwestern.edu/netlogo/docs/trans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3E11E85B.dotm</Template>
  <TotalTime>556</TotalTime>
  <Pages>6</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 Easter [bs13ce]</cp:lastModifiedBy>
  <cp:revision>17</cp:revision>
  <dcterms:created xsi:type="dcterms:W3CDTF">2018-04-09T12:15:00Z</dcterms:created>
  <dcterms:modified xsi:type="dcterms:W3CDTF">2018-04-17T11:16:00Z</dcterms:modified>
</cp:coreProperties>
</file>