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34BE" w:rsidP="000A34BE" w:rsidRDefault="000A34BE" w14:paraId="6DE86A9E" w14:textId="77777777">
      <w:r>
        <w:t>1. ABOUT THE DATASET</w:t>
      </w:r>
    </w:p>
    <w:p w:rsidR="000A34BE" w:rsidP="000A34BE" w:rsidRDefault="000A34BE" w14:paraId="084F165B" w14:textId="77777777">
      <w:r>
        <w:t>--------------------</w:t>
      </w:r>
    </w:p>
    <w:p w:rsidR="000A34BE" w:rsidP="000A34BE" w:rsidRDefault="000A34BE" w14:paraId="5D194459" w14:textId="77777777"/>
    <w:p w:rsidR="000A34BE" w:rsidP="000A34BE" w:rsidRDefault="000A34BE" w14:paraId="2D5FF961" w14:textId="55418B68">
      <w:r>
        <w:t>Title:</w:t>
      </w:r>
      <w:r>
        <w:t xml:space="preserve"> </w:t>
      </w:r>
      <w:r w:rsidRPr="000A34BE">
        <w:t>Barriers and drivers for circular economy and decarbonisation in building life cycle</w:t>
      </w:r>
      <w:r>
        <w:t>.</w:t>
      </w:r>
      <w:r>
        <w:tab/>
      </w:r>
    </w:p>
    <w:p w:rsidR="000A34BE" w:rsidP="000A34BE" w:rsidRDefault="000A34BE" w14:paraId="55EEB90E" w14:textId="77777777"/>
    <w:p w:rsidRPr="000A34BE" w:rsidR="000A34BE" w:rsidP="000A34BE" w:rsidRDefault="000A34BE" w14:paraId="34A3AB79" w14:textId="44F79A52">
      <w:pPr>
        <w:rPr>
          <w:lang w:val="it-IT"/>
        </w:rPr>
      </w:pPr>
      <w:r w:rsidRPr="000A34BE">
        <w:rPr>
          <w:lang w:val="it-IT"/>
        </w:rPr>
        <w:t xml:space="preserve">Creator(s): </w:t>
      </w:r>
      <w:r w:rsidRPr="00FC1233">
        <w:rPr>
          <w:sz w:val="20"/>
          <w:szCs w:val="20"/>
          <w:lang w:val="it-IT"/>
        </w:rPr>
        <w:t>Danelly Gutierrez Ramirez</w:t>
      </w:r>
      <w:r>
        <w:rPr>
          <w:sz w:val="20"/>
          <w:szCs w:val="20"/>
          <w:lang w:val="it-IT"/>
        </w:rPr>
        <w:t>[1]</w:t>
      </w:r>
      <w:r w:rsidRPr="00FC1233">
        <w:rPr>
          <w:sz w:val="20"/>
          <w:szCs w:val="20"/>
          <w:lang w:val="it-IT"/>
        </w:rPr>
        <w:t>, Luca Sabin</w:t>
      </w:r>
      <w:r>
        <w:rPr>
          <w:sz w:val="20"/>
          <w:szCs w:val="20"/>
          <w:lang w:val="it-IT"/>
        </w:rPr>
        <w:t>i[1]</w:t>
      </w:r>
      <w:r w:rsidRPr="00FC1233">
        <w:rPr>
          <w:sz w:val="20"/>
          <w:szCs w:val="20"/>
          <w:lang w:val="it-IT"/>
        </w:rPr>
        <w:t>, Ornella Iuorio</w:t>
      </w:r>
      <w:r>
        <w:rPr>
          <w:sz w:val="20"/>
          <w:szCs w:val="20"/>
          <w:lang w:val="it-IT"/>
        </w:rPr>
        <w:t>[2]</w:t>
      </w:r>
      <w:r w:rsidRPr="00FC1233">
        <w:rPr>
          <w:sz w:val="20"/>
          <w:szCs w:val="20"/>
          <w:lang w:val="it-IT"/>
        </w:rPr>
        <w:t>, Leon Blac</w:t>
      </w:r>
      <w:r>
        <w:rPr>
          <w:sz w:val="20"/>
          <w:szCs w:val="20"/>
          <w:lang w:val="it-IT"/>
        </w:rPr>
        <w:t>k[1]</w:t>
      </w:r>
    </w:p>
    <w:p w:rsidR="000A34BE" w:rsidP="000A34BE" w:rsidRDefault="000A34BE" w14:paraId="68EFB9D7" w14:textId="77777777"/>
    <w:p w:rsidRPr="00423AAB" w:rsidR="000A34BE" w:rsidP="000A34BE" w:rsidRDefault="000A34BE" w14:paraId="49E26572" w14:textId="38A46B31">
      <w:pPr>
        <w:spacing w:after="0"/>
        <w:rPr>
          <w:sz w:val="20"/>
          <w:szCs w:val="20"/>
        </w:rPr>
      </w:pPr>
      <w:r>
        <w:t xml:space="preserve">Organisation(s): </w:t>
      </w:r>
      <w:r>
        <w:t>[1]</w:t>
      </w:r>
      <w:r w:rsidRPr="00423AAB">
        <w:rPr>
          <w:sz w:val="20"/>
          <w:szCs w:val="20"/>
        </w:rPr>
        <w:t xml:space="preserve"> University of Leeds, Leeds, UK </w:t>
      </w:r>
    </w:p>
    <w:p w:rsidRPr="000A34BE" w:rsidR="000A34BE" w:rsidP="000A34BE" w:rsidRDefault="000A34BE" w14:paraId="0D5A9923" w14:textId="3D4C6B0B">
      <w:pPr>
        <w:ind w:left="1440"/>
        <w:rPr>
          <w:sz w:val="20"/>
          <w:szCs w:val="20"/>
          <w:lang w:val="it-IT"/>
        </w:rPr>
      </w:pPr>
      <w:r w:rsidRPr="000A34BE">
        <w:rPr>
          <w:sz w:val="20"/>
          <w:szCs w:val="20"/>
          <w:vertAlign w:val="superscript"/>
          <w:lang w:val="it-IT"/>
        </w:rPr>
        <w:t xml:space="preserve">    </w:t>
      </w:r>
      <w:r>
        <w:rPr>
          <w:sz w:val="20"/>
          <w:szCs w:val="20"/>
          <w:vertAlign w:val="superscript"/>
          <w:lang w:val="it-IT"/>
        </w:rPr>
        <w:t xml:space="preserve"> </w:t>
      </w:r>
      <w:r>
        <w:rPr>
          <w:sz w:val="20"/>
          <w:szCs w:val="20"/>
          <w:lang w:val="it-IT"/>
        </w:rPr>
        <w:t xml:space="preserve">[2] </w:t>
      </w:r>
      <w:r w:rsidRPr="000A34BE">
        <w:rPr>
          <w:sz w:val="20"/>
          <w:szCs w:val="20"/>
          <w:lang w:val="it-IT"/>
        </w:rPr>
        <w:t xml:space="preserve">Politecnico di Milano, Milan, IT </w:t>
      </w:r>
    </w:p>
    <w:p w:rsidRPr="000A34BE" w:rsidR="000A34BE" w:rsidP="000A34BE" w:rsidRDefault="000A34BE" w14:paraId="15A67844" w14:textId="77777777">
      <w:pPr>
        <w:rPr>
          <w:lang w:val="it-IT"/>
        </w:rPr>
      </w:pPr>
    </w:p>
    <w:p w:rsidR="000A34BE" w:rsidP="000A34BE" w:rsidRDefault="000A34BE" w14:paraId="2E607C41" w14:textId="1191EC55">
      <w:r>
        <w:t>Rights-holder(s):</w:t>
      </w:r>
      <w:r>
        <w:t xml:space="preserve"> </w:t>
      </w:r>
      <w:r>
        <w:t>Copyright 2023 University of Leeds</w:t>
      </w:r>
    </w:p>
    <w:p w:rsidR="000A34BE" w:rsidP="000A34BE" w:rsidRDefault="000A34BE" w14:paraId="468BA241" w14:textId="77777777"/>
    <w:p w:rsidR="000A34BE" w:rsidP="000A34BE" w:rsidRDefault="000A34BE" w14:paraId="75DC6CE1" w14:textId="7E69AEEC">
      <w:r>
        <w:t>Publication Year:</w:t>
      </w:r>
      <w:r>
        <w:t>2026</w:t>
      </w:r>
    </w:p>
    <w:p w:rsidR="000A34BE" w:rsidP="000A34BE" w:rsidRDefault="000A34BE" w14:paraId="2449E8B4" w14:textId="77777777"/>
    <w:p w:rsidRPr="000A34BE" w:rsidR="000A34BE" w:rsidP="00AD349C" w:rsidRDefault="000A34BE" w14:paraId="6C604D28" w14:textId="071ECC73">
      <w:pPr>
        <w:rPr>
          <w:rFonts w:ascii="Arial" w:hAnsi="Arial" w:eastAsia="Times New Roman" w:cs="Arial"/>
          <w:color w:val="000000"/>
          <w:kern w:val="0"/>
          <w:sz w:val="20"/>
          <w:szCs w:val="20"/>
          <w:lang w:eastAsia="en-GB"/>
          <w14:ligatures w14:val="none"/>
        </w:rPr>
      </w:pPr>
      <w:r>
        <w:t xml:space="preserve">Description: </w:t>
      </w:r>
      <w:r w:rsidRPr="000A34BE">
        <w:rPr>
          <w:rFonts w:ascii="Arial" w:hAnsi="Arial" w:eastAsia="Times New Roman" w:cs="Arial"/>
          <w:color w:val="000000"/>
          <w:kern w:val="0"/>
          <w:sz w:val="20"/>
          <w:szCs w:val="20"/>
          <w:lang w:eastAsia="en-GB"/>
          <w14:ligatures w14:val="none"/>
        </w:rPr>
        <w:t>This dataset was developed as part of a systematic literature review investigating the barriers and drivers affecting the integration of sustainability across the building life cycle. The review was conducted using academic databases, such as Scopus and Web of Science, and focused exclusively on peer-reviewed Q1 journal articles</w:t>
      </w:r>
      <w:r>
        <w:rPr>
          <w:rFonts w:ascii="Arial" w:hAnsi="Arial" w:eastAsia="Times New Roman" w:cs="Arial"/>
          <w:color w:val="000000"/>
          <w:kern w:val="0"/>
          <w:sz w:val="20"/>
          <w:szCs w:val="20"/>
          <w:lang w:eastAsia="en-GB"/>
          <w14:ligatures w14:val="none"/>
        </w:rPr>
        <w:t xml:space="preserve"> in the built environment and management</w:t>
      </w:r>
      <w:r w:rsidRPr="000A34BE">
        <w:rPr>
          <w:rFonts w:ascii="Arial" w:hAnsi="Arial" w:eastAsia="Times New Roman" w:cs="Arial"/>
          <w:color w:val="000000"/>
          <w:kern w:val="0"/>
          <w:sz w:val="20"/>
          <w:szCs w:val="20"/>
          <w:lang w:eastAsia="en-GB"/>
          <w14:ligatures w14:val="none"/>
        </w:rPr>
        <w:t xml:space="preserve">. Studies from </w:t>
      </w:r>
      <w:r>
        <w:rPr>
          <w:rFonts w:ascii="Arial" w:hAnsi="Arial" w:eastAsia="Times New Roman" w:cs="Arial"/>
          <w:color w:val="000000"/>
          <w:kern w:val="0"/>
          <w:sz w:val="20"/>
          <w:szCs w:val="20"/>
          <w:lang w:eastAsia="en-GB"/>
          <w14:ligatures w14:val="none"/>
        </w:rPr>
        <w:t>sectors other than the</w:t>
      </w:r>
      <w:r w:rsidRPr="000A34BE">
        <w:rPr>
          <w:rFonts w:ascii="Arial" w:hAnsi="Arial" w:eastAsia="Times New Roman" w:cs="Arial"/>
          <w:color w:val="000000"/>
          <w:kern w:val="0"/>
          <w:sz w:val="20"/>
          <w:szCs w:val="20"/>
          <w:lang w:eastAsia="en-GB"/>
          <w14:ligatures w14:val="none"/>
        </w:rPr>
        <w:t xml:space="preserve"> building and construction industry were excluded through a predefined screening and eligibility process. </w:t>
      </w:r>
      <w:r w:rsidRPr="000A34BE">
        <w:rPr>
          <w:rFonts w:ascii="Arial" w:hAnsi="Arial" w:eastAsia="Times New Roman" w:cs="Arial"/>
          <w:color w:val="000000"/>
          <w:kern w:val="0"/>
          <w:sz w:val="20"/>
          <w:szCs w:val="20"/>
          <w:lang w:eastAsia="en-GB"/>
          <w14:ligatures w14:val="none"/>
        </w:rPr>
        <w:br/>
      </w:r>
      <w:r w:rsidRPr="000A34BE">
        <w:rPr>
          <w:rFonts w:ascii="Arial" w:hAnsi="Arial" w:eastAsia="Times New Roman" w:cs="Arial"/>
          <w:color w:val="000000"/>
          <w:kern w:val="0"/>
          <w:sz w:val="20"/>
          <w:szCs w:val="20"/>
          <w:lang w:eastAsia="en-GB"/>
          <w14:ligatures w14:val="none"/>
        </w:rPr>
        <w:t>A total of 49 journal articles were selected for analysis based on established inclusion and exclusion criteria. Data extracted from the selected studies include publication information, research context, identified barriers, identified drivers,</w:t>
      </w:r>
      <w:r w:rsidR="006B4F61">
        <w:rPr>
          <w:rFonts w:ascii="Arial" w:hAnsi="Arial" w:eastAsia="Times New Roman" w:cs="Arial"/>
          <w:color w:val="000000"/>
          <w:kern w:val="0"/>
          <w:sz w:val="20"/>
          <w:szCs w:val="20"/>
          <w:lang w:eastAsia="en-GB"/>
          <w14:ligatures w14:val="none"/>
        </w:rPr>
        <w:t xml:space="preserve"> and organising them into social, technological, technical, environmental, and governmental. NVivo 15 software was used for the information coding.  </w:t>
      </w:r>
      <w:r w:rsidRPr="000A34BE">
        <w:rPr>
          <w:rFonts w:ascii="Arial" w:hAnsi="Arial" w:eastAsia="Times New Roman" w:cs="Arial"/>
          <w:color w:val="000000"/>
          <w:kern w:val="0"/>
          <w:sz w:val="20"/>
          <w:szCs w:val="20"/>
          <w:lang w:eastAsia="en-GB"/>
          <w14:ligatures w14:val="none"/>
        </w:rPr>
        <w:br/>
      </w:r>
      <w:r w:rsidRPr="000A34BE">
        <w:rPr>
          <w:rFonts w:ascii="Arial" w:hAnsi="Arial" w:eastAsia="Times New Roman" w:cs="Arial"/>
          <w:color w:val="000000"/>
          <w:kern w:val="0"/>
          <w:sz w:val="20"/>
          <w:szCs w:val="20"/>
          <w:lang w:eastAsia="en-GB"/>
          <w14:ligatures w14:val="none"/>
        </w:rPr>
        <w:t xml:space="preserve">The dataset provides a structured synthesis of the current body of knowledge and supports the identification and categorisation of factors that facilitate circularity and decarbonisation integration in </w:t>
      </w:r>
      <w:r w:rsidR="006B4F61">
        <w:rPr>
          <w:rFonts w:ascii="Arial" w:hAnsi="Arial" w:eastAsia="Times New Roman" w:cs="Arial"/>
          <w:color w:val="000000"/>
          <w:kern w:val="0"/>
          <w:sz w:val="20"/>
          <w:szCs w:val="20"/>
          <w:lang w:eastAsia="en-GB"/>
          <w14:ligatures w14:val="none"/>
        </w:rPr>
        <w:t xml:space="preserve">the </w:t>
      </w:r>
      <w:r w:rsidRPr="000A34BE">
        <w:rPr>
          <w:rFonts w:ascii="Arial" w:hAnsi="Arial" w:eastAsia="Times New Roman" w:cs="Arial"/>
          <w:color w:val="000000"/>
          <w:kern w:val="0"/>
          <w:sz w:val="20"/>
          <w:szCs w:val="20"/>
          <w:lang w:eastAsia="en-GB"/>
          <w14:ligatures w14:val="none"/>
        </w:rPr>
        <w:t>building</w:t>
      </w:r>
      <w:r w:rsidR="006B4F61">
        <w:rPr>
          <w:rFonts w:ascii="Arial" w:hAnsi="Arial" w:eastAsia="Times New Roman" w:cs="Arial"/>
          <w:color w:val="000000"/>
          <w:kern w:val="0"/>
          <w:sz w:val="20"/>
          <w:szCs w:val="20"/>
          <w:lang w:eastAsia="en-GB"/>
          <w14:ligatures w14:val="none"/>
        </w:rPr>
        <w:t xml:space="preserve"> life cycle</w:t>
      </w:r>
      <w:r w:rsidRPr="000A34BE">
        <w:rPr>
          <w:rFonts w:ascii="Arial" w:hAnsi="Arial" w:eastAsia="Times New Roman" w:cs="Arial"/>
          <w:color w:val="000000"/>
          <w:kern w:val="0"/>
          <w:sz w:val="20"/>
          <w:szCs w:val="20"/>
          <w:lang w:eastAsia="en-GB"/>
          <w14:ligatures w14:val="none"/>
        </w:rPr>
        <w:t>. It may be reused by researchers, practitioners, and policymakers interested in sustainable construction, life cycle management, and sustainability transitions within the built environment</w:t>
      </w:r>
    </w:p>
    <w:p w:rsidR="000A34BE" w:rsidP="000A34BE" w:rsidRDefault="000A34BE" w14:paraId="058DD65F" w14:textId="77777777"/>
    <w:p w:rsidRPr="006B4F61" w:rsidR="006B4F61" w:rsidP="000A34BE" w:rsidRDefault="000A34BE" w14:paraId="6EE9E665" w14:textId="7A7DFC06">
      <w:r w:rsidRPr="006B4F61">
        <w:t xml:space="preserve">Cite as: </w:t>
      </w:r>
      <w:r w:rsidRPr="006B4F61" w:rsidR="006B4F61">
        <w:t>Gutierrez Ramirez, Iuorio, Sabini, and Black (2026):</w:t>
      </w:r>
      <w:r w:rsidR="006B4F61">
        <w:t xml:space="preserve"> </w:t>
      </w:r>
      <w:r w:rsidRPr="006B4F61" w:rsidR="006B4F61">
        <w:t>Barriers and drivers for circular economy and decarbonisation in building life cycle</w:t>
      </w:r>
      <w:r w:rsidR="006B4F61">
        <w:t xml:space="preserve">. University of Leeds. </w:t>
      </w:r>
      <w:hyperlink w:history="1" r:id="rId5">
        <w:r w:rsidRPr="00450506" w:rsidR="006B4F61">
          <w:rPr>
            <w:rStyle w:val="Hyperlink"/>
          </w:rPr>
          <w:t>https://doi.org/10.5518/1936</w:t>
        </w:r>
      </w:hyperlink>
      <w:r w:rsidR="006B4F61">
        <w:t xml:space="preserve">. </w:t>
      </w:r>
    </w:p>
    <w:p w:rsidR="000A34BE" w:rsidP="000A34BE" w:rsidRDefault="000A34BE" w14:paraId="31888C4E" w14:textId="77777777"/>
    <w:p w:rsidR="000A34BE" w:rsidP="000A34BE" w:rsidRDefault="000A34BE" w14:paraId="5E7B6A85" w14:textId="58049611">
      <w:r>
        <w:t xml:space="preserve">Related publication: </w:t>
      </w:r>
      <w:r w:rsidR="00FE523D">
        <w:t xml:space="preserve">none. </w:t>
      </w:r>
    </w:p>
    <w:p w:rsidR="000A34BE" w:rsidP="000A34BE" w:rsidRDefault="000A34BE" w14:paraId="3FB25685" w14:textId="77777777"/>
    <w:p w:rsidR="000A34BE" w:rsidP="000A34BE" w:rsidRDefault="000A34BE" w14:paraId="37ADFCDD" w14:textId="094B1F0E">
      <w:r>
        <w:t xml:space="preserve">Contact: </w:t>
      </w:r>
      <w:r w:rsidR="00FE523D">
        <w:t>Danelly Gutierrez Ramirez, cnadgr@leeds.ac.uk</w:t>
      </w:r>
    </w:p>
    <w:p w:rsidR="000A34BE" w:rsidP="000A34BE" w:rsidRDefault="000A34BE" w14:paraId="28CA8E3E" w14:textId="77777777"/>
    <w:p w:rsidR="000A34BE" w:rsidP="000A34BE" w:rsidRDefault="000A34BE" w14:paraId="7DBF9FD6" w14:textId="77777777"/>
    <w:p w:rsidR="000A34BE" w:rsidP="000A34BE" w:rsidRDefault="000A34BE" w14:paraId="3B63C13D" w14:textId="77777777">
      <w:r>
        <w:t>2. TERMS OF USE</w:t>
      </w:r>
    </w:p>
    <w:p w:rsidR="000A34BE" w:rsidP="000A34BE" w:rsidRDefault="000A34BE" w14:paraId="7CF91B98" w14:textId="77777777">
      <w:r>
        <w:t>---------------</w:t>
      </w:r>
    </w:p>
    <w:p w:rsidR="000A34BE" w:rsidP="000A34BE" w:rsidRDefault="00FE523D" w14:paraId="758D0F25" w14:textId="62B662FE">
      <w:r>
        <w:t>T</w:t>
      </w:r>
      <w:r w:rsidR="000A34BE">
        <w:t>his dataset is licensed under a Creative Commons Attribution 4.0 International Licence: https://creativecommons.org/licenses/by/4.0/.</w:t>
      </w:r>
    </w:p>
    <w:p w:rsidR="000A34BE" w:rsidP="000A34BE" w:rsidRDefault="000A34BE" w14:paraId="3F8B040A" w14:textId="77777777"/>
    <w:p w:rsidR="000A34BE" w:rsidP="000A34BE" w:rsidRDefault="000A34BE" w14:paraId="5326C860" w14:textId="77777777"/>
    <w:p w:rsidR="000A34BE" w:rsidP="000A34BE" w:rsidRDefault="000A34BE" w14:paraId="11E1F56D" w14:textId="77777777">
      <w:r>
        <w:t>3. PROJECT AND FUNDING INFORMATION</w:t>
      </w:r>
    </w:p>
    <w:p w:rsidR="000A34BE" w:rsidP="000A34BE" w:rsidRDefault="000A34BE" w14:paraId="24911551" w14:textId="77777777">
      <w:r>
        <w:t>----------------------------------</w:t>
      </w:r>
    </w:p>
    <w:p w:rsidR="000A34BE" w:rsidP="000A34BE" w:rsidRDefault="000A34BE" w14:paraId="6A1CC628" w14:textId="77777777"/>
    <w:p w:rsidR="000A34BE" w:rsidP="000A34BE" w:rsidRDefault="000A34BE" w14:paraId="6CEACF49" w14:textId="3EFF989C">
      <w:r>
        <w:t xml:space="preserve">This dataset was not created </w:t>
      </w:r>
      <w:proofErr w:type="gramStart"/>
      <w:r>
        <w:t>in the course of</w:t>
      </w:r>
      <w:proofErr w:type="gramEnd"/>
      <w:r>
        <w:t xml:space="preserve"> a funded project.</w:t>
      </w:r>
    </w:p>
    <w:p w:rsidR="000A34BE" w:rsidP="000A34BE" w:rsidRDefault="000A34BE" w14:paraId="071F0CCC" w14:textId="77777777"/>
    <w:p w:rsidR="000A34BE" w:rsidP="000A34BE" w:rsidRDefault="000A34BE" w14:paraId="4D3AA987" w14:textId="77777777"/>
    <w:p w:rsidR="000A34BE" w:rsidP="000A34BE" w:rsidRDefault="000A34BE" w14:paraId="5E867B74" w14:textId="77777777">
      <w:r>
        <w:t>4. CONTENTS</w:t>
      </w:r>
    </w:p>
    <w:p w:rsidR="000A34BE" w:rsidP="000A34BE" w:rsidRDefault="000A34BE" w14:paraId="683B020E" w14:textId="77777777">
      <w:r>
        <w:t>-----------</w:t>
      </w:r>
    </w:p>
    <w:p w:rsidR="000A34BE" w:rsidP="000A34BE" w:rsidRDefault="000A34BE" w14:paraId="3ACAC906" w14:textId="77777777">
      <w:r>
        <w:t>File listing</w:t>
      </w:r>
    </w:p>
    <w:p w:rsidR="002D5259" w:rsidP="00AD349C" w:rsidRDefault="000F1582" w14:paraId="72C70BFD" w14:textId="29096DD5">
      <w:pPr>
        <w:pStyle w:val="ListParagraph"/>
        <w:numPr>
          <w:ilvl w:val="0"/>
          <w:numId w:val="1"/>
        </w:numPr>
      </w:pPr>
      <w:r>
        <w:t>Data Analysis.xls: This Excel file</w:t>
      </w:r>
      <w:r w:rsidR="002D5259">
        <w:t xml:space="preserve"> contains the dataset developed for a </w:t>
      </w:r>
      <w:r w:rsidR="002D5259">
        <w:t>systematic literature review</w:t>
      </w:r>
      <w:r w:rsidR="002D5259">
        <w:t xml:space="preserve"> examining the barriers and drivers influencing sustainability integration across the building life cycle. The dataset includes the literature search summary, study selection process, and the inclusion and exclusion criteria applied during the review. The review focused exclusively on peer-reviewed Q1 journals identified through academic databases. Studies from sectors other than the building and construction industry were excluded. A total of 49 articles were selected for full-text analysis. </w:t>
      </w:r>
    </w:p>
    <w:p w:rsidR="002D5259" w:rsidP="00AD349C" w:rsidRDefault="002D5259" w14:paraId="68FECEA9" w14:textId="4004614B">
      <w:pPr>
        <w:pStyle w:val="ListParagraph"/>
      </w:pPr>
      <w:r w:rsidR="01CEE370">
        <w:rPr/>
        <w:t xml:space="preserve">For each included study, the dataset provides bibliographic information, including article title, authors, publication year, journal source, and abstract. The qualitative analysis was conducted using NVivo 15. Relevant text from the selected articles was coded to identify the barriers and drivers associated with sustainability integration throughout the building life cycle. The dataset records the coding results, including the number of reference codes for each article, the associated codes, and their categorisation into higher-level thematic groups.  </w:t>
      </w:r>
    </w:p>
    <w:p w:rsidR="000A34BE" w:rsidP="3B22C3C7" w:rsidRDefault="000A34BE" w14:paraId="59CCD9E0" w14:textId="29174638">
      <w:pPr>
        <w:pStyle w:val="Normal"/>
      </w:pPr>
    </w:p>
    <w:p w:rsidR="000A34BE" w:rsidP="000A34BE" w:rsidRDefault="000A34BE" w14:paraId="22CF3A4C" w14:textId="77777777">
      <w:r>
        <w:t>5. METHODS</w:t>
      </w:r>
    </w:p>
    <w:p w:rsidR="000A34BE" w:rsidP="000A34BE" w:rsidRDefault="000A34BE" w14:paraId="02FC39E0" w14:textId="77777777">
      <w:r>
        <w:t>----------</w:t>
      </w:r>
    </w:p>
    <w:p w:rsidR="000A34BE" w:rsidP="000A34BE" w:rsidRDefault="00AD349C" w14:paraId="2144E5B2" w14:textId="16ACEB14">
      <w:r>
        <w:t xml:space="preserve">This dataset was generated through a systematic literature review investigating barriers and drivers influencing the integration of sustainability across the building life cycle. Relevant studies were identified through structured searches of academic databases, such as Scopus and Web of Science. The review was limited to peer-reviewed Q1journal articles, and predefined inclusion and exclusion criteria were applied to ensure relevance to the building and construction sector. Studies on other industries, conference paper, book chapters, and non-peer-reviewed publications were excluded. </w:t>
      </w:r>
    </w:p>
    <w:p w:rsidR="0044067D" w:rsidP="000A34BE" w:rsidRDefault="00AD349C" w14:paraId="215A4013" w14:textId="2E27FF2F">
      <w:r>
        <w:t xml:space="preserve">The screening process ended up with 49 papers for full-text review. Bibliographic information such as article title, authors, publication year, journal source, and abstract is recorded in the dataset. The qualitative analysis was conducted using NVivo 15. Relevant </w:t>
      </w:r>
      <w:r w:rsidR="0044067D">
        <w:t>texts</w:t>
      </w:r>
      <w:r>
        <w:t xml:space="preserve"> were systematically coded to identify barriers and drivers affecting sustainability integration throughout the building life cycle. The resulting codes were grouped into higher-level thematic categories (governmental, social, economic, environmental, technological, and technical)</w:t>
      </w:r>
      <w:r w:rsidR="0044067D">
        <w:t>. The dataset includes the coding outcomes, the number of coded references identified within each article, and the thematic categories assigned during the analysis. The dataset represents secondary research data derived from published academic literature.</w:t>
      </w:r>
    </w:p>
    <w:p w:rsidR="002D5259" w:rsidP="000A34BE" w:rsidRDefault="002D5259" w14:paraId="6AC83A9A" w14:textId="77777777"/>
    <w:sectPr w:rsidR="002D525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46D50"/>
    <w:multiLevelType w:val="hybridMultilevel"/>
    <w:tmpl w:val="4FA03BAA"/>
    <w:lvl w:ilvl="0" w:tplc="ED603D48">
      <w:start w:val="2"/>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4387893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BE"/>
    <w:rsid w:val="000236C9"/>
    <w:rsid w:val="000413A1"/>
    <w:rsid w:val="000A34BE"/>
    <w:rsid w:val="000F1582"/>
    <w:rsid w:val="00112A2E"/>
    <w:rsid w:val="002237A7"/>
    <w:rsid w:val="0023784F"/>
    <w:rsid w:val="002A7FB1"/>
    <w:rsid w:val="002D5259"/>
    <w:rsid w:val="00322D2E"/>
    <w:rsid w:val="0044067D"/>
    <w:rsid w:val="00607CD1"/>
    <w:rsid w:val="006B4F61"/>
    <w:rsid w:val="008060F0"/>
    <w:rsid w:val="0086356D"/>
    <w:rsid w:val="00A636BA"/>
    <w:rsid w:val="00AB3A08"/>
    <w:rsid w:val="00AD349C"/>
    <w:rsid w:val="00BA5062"/>
    <w:rsid w:val="00C04E82"/>
    <w:rsid w:val="00C73C3D"/>
    <w:rsid w:val="00EB0A51"/>
    <w:rsid w:val="00F73212"/>
    <w:rsid w:val="00FE523D"/>
    <w:rsid w:val="01CEE370"/>
    <w:rsid w:val="3B22C3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AC365"/>
  <w15:chartTrackingRefBased/>
  <w15:docId w15:val="{6F7B3834-A65D-4040-824B-6AAD7D1116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A34B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4B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B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A34B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A34B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A34B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A34B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A34B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A34B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A34B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A34B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A34BE"/>
    <w:rPr>
      <w:rFonts w:eastAsiaTheme="majorEastAsia" w:cstheme="majorBidi"/>
      <w:color w:val="272727" w:themeColor="text1" w:themeTint="D8"/>
    </w:rPr>
  </w:style>
  <w:style w:type="paragraph" w:styleId="Title">
    <w:name w:val="Title"/>
    <w:basedOn w:val="Normal"/>
    <w:next w:val="Normal"/>
    <w:link w:val="TitleChar"/>
    <w:uiPriority w:val="10"/>
    <w:qFormat/>
    <w:rsid w:val="000A34B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A34B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A34B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A34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BE"/>
    <w:pPr>
      <w:spacing w:before="160"/>
      <w:jc w:val="center"/>
    </w:pPr>
    <w:rPr>
      <w:i/>
      <w:iCs/>
      <w:color w:val="404040" w:themeColor="text1" w:themeTint="BF"/>
    </w:rPr>
  </w:style>
  <w:style w:type="character" w:styleId="QuoteChar" w:customStyle="1">
    <w:name w:val="Quote Char"/>
    <w:basedOn w:val="DefaultParagraphFont"/>
    <w:link w:val="Quote"/>
    <w:uiPriority w:val="29"/>
    <w:rsid w:val="000A34BE"/>
    <w:rPr>
      <w:i/>
      <w:iCs/>
      <w:color w:val="404040" w:themeColor="text1" w:themeTint="BF"/>
    </w:rPr>
  </w:style>
  <w:style w:type="paragraph" w:styleId="ListParagraph">
    <w:name w:val="List Paragraph"/>
    <w:basedOn w:val="Normal"/>
    <w:uiPriority w:val="34"/>
    <w:qFormat/>
    <w:rsid w:val="000A34BE"/>
    <w:pPr>
      <w:ind w:left="720"/>
      <w:contextualSpacing/>
    </w:pPr>
  </w:style>
  <w:style w:type="character" w:styleId="IntenseEmphasis">
    <w:name w:val="Intense Emphasis"/>
    <w:basedOn w:val="DefaultParagraphFont"/>
    <w:uiPriority w:val="21"/>
    <w:qFormat/>
    <w:rsid w:val="000A34BE"/>
    <w:rPr>
      <w:i/>
      <w:iCs/>
      <w:color w:val="0F4761" w:themeColor="accent1" w:themeShade="BF"/>
    </w:rPr>
  </w:style>
  <w:style w:type="paragraph" w:styleId="IntenseQuote">
    <w:name w:val="Intense Quote"/>
    <w:basedOn w:val="Normal"/>
    <w:next w:val="Normal"/>
    <w:link w:val="IntenseQuoteChar"/>
    <w:uiPriority w:val="30"/>
    <w:qFormat/>
    <w:rsid w:val="000A34B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A34BE"/>
    <w:rPr>
      <w:i/>
      <w:iCs/>
      <w:color w:val="0F4761" w:themeColor="accent1" w:themeShade="BF"/>
    </w:rPr>
  </w:style>
  <w:style w:type="character" w:styleId="IntenseReference">
    <w:name w:val="Intense Reference"/>
    <w:basedOn w:val="DefaultParagraphFont"/>
    <w:uiPriority w:val="32"/>
    <w:qFormat/>
    <w:rsid w:val="000A34BE"/>
    <w:rPr>
      <w:b/>
      <w:bCs/>
      <w:smallCaps/>
      <w:color w:val="0F4761" w:themeColor="accent1" w:themeShade="BF"/>
      <w:spacing w:val="5"/>
    </w:rPr>
  </w:style>
  <w:style w:type="character" w:styleId="Hyperlink">
    <w:name w:val="Hyperlink"/>
    <w:basedOn w:val="DefaultParagraphFont"/>
    <w:uiPriority w:val="99"/>
    <w:unhideWhenUsed/>
    <w:rsid w:val="006B4F61"/>
    <w:rPr>
      <w:color w:val="467886" w:themeColor="hyperlink"/>
      <w:u w:val="single"/>
    </w:rPr>
  </w:style>
  <w:style w:type="character" w:styleId="UnresolvedMention">
    <w:name w:val="Unresolved Mention"/>
    <w:basedOn w:val="DefaultParagraphFont"/>
    <w:uiPriority w:val="99"/>
    <w:semiHidden/>
    <w:unhideWhenUsed/>
    <w:rsid w:val="006B4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210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s://doi.org/10.5518/1936" TargetMode="Externa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EB3905992E54BBAD901A47ED1CA8C" ma:contentTypeVersion="18" ma:contentTypeDescription="Create a new document." ma:contentTypeScope="" ma:versionID="03bc7ff3d261b9269115ab92327f9b33">
  <xsd:schema xmlns:xsd="http://www.w3.org/2001/XMLSchema" xmlns:xs="http://www.w3.org/2001/XMLSchema" xmlns:p="http://schemas.microsoft.com/office/2006/metadata/properties" xmlns:ns2="1c66cb88-db77-4d42-9dc4-fb37066edc24" xmlns:ns3="7cf861dc-a431-4ef3-8baf-d03d54e74a07" targetNamespace="http://schemas.microsoft.com/office/2006/metadata/properties" ma:root="true" ma:fieldsID="283654d55d0e069f80b78e85b3a5a478" ns2:_="" ns3:_="">
    <xsd:import namespace="1c66cb88-db77-4d42-9dc4-fb37066edc24"/>
    <xsd:import namespace="7cf861dc-a431-4ef3-8baf-d03d54e74a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6cb88-db77-4d42-9dc4-fb37066ed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f861dc-a431-4ef3-8baf-d03d54e74a0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1ac723-6a7a-431d-b784-496353a11c74}" ma:internalName="TaxCatchAll" ma:showField="CatchAllData" ma:web="7cf861dc-a431-4ef3-8baf-d03d54e74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66cb88-db77-4d42-9dc4-fb37066edc24">
      <Terms xmlns="http://schemas.microsoft.com/office/infopath/2007/PartnerControls"/>
    </lcf76f155ced4ddcb4097134ff3c332f>
    <TaxCatchAll xmlns="7cf861dc-a431-4ef3-8baf-d03d54e74a07" xsi:nil="true"/>
  </documentManagement>
</p:properties>
</file>

<file path=customXml/itemProps1.xml><?xml version="1.0" encoding="utf-8"?>
<ds:datastoreItem xmlns:ds="http://schemas.openxmlformats.org/officeDocument/2006/customXml" ds:itemID="{FC34DAE3-E2A3-48BB-806C-1EFBEBAE0A87}"/>
</file>

<file path=customXml/itemProps2.xml><?xml version="1.0" encoding="utf-8"?>
<ds:datastoreItem xmlns:ds="http://schemas.openxmlformats.org/officeDocument/2006/customXml" ds:itemID="{F15B6BAA-622F-4411-A59D-A7EEB588AAE2}"/>
</file>

<file path=customXml/itemProps3.xml><?xml version="1.0" encoding="utf-8"?>
<ds:datastoreItem xmlns:ds="http://schemas.openxmlformats.org/officeDocument/2006/customXml" ds:itemID="{A5D1125C-BEF5-4E3A-A427-F2DC7BE6AD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Leeds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Danelly Gutierrez Ramirez</dc:creator>
  <cp:keywords/>
  <dc:description/>
  <cp:lastModifiedBy>Danelly Gutierrez Ramirez</cp:lastModifiedBy>
  <cp:revision>2</cp:revision>
  <dcterms:created xsi:type="dcterms:W3CDTF">2026-10-01T11:04:00Z</dcterms:created>
  <dcterms:modified xsi:type="dcterms:W3CDTF">2026-10-01T12:23:07Z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4dde31f7-3dd7-42ab-a062-7286ee401af2</vt:lpwstr>
  </property>
  <property fmtid="{D5CDD505-2E9C-101B-9397-08002B2CF9AE}" pid="3" name="ContentTypeId">
    <vt:lpwstr>0x01010068AEB3905992E54BBAD901A47ED1CA8C</vt:lpwstr>
  </property>
  <property fmtid="{D5CDD505-2E9C-101B-9397-08002B2CF9AE}" pid="4" name="MediaServiceImageTags">
    <vt:lpwstr/>
  </property>
</Properties>
</file>