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99E1E" w14:textId="77777777" w:rsidR="00022303" w:rsidRDefault="00022303" w:rsidP="00022303">
      <w:r>
        <w:t>1. ABOUT THE DATASET</w:t>
      </w:r>
    </w:p>
    <w:p w14:paraId="4CA3CD0C" w14:textId="77777777" w:rsidR="00022303" w:rsidRDefault="00022303" w:rsidP="00022303">
      <w:r>
        <w:t>--------------------</w:t>
      </w:r>
    </w:p>
    <w:p w14:paraId="42FE31C8" w14:textId="77777777" w:rsidR="00022303" w:rsidRDefault="00022303" w:rsidP="00022303">
      <w:pPr>
        <w:spacing w:after="0"/>
      </w:pPr>
    </w:p>
    <w:p w14:paraId="2CC89921" w14:textId="77777777" w:rsidR="00022303" w:rsidRDefault="00022303" w:rsidP="00022303">
      <w:pPr>
        <w:spacing w:after="0"/>
      </w:pPr>
      <w:r>
        <w:t xml:space="preserve">Title: Inclusive Public Space Project: Legal Report Dataset (IPS Dataset 3) </w:t>
      </w:r>
    </w:p>
    <w:p w14:paraId="26A747CE" w14:textId="77777777" w:rsidR="00022303" w:rsidRDefault="00022303" w:rsidP="00022303">
      <w:pPr>
        <w:spacing w:after="0"/>
      </w:pPr>
    </w:p>
    <w:p w14:paraId="7A7A61E1" w14:textId="76CF6511" w:rsidR="00022303" w:rsidRDefault="00022303" w:rsidP="00022303">
      <w:pPr>
        <w:spacing w:after="0"/>
      </w:pPr>
      <w:r>
        <w:t xml:space="preserve">Creator(s): Orchard, Maria [1], </w:t>
      </w:r>
      <w:r w:rsidR="00E13A5B">
        <w:t xml:space="preserve">Lawson, Anna [1], </w:t>
      </w:r>
      <w:r w:rsidR="009220A1">
        <w:t xml:space="preserve">Eskyte, Ieva [1], Andrews, Elizabeth [1], </w:t>
      </w:r>
      <w:r>
        <w:t xml:space="preserve">Jain, Sanjay [2 and 6], </w:t>
      </w:r>
      <w:r w:rsidRPr="00D63CD5">
        <w:t>Joshi</w:t>
      </w:r>
      <w:r>
        <w:t xml:space="preserve">, </w:t>
      </w:r>
      <w:r w:rsidRPr="00D63CD5">
        <w:t xml:space="preserve">Rajalaxmi </w:t>
      </w:r>
      <w:r>
        <w:t xml:space="preserve">[2], Houtzager, Dick [3], Mute, Lawrence [5], Meroka-Mutua, Agnes [5], Whaley, Barry [4], Blanck, Peter [4], </w:t>
      </w:r>
      <w:r w:rsidRPr="00D63CD5">
        <w:t>Baker, Angel</w:t>
      </w:r>
      <w:r>
        <w:t xml:space="preserve"> [4],</w:t>
      </w:r>
      <w:r w:rsidRPr="00D63CD5">
        <w:t xml:space="preserve"> Barrett,</w:t>
      </w:r>
      <w:r>
        <w:t xml:space="preserve"> </w:t>
      </w:r>
      <w:r w:rsidRPr="00D63CD5">
        <w:t>Cory</w:t>
      </w:r>
      <w:r>
        <w:t xml:space="preserve"> [4],</w:t>
      </w:r>
      <w:r w:rsidRPr="00D63CD5">
        <w:t xml:space="preserve"> Battisto</w:t>
      </w:r>
      <w:r>
        <w:t>,</w:t>
      </w:r>
      <w:r w:rsidRPr="00D63CD5">
        <w:t xml:space="preserve"> Joseph</w:t>
      </w:r>
      <w:r>
        <w:t xml:space="preserve"> [4]</w:t>
      </w:r>
      <w:r w:rsidRPr="00D63CD5">
        <w:t>, Gellerstein</w:t>
      </w:r>
      <w:r>
        <w:t>,</w:t>
      </w:r>
      <w:r w:rsidRPr="00D63CD5">
        <w:t xml:space="preserve"> Jake</w:t>
      </w:r>
      <w:r>
        <w:t xml:space="preserve"> [4]</w:t>
      </w:r>
      <w:r w:rsidRPr="00D63CD5">
        <w:t>, Irogue</w:t>
      </w:r>
      <w:r>
        <w:t>,</w:t>
      </w:r>
      <w:r w:rsidRPr="00D63CD5">
        <w:t xml:space="preserve"> Eromwon</w:t>
      </w:r>
      <w:r>
        <w:t xml:space="preserve"> [4]</w:t>
      </w:r>
      <w:r w:rsidRPr="00D63CD5">
        <w:t>, Martinis</w:t>
      </w:r>
      <w:r>
        <w:t>,</w:t>
      </w:r>
      <w:r w:rsidRPr="00D63CD5">
        <w:t xml:space="preserve"> Jonathan</w:t>
      </w:r>
      <w:r>
        <w:t xml:space="preserve"> [4]</w:t>
      </w:r>
      <w:r w:rsidRPr="00D63CD5">
        <w:t>, Nanni</w:t>
      </w:r>
      <w:r>
        <w:t>,</w:t>
      </w:r>
      <w:r w:rsidRPr="00D63CD5">
        <w:t xml:space="preserve"> Anthony</w:t>
      </w:r>
      <w:r>
        <w:t xml:space="preserve"> [4]</w:t>
      </w:r>
      <w:r w:rsidRPr="00D63CD5">
        <w:t>, Rees</w:t>
      </w:r>
      <w:r>
        <w:t>,</w:t>
      </w:r>
      <w:r w:rsidRPr="00D63CD5">
        <w:t xml:space="preserve"> Mercedees</w:t>
      </w:r>
      <w:r>
        <w:t xml:space="preserve"> [4]</w:t>
      </w:r>
      <w:r w:rsidRPr="00D63CD5">
        <w:t>, Torres</w:t>
      </w:r>
      <w:r>
        <w:t>,</w:t>
      </w:r>
      <w:r w:rsidRPr="00D63CD5">
        <w:t xml:space="preserve"> Crystal</w:t>
      </w:r>
      <w:r>
        <w:t xml:space="preserve"> [4]</w:t>
      </w:r>
      <w:r w:rsidRPr="00D63CD5">
        <w:t>, Williamson</w:t>
      </w:r>
      <w:r>
        <w:t>,</w:t>
      </w:r>
      <w:r w:rsidRPr="00D63CD5">
        <w:t xml:space="preserve"> Pamela</w:t>
      </w:r>
      <w:r>
        <w:t xml:space="preserve"> [4]</w:t>
      </w:r>
      <w:r w:rsidRPr="00D63CD5">
        <w:t>, Felakos</w:t>
      </w:r>
      <w:r w:rsidR="004F750D">
        <w:t>,</w:t>
      </w:r>
      <w:r>
        <w:t xml:space="preserve"> </w:t>
      </w:r>
      <w:r w:rsidRPr="00D63CD5">
        <w:t>James</w:t>
      </w:r>
      <w:r>
        <w:t xml:space="preserve"> [4].</w:t>
      </w:r>
    </w:p>
    <w:p w14:paraId="4409EFD8" w14:textId="77777777" w:rsidR="00022303" w:rsidRDefault="00022303" w:rsidP="00022303">
      <w:pPr>
        <w:spacing w:after="0"/>
      </w:pPr>
    </w:p>
    <w:p w14:paraId="4C431C17" w14:textId="77777777" w:rsidR="00022303" w:rsidRPr="00D63CD5" w:rsidRDefault="00022303" w:rsidP="00022303">
      <w:pPr>
        <w:spacing w:after="0"/>
      </w:pPr>
      <w:r>
        <w:t>O</w:t>
      </w:r>
      <w:r w:rsidRPr="00D63CD5">
        <w:t>rganisation(s):  </w:t>
      </w:r>
    </w:p>
    <w:p w14:paraId="45998A67" w14:textId="77777777" w:rsidR="00022303" w:rsidRPr="00D63CD5" w:rsidRDefault="00022303" w:rsidP="00022303">
      <w:pPr>
        <w:numPr>
          <w:ilvl w:val="0"/>
          <w:numId w:val="2"/>
        </w:numPr>
        <w:spacing w:after="0" w:line="278" w:lineRule="auto"/>
      </w:pPr>
      <w:r w:rsidRPr="00D63CD5">
        <w:t>University of Leeds </w:t>
      </w:r>
    </w:p>
    <w:p w14:paraId="2E5F6869" w14:textId="77777777" w:rsidR="00022303" w:rsidRPr="00D63CD5" w:rsidRDefault="00022303" w:rsidP="00022303">
      <w:pPr>
        <w:numPr>
          <w:ilvl w:val="0"/>
          <w:numId w:val="3"/>
        </w:numPr>
        <w:spacing w:after="0" w:line="278" w:lineRule="auto"/>
      </w:pPr>
      <w:r w:rsidRPr="00D63CD5">
        <w:t>Indian Law Society’s Law College, Pune </w:t>
      </w:r>
    </w:p>
    <w:p w14:paraId="1D355991" w14:textId="77777777" w:rsidR="00022303" w:rsidRPr="00D63CD5" w:rsidRDefault="00022303" w:rsidP="00022303">
      <w:pPr>
        <w:numPr>
          <w:ilvl w:val="0"/>
          <w:numId w:val="4"/>
        </w:numPr>
        <w:spacing w:after="0" w:line="278" w:lineRule="auto"/>
      </w:pPr>
      <w:r w:rsidRPr="00D63CD5">
        <w:t>Disability Studies in Nederland </w:t>
      </w:r>
    </w:p>
    <w:p w14:paraId="22B9C5DA" w14:textId="77777777" w:rsidR="00022303" w:rsidRPr="00D63CD5" w:rsidRDefault="00022303" w:rsidP="00022303">
      <w:pPr>
        <w:numPr>
          <w:ilvl w:val="0"/>
          <w:numId w:val="5"/>
        </w:numPr>
        <w:spacing w:after="0" w:line="278" w:lineRule="auto"/>
      </w:pPr>
      <w:r>
        <w:t xml:space="preserve">Burton Blatt Institute at </w:t>
      </w:r>
      <w:r w:rsidRPr="00D63CD5">
        <w:t>Syracuse University </w:t>
      </w:r>
    </w:p>
    <w:p w14:paraId="4BE7FC2F" w14:textId="77777777" w:rsidR="00022303" w:rsidRPr="00D63CD5" w:rsidRDefault="00022303" w:rsidP="00022303">
      <w:pPr>
        <w:pStyle w:val="ListParagraph"/>
        <w:numPr>
          <w:ilvl w:val="0"/>
          <w:numId w:val="6"/>
        </w:numPr>
        <w:spacing w:after="0" w:line="278" w:lineRule="auto"/>
      </w:pPr>
      <w:r w:rsidRPr="00D63CD5">
        <w:t>University of Nairobi  </w:t>
      </w:r>
    </w:p>
    <w:p w14:paraId="1DC27590" w14:textId="77777777" w:rsidR="00022303" w:rsidRPr="00D63CD5" w:rsidRDefault="00022303" w:rsidP="00022303">
      <w:pPr>
        <w:numPr>
          <w:ilvl w:val="0"/>
          <w:numId w:val="6"/>
        </w:numPr>
        <w:spacing w:after="0" w:line="278" w:lineRule="auto"/>
      </w:pPr>
      <w:r w:rsidRPr="00D63CD5">
        <w:t>National Law School of India University, Bengaluru </w:t>
      </w:r>
    </w:p>
    <w:p w14:paraId="4824CAA9" w14:textId="77777777" w:rsidR="00022303" w:rsidRDefault="00022303" w:rsidP="00022303">
      <w:pPr>
        <w:spacing w:after="0"/>
      </w:pPr>
    </w:p>
    <w:p w14:paraId="467F9BD2" w14:textId="77777777" w:rsidR="00022303" w:rsidRPr="00D63CD5" w:rsidRDefault="00022303" w:rsidP="00022303">
      <w:pPr>
        <w:spacing w:after="0"/>
      </w:pPr>
      <w:r w:rsidRPr="00D63CD5">
        <w:t>Rights-holder(s): Unless otherwise stated, Copyright 2025 University of Leeds </w:t>
      </w:r>
    </w:p>
    <w:p w14:paraId="2889ACBE" w14:textId="77777777" w:rsidR="00022303" w:rsidRPr="00D63CD5" w:rsidRDefault="00022303" w:rsidP="00022303">
      <w:pPr>
        <w:spacing w:after="0"/>
      </w:pPr>
      <w:r w:rsidRPr="00D63CD5">
        <w:t> </w:t>
      </w:r>
    </w:p>
    <w:p w14:paraId="44B4CC9D" w14:textId="77777777" w:rsidR="00022303" w:rsidRPr="00D63CD5" w:rsidRDefault="00022303" w:rsidP="00022303">
      <w:pPr>
        <w:spacing w:after="0"/>
      </w:pPr>
      <w:r w:rsidRPr="00D63CD5">
        <w:t>Publication Year: 2025 </w:t>
      </w:r>
    </w:p>
    <w:p w14:paraId="671A89D6" w14:textId="77777777" w:rsidR="00022303" w:rsidRDefault="00022303" w:rsidP="00022303"/>
    <w:p w14:paraId="5733DD20" w14:textId="44438E52" w:rsidR="00B25B51" w:rsidRDefault="00022303" w:rsidP="00022303">
      <w:r w:rsidRPr="00D07C08">
        <w:t xml:space="preserve">This is the </w:t>
      </w:r>
      <w:r>
        <w:t>third</w:t>
      </w:r>
      <w:r w:rsidRPr="00D07C08">
        <w:t xml:space="preserve"> of the datasets collected as part of a research project called Inclusive Public Space: Law, Universality and Difference in the Accessibility of Streets (Inclusive Public Space or IPS project)</w:t>
      </w:r>
      <w:r w:rsidR="00B25B51">
        <w:t xml:space="preserve"> –</w:t>
      </w:r>
      <w:r w:rsidR="009B3C1A">
        <w:t xml:space="preserve"> </w:t>
      </w:r>
      <w:hyperlink r:id="rId9" w:history="1">
        <w:r w:rsidR="009B3C1A" w:rsidRPr="00C80F57">
          <w:rPr>
            <w:rStyle w:val="Hyperlink"/>
          </w:rPr>
          <w:t>http://InclusivePublicSpace.Leeds.ac.uk</w:t>
        </w:r>
      </w:hyperlink>
    </w:p>
    <w:p w14:paraId="0026B8AD" w14:textId="69494506" w:rsidR="00022303" w:rsidRDefault="00022303" w:rsidP="00022303">
      <w:r w:rsidRPr="00D07C08">
        <w:t>This was a European Research Council Advanced Grant Project which ran from 2019 to 2025. It aimed to deepen understanding of what disabled, older and other pedestrians experienced as inaccessible or exclusionary; to deepen understanding of the nature and effectiveness of law’s engagement with this type of inaccessibility and exclusion; and to raise awareness of relevant types of problem and the importance of heightened legal and political action. </w:t>
      </w:r>
    </w:p>
    <w:p w14:paraId="688787D5" w14:textId="77777777" w:rsidR="00022303" w:rsidRDefault="00022303" w:rsidP="00022303">
      <w:r>
        <w:t xml:space="preserve">This dataset contains the legal reports. These reports were authored by the country advisors and their respective research teams in each of the five countries – the United Kingdom, India, Kenya, the Netherlands, and the United States of America. Each legal report provides a comprehensive account of how different types of domestic law engage with exclusionary streets in the project country and the two selected cities. It </w:t>
      </w:r>
      <w:r>
        <w:lastRenderedPageBreak/>
        <w:t xml:space="preserve">covers local city or municipal by-laws as well as laws with national or regional reach and clarifies how commitments to international treaties (such as the UN Convention on the Rights of Persons with Disabilities) affect the interpretation or use of domestic law. It also provides policy context by explaining any relevant national or local strategies or commitments – e.g. relating to accessible streets or to promoting walking/pedestrian access. Each report includes analysis of how a broad range of law operates in this context: first, laws which can be enforced only by or on behalf of individuals with certain identity characteristics – e.g. disability or age discrimination laws; second, laws which can be enforced by or on behalf of individuals regardless of identity characteristics – e.g. tort law; and third, laws which are operated or enforced by public bodies and cannot be enforced by individuals – e.g. procurement, planning or criminal laws.  </w:t>
      </w:r>
    </w:p>
    <w:p w14:paraId="3272DF0E" w14:textId="77777777" w:rsidR="00022303" w:rsidRDefault="00022303" w:rsidP="00022303"/>
    <w:p w14:paraId="7BE3FACB" w14:textId="3942C848" w:rsidR="00022303" w:rsidRDefault="00022303" w:rsidP="00022303">
      <w:r w:rsidRPr="00432855">
        <w:t>Cite as: Orchard</w:t>
      </w:r>
      <w:r w:rsidR="00157831">
        <w:t>,</w:t>
      </w:r>
      <w:r w:rsidRPr="00432855">
        <w:t xml:space="preserve"> M</w:t>
      </w:r>
      <w:r>
        <w:t xml:space="preserve">, </w:t>
      </w:r>
      <w:r w:rsidR="00E13A5B" w:rsidRPr="00432855">
        <w:t>Lawson</w:t>
      </w:r>
      <w:r w:rsidR="00157831">
        <w:t>,</w:t>
      </w:r>
      <w:r w:rsidR="00E13A5B" w:rsidRPr="00432855">
        <w:t xml:space="preserve"> A</w:t>
      </w:r>
      <w:r w:rsidR="00E13A5B">
        <w:t xml:space="preserve">, </w:t>
      </w:r>
      <w:r>
        <w:t>Jain</w:t>
      </w:r>
      <w:r w:rsidR="00157831">
        <w:t>,</w:t>
      </w:r>
      <w:r>
        <w:t xml:space="preserve"> S, H</w:t>
      </w:r>
      <w:r w:rsidRPr="00432855">
        <w:t>outzager</w:t>
      </w:r>
      <w:r w:rsidR="00157831">
        <w:t>,</w:t>
      </w:r>
      <w:r>
        <w:t xml:space="preserve"> D</w:t>
      </w:r>
      <w:r w:rsidRPr="00432855">
        <w:t>, Mute</w:t>
      </w:r>
      <w:r w:rsidR="00157831">
        <w:t>,</w:t>
      </w:r>
      <w:r>
        <w:t xml:space="preserve"> L,</w:t>
      </w:r>
      <w:r w:rsidRPr="00432855">
        <w:t xml:space="preserve"> Meroka-Mutua</w:t>
      </w:r>
      <w:r w:rsidR="00157831">
        <w:t>,</w:t>
      </w:r>
      <w:r>
        <w:t xml:space="preserve"> A, </w:t>
      </w:r>
      <w:r w:rsidR="00057FFD" w:rsidRPr="00432855">
        <w:t>Whaley</w:t>
      </w:r>
      <w:r w:rsidR="00057FFD">
        <w:t>,</w:t>
      </w:r>
      <w:r w:rsidR="00057FFD" w:rsidRPr="00432855">
        <w:t xml:space="preserve"> </w:t>
      </w:r>
      <w:r w:rsidR="00057FFD">
        <w:t>B</w:t>
      </w:r>
      <w:r w:rsidR="00057FFD" w:rsidRPr="00432855">
        <w:t xml:space="preserve">, </w:t>
      </w:r>
      <w:r w:rsidRPr="00432855">
        <w:t>Blanck</w:t>
      </w:r>
      <w:r w:rsidR="00157831">
        <w:t>,</w:t>
      </w:r>
      <w:r>
        <w:t xml:space="preserve"> P </w:t>
      </w:r>
      <w:r w:rsidRPr="00432855">
        <w:t xml:space="preserve">et al (2025) Inclusive Public Space: </w:t>
      </w:r>
      <w:r>
        <w:t xml:space="preserve">Legal Reports </w:t>
      </w:r>
      <w:r w:rsidRPr="00432855">
        <w:t>Data</w:t>
      </w:r>
      <w:r>
        <w:t>s</w:t>
      </w:r>
      <w:r w:rsidRPr="00432855">
        <w:t xml:space="preserve">et. University of Leeds [Dataset </w:t>
      </w:r>
      <w:r>
        <w:t>3</w:t>
      </w:r>
      <w:r w:rsidRPr="00432855">
        <w:t xml:space="preserve">] DOI: </w:t>
      </w:r>
      <w:r w:rsidRPr="00162B9B">
        <w:t>https://doi.org/10.5518/1696</w:t>
      </w:r>
      <w:r w:rsidRPr="00432855">
        <w:t xml:space="preserve">. </w:t>
      </w:r>
    </w:p>
    <w:p w14:paraId="74192E5C" w14:textId="77777777" w:rsidR="00022303" w:rsidRDefault="00022303" w:rsidP="00022303"/>
    <w:p w14:paraId="05147FEE" w14:textId="71DCE399" w:rsidR="00022303" w:rsidRDefault="003D439E" w:rsidP="00022303">
      <w:r>
        <w:t xml:space="preserve">Related </w:t>
      </w:r>
      <w:r w:rsidR="00D473BA">
        <w:t>p</w:t>
      </w:r>
      <w:r w:rsidR="00022303">
        <w:t>ublications</w:t>
      </w:r>
      <w:r>
        <w:t>:</w:t>
      </w:r>
    </w:p>
    <w:p w14:paraId="7E7C6E5A" w14:textId="218D83C2" w:rsidR="00022303" w:rsidRDefault="00022303" w:rsidP="00022303">
      <w:r w:rsidRPr="00162B9B">
        <w:t>Lawson, A, Orchard, M and Eskyte, I (202</w:t>
      </w:r>
      <w:r w:rsidR="00253B03">
        <w:t>7</w:t>
      </w:r>
      <w:r w:rsidRPr="00162B9B">
        <w:t xml:space="preserve">) </w:t>
      </w:r>
      <w:r w:rsidRPr="00162B9B">
        <w:rPr>
          <w:i/>
          <w:iCs/>
        </w:rPr>
        <w:t>Disability, Accessibility and Mobility Justice: A Multinational Analysis of Rights to Inclusive Pedestrian Journeys</w:t>
      </w:r>
      <w:r w:rsidRPr="00162B9B">
        <w:rPr>
          <w:rFonts w:ascii="Arial" w:hAnsi="Arial" w:cs="Arial"/>
        </w:rPr>
        <w:t> </w:t>
      </w:r>
      <w:r w:rsidRPr="00162B9B">
        <w:t>(Bristol University Press)</w:t>
      </w:r>
      <w:r w:rsidR="00BE37EB">
        <w:t>.</w:t>
      </w:r>
    </w:p>
    <w:p w14:paraId="42BAEC3D" w14:textId="76490A39" w:rsidR="00BE4392" w:rsidRPr="00AB4F19" w:rsidRDefault="00BE4392" w:rsidP="00AB4F19">
      <w:pPr>
        <w:rPr>
          <w:rFonts w:ascii="Aptos" w:hAnsi="Aptos" w:cs="Arial"/>
        </w:rPr>
      </w:pPr>
      <w:r w:rsidRPr="00BE4392">
        <w:t xml:space="preserve">Lawson, </w:t>
      </w:r>
      <w:r w:rsidR="00DC26F2">
        <w:t xml:space="preserve">A, </w:t>
      </w:r>
      <w:r w:rsidRPr="00BE4392">
        <w:t>Eskyte</w:t>
      </w:r>
      <w:r w:rsidR="00E305B0">
        <w:t>,</w:t>
      </w:r>
      <w:r w:rsidRPr="00BE4392">
        <w:t xml:space="preserve"> </w:t>
      </w:r>
      <w:r w:rsidR="00DC26F2">
        <w:t>I</w:t>
      </w:r>
      <w:r w:rsidR="00E305B0">
        <w:t xml:space="preserve"> </w:t>
      </w:r>
      <w:r w:rsidRPr="00BE4392">
        <w:t>and</w:t>
      </w:r>
      <w:r w:rsidR="00E305B0">
        <w:t xml:space="preserve"> </w:t>
      </w:r>
      <w:r w:rsidRPr="00BE4392">
        <w:t xml:space="preserve">Orchard, </w:t>
      </w:r>
      <w:r w:rsidR="00E305B0">
        <w:t>M</w:t>
      </w:r>
      <w:r w:rsidR="00AB4F19">
        <w:t xml:space="preserve"> (2026)</w:t>
      </w:r>
      <w:r w:rsidR="00E305B0">
        <w:t xml:space="preserve"> </w:t>
      </w:r>
      <w:r w:rsidRPr="00BE4392">
        <w:t xml:space="preserve">‘Accessibility Matters: Enabling Law, Enabling Legal Theory’ in </w:t>
      </w:r>
      <w:r w:rsidR="00BE37EB">
        <w:t>N</w:t>
      </w:r>
      <w:r w:rsidRPr="00BE4392">
        <w:t xml:space="preserve"> Jain </w:t>
      </w:r>
      <w:r w:rsidRPr="00AB4F19">
        <w:rPr>
          <w:rFonts w:ascii="Aptos" w:hAnsi="Aptos"/>
        </w:rPr>
        <w:t xml:space="preserve">and </w:t>
      </w:r>
      <w:r w:rsidR="00BE37EB" w:rsidRPr="00AB4F19">
        <w:rPr>
          <w:rFonts w:ascii="Aptos" w:hAnsi="Aptos"/>
        </w:rPr>
        <w:t>S</w:t>
      </w:r>
      <w:r w:rsidRPr="00AB4F19">
        <w:rPr>
          <w:rFonts w:ascii="Aptos" w:hAnsi="Aptos"/>
        </w:rPr>
        <w:t xml:space="preserve"> Nouwen (eds),</w:t>
      </w:r>
      <w:r w:rsidR="00AB4F19" w:rsidRPr="00AB4F19">
        <w:rPr>
          <w:rFonts w:ascii="Aptos" w:hAnsi="Aptos"/>
        </w:rPr>
        <w:t xml:space="preserve"> </w:t>
      </w:r>
      <w:r w:rsidR="00AB4F19" w:rsidRPr="00AB4F19">
        <w:rPr>
          <w:rFonts w:ascii="Aptos" w:hAnsi="Aptos" w:cs="Arial"/>
          <w:i/>
          <w:iCs/>
        </w:rPr>
        <w:t>Disability and International Law: Promise and Limits</w:t>
      </w:r>
      <w:r w:rsidR="00AB4F19" w:rsidRPr="00AB4F19">
        <w:rPr>
          <w:rFonts w:ascii="Aptos" w:hAnsi="Aptos" w:cs="Arial"/>
        </w:rPr>
        <w:t xml:space="preserve"> </w:t>
      </w:r>
      <w:r w:rsidRPr="00AB4F19">
        <w:rPr>
          <w:rFonts w:ascii="Aptos" w:hAnsi="Aptos"/>
        </w:rPr>
        <w:t>(</w:t>
      </w:r>
      <w:r w:rsidRPr="00BE4392">
        <w:t>Oxford University Press</w:t>
      </w:r>
      <w:r w:rsidR="00BE37EB">
        <w:t>)</w:t>
      </w:r>
      <w:r w:rsidR="008056D3">
        <w:t xml:space="preserve">, available at: </w:t>
      </w:r>
      <w:hyperlink r:id="rId10" w:history="1">
        <w:r w:rsidR="008056D3" w:rsidRPr="00617469">
          <w:rPr>
            <w:rStyle w:val="Hyperlink"/>
          </w:rPr>
          <w:t>https://global.oup.com/academic/product/disability-and-international-law-9780197930403?lang=en&amp;cc=gb</w:t>
        </w:r>
      </w:hyperlink>
      <w:r w:rsidR="008056D3">
        <w:t xml:space="preserve"> </w:t>
      </w:r>
    </w:p>
    <w:p w14:paraId="2DCBCB14" w14:textId="47A8C0C6" w:rsidR="00E305B0" w:rsidRDefault="00E305B0" w:rsidP="00022303">
      <w:r w:rsidRPr="00E305B0">
        <w:t>Lawson</w:t>
      </w:r>
      <w:r>
        <w:t>, A,</w:t>
      </w:r>
      <w:r w:rsidRPr="00E305B0">
        <w:t xml:space="preserve"> </w:t>
      </w:r>
      <w:r w:rsidR="00A50F78">
        <w:t xml:space="preserve">(2025) </w:t>
      </w:r>
      <w:r w:rsidRPr="00E305B0">
        <w:t xml:space="preserve">‘Accessibility and the Limits of the Equality Act 2010: Time for a UK Accessibility Act?’ </w:t>
      </w:r>
      <w:r w:rsidR="00780831">
        <w:t xml:space="preserve">78(1) </w:t>
      </w:r>
      <w:r w:rsidRPr="00780831">
        <w:rPr>
          <w:i/>
          <w:iCs/>
        </w:rPr>
        <w:t>Current Legal Problems</w:t>
      </w:r>
      <w:r w:rsidR="00780831">
        <w:rPr>
          <w:i/>
          <w:iCs/>
        </w:rPr>
        <w:t xml:space="preserve"> </w:t>
      </w:r>
      <w:r w:rsidR="00780831">
        <w:t>127</w:t>
      </w:r>
      <w:r w:rsidR="006E4BA8">
        <w:t xml:space="preserve">, available at </w:t>
      </w:r>
      <w:hyperlink r:id="rId11" w:history="1">
        <w:r w:rsidR="004C70BA" w:rsidRPr="006C2193">
          <w:rPr>
            <w:rStyle w:val="Hyperlink"/>
          </w:rPr>
          <w:t>https://doi.org/10.1093/clp/cuaf006</w:t>
        </w:r>
      </w:hyperlink>
      <w:r w:rsidR="004C70BA">
        <w:t xml:space="preserve">. </w:t>
      </w:r>
    </w:p>
    <w:p w14:paraId="62BEEFD2" w14:textId="77777777" w:rsidR="00AB4C9C" w:rsidRDefault="00AB4C9C" w:rsidP="00AB4C9C">
      <w:r>
        <w:t xml:space="preserve">Lawson, A, Lynch, D, Orchard, M, Raseta, S and Standing, W (2025) ‘Fostering awareness of what stops pedestrian environments being inclusive and accessible: resources and reflections from a multinational study’, 23 </w:t>
      </w:r>
      <w:r w:rsidRPr="25D620D3">
        <w:rPr>
          <w:i/>
          <w:iCs/>
        </w:rPr>
        <w:t>Public Repository Journal</w:t>
      </w:r>
      <w:r w:rsidRPr="25D620D3">
        <w:t xml:space="preserve"> 98, available at </w:t>
      </w:r>
      <w:hyperlink r:id="rId12">
        <w:r w:rsidRPr="25D620D3">
          <w:rPr>
            <w:rStyle w:val="Hyperlink"/>
          </w:rPr>
          <w:t>https://doi.org/10.54050/PRJ23290</w:t>
        </w:r>
      </w:hyperlink>
      <w:r w:rsidRPr="25D620D3">
        <w:t>.</w:t>
      </w:r>
    </w:p>
    <w:p w14:paraId="57C1D0DB" w14:textId="7B8176A1" w:rsidR="007E61F3" w:rsidRDefault="007E61F3" w:rsidP="007E61F3">
      <w:r>
        <w:t xml:space="preserve">Lawson, A, Orchard, M, Houtzager, D, Jain, S, Meroka-Mutua, A, Mute, L, Whaley, B and Raseta, S (2025) ‘Inclusive public space project: Law, disability and accessibility’, </w:t>
      </w:r>
      <w:r w:rsidRPr="25D620D3">
        <w:rPr>
          <w:i/>
          <w:iCs/>
        </w:rPr>
        <w:t xml:space="preserve">Open </w:t>
      </w:r>
      <w:r w:rsidRPr="25D620D3">
        <w:rPr>
          <w:i/>
          <w:iCs/>
        </w:rPr>
        <w:lastRenderedPageBreak/>
        <w:t>Access Government April 2025</w:t>
      </w:r>
      <w:r>
        <w:t xml:space="preserve">, 292-293, available at </w:t>
      </w:r>
      <w:hyperlink r:id="rId13" w:history="1">
        <w:r w:rsidRPr="0099218A">
          <w:rPr>
            <w:rStyle w:val="Hyperlink"/>
          </w:rPr>
          <w:t>https://doi.org/10.56367/OAG-046-11945</w:t>
        </w:r>
      </w:hyperlink>
      <w:r>
        <w:t xml:space="preserve">. </w:t>
      </w:r>
    </w:p>
    <w:p w14:paraId="7CFBE248" w14:textId="77777777" w:rsidR="00E3148B" w:rsidRPr="003A7F72" w:rsidRDefault="00E3148B" w:rsidP="00E3148B">
      <w:pPr>
        <w:rPr>
          <w:rFonts w:ascii="Aptos" w:eastAsia="Aptos" w:hAnsi="Aptos" w:cs="Aptos"/>
          <w:color w:val="000000" w:themeColor="text1"/>
        </w:rPr>
      </w:pPr>
      <w:r w:rsidRPr="000C586E">
        <w:rPr>
          <w:rFonts w:ascii="Aptos" w:eastAsia="Aptos" w:hAnsi="Aptos" w:cs="Aptos"/>
          <w:color w:val="000000" w:themeColor="text1"/>
        </w:rPr>
        <w:t>Houtzager</w:t>
      </w:r>
      <w:r>
        <w:rPr>
          <w:rFonts w:ascii="Aptos" w:eastAsia="Aptos" w:hAnsi="Aptos" w:cs="Aptos"/>
          <w:color w:val="000000" w:themeColor="text1"/>
        </w:rPr>
        <w:t>, D</w:t>
      </w:r>
      <w:r w:rsidRPr="000C586E">
        <w:rPr>
          <w:rFonts w:ascii="Aptos" w:eastAsia="Aptos" w:hAnsi="Aptos" w:cs="Aptos"/>
          <w:color w:val="000000" w:themeColor="text1"/>
        </w:rPr>
        <w:t xml:space="preserve"> and </w:t>
      </w:r>
      <w:r>
        <w:t xml:space="preserve">Luitzen </w:t>
      </w:r>
      <w:r w:rsidRPr="000C586E">
        <w:rPr>
          <w:rFonts w:ascii="Aptos" w:eastAsia="Aptos" w:hAnsi="Aptos" w:cs="Aptos"/>
          <w:color w:val="000000" w:themeColor="text1"/>
        </w:rPr>
        <w:t>De Vos,</w:t>
      </w:r>
      <w:r>
        <w:rPr>
          <w:rFonts w:ascii="Aptos" w:eastAsia="Aptos" w:hAnsi="Aptos" w:cs="Aptos"/>
          <w:color w:val="000000" w:themeColor="text1"/>
        </w:rPr>
        <w:t xml:space="preserve"> E (2025),</w:t>
      </w:r>
      <w:r w:rsidRPr="000C586E">
        <w:rPr>
          <w:rFonts w:ascii="Aptos" w:eastAsia="Aptos" w:hAnsi="Aptos" w:cs="Aptos"/>
          <w:color w:val="000000" w:themeColor="text1"/>
        </w:rPr>
        <w:t xml:space="preserve"> ‘Accessibility of Dutch Public Space: Regulations and Local Actions by Pedestrians with Disabilities’</w:t>
      </w:r>
      <w:r>
        <w:rPr>
          <w:rFonts w:ascii="Aptos" w:eastAsia="Aptos" w:hAnsi="Aptos" w:cs="Aptos"/>
          <w:color w:val="000000" w:themeColor="text1"/>
        </w:rPr>
        <w:t>,</w:t>
      </w:r>
      <w:r w:rsidRPr="000C586E">
        <w:rPr>
          <w:rFonts w:ascii="Aptos" w:eastAsia="Aptos" w:hAnsi="Aptos" w:cs="Aptos"/>
          <w:color w:val="000000" w:themeColor="text1"/>
        </w:rPr>
        <w:t xml:space="preserve"> </w:t>
      </w:r>
      <w:r w:rsidRPr="00BE16F7">
        <w:rPr>
          <w:rFonts w:ascii="Aptos" w:eastAsia="Aptos" w:hAnsi="Aptos" w:cs="Aptos"/>
          <w:i/>
          <w:iCs/>
          <w:color w:val="000000" w:themeColor="text1"/>
        </w:rPr>
        <w:t>Laws</w:t>
      </w:r>
      <w:r w:rsidRPr="000C586E">
        <w:rPr>
          <w:rFonts w:ascii="Aptos" w:eastAsia="Aptos" w:hAnsi="Aptos" w:cs="Aptos"/>
          <w:color w:val="000000" w:themeColor="text1"/>
        </w:rPr>
        <w:t xml:space="preserve"> 14, no. 4: 51</w:t>
      </w:r>
      <w:r>
        <w:rPr>
          <w:rFonts w:ascii="Aptos" w:eastAsia="Aptos" w:hAnsi="Aptos" w:cs="Aptos"/>
          <w:color w:val="000000" w:themeColor="text1"/>
        </w:rPr>
        <w:t>, available at</w:t>
      </w:r>
      <w:r w:rsidRPr="002702CA">
        <w:rPr>
          <w:rFonts w:ascii="Aptos" w:eastAsia="Aptos" w:hAnsi="Aptos" w:cs="Aptos"/>
          <w:color w:val="000000" w:themeColor="text1"/>
        </w:rPr>
        <w:t xml:space="preserve"> </w:t>
      </w:r>
      <w:hyperlink r:id="rId14" w:history="1">
        <w:r w:rsidRPr="001B3584">
          <w:rPr>
            <w:rStyle w:val="Hyperlink"/>
            <w:rFonts w:ascii="Aptos" w:eastAsia="Aptos" w:hAnsi="Aptos" w:cs="Aptos"/>
          </w:rPr>
          <w:t>https://doi.org/10.3390/laws14040051</w:t>
        </w:r>
      </w:hyperlink>
      <w:r>
        <w:rPr>
          <w:rFonts w:ascii="Aptos" w:eastAsia="Aptos" w:hAnsi="Aptos" w:cs="Aptos"/>
          <w:color w:val="000000" w:themeColor="text1"/>
        </w:rPr>
        <w:t>.</w:t>
      </w:r>
    </w:p>
    <w:p w14:paraId="673F4DBE" w14:textId="5AF61221" w:rsidR="00022303" w:rsidRPr="00162B9B" w:rsidRDefault="00022303" w:rsidP="00022303">
      <w:r w:rsidRPr="00162B9B">
        <w:t xml:space="preserve">Lawson, A, Orchard, M, Eskyte, I and Campbell, M (2024) ‘Enhancing the Accessibility of Pedestrian Environments: Critical Reflections on the Role of the Public Sector Equality Duty’, </w:t>
      </w:r>
      <w:r w:rsidRPr="00162B9B">
        <w:rPr>
          <w:i/>
          <w:iCs/>
        </w:rPr>
        <w:t xml:space="preserve">Laws </w:t>
      </w:r>
      <w:r w:rsidRPr="00162B9B">
        <w:t>13, no. 4: 43</w:t>
      </w:r>
      <w:r w:rsidR="00CA74D7">
        <w:t>, a</w:t>
      </w:r>
      <w:r w:rsidRPr="00162B9B">
        <w:t xml:space="preserve">vailable at </w:t>
      </w:r>
      <w:hyperlink r:id="rId15" w:tgtFrame="_blank" w:history="1">
        <w:r w:rsidRPr="00162B9B">
          <w:rPr>
            <w:rStyle w:val="Hyperlink"/>
          </w:rPr>
          <w:t>https://doi.org/10.3390/laws13040043</w:t>
        </w:r>
      </w:hyperlink>
      <w:r w:rsidR="00AD6A83">
        <w:t>.</w:t>
      </w:r>
    </w:p>
    <w:p w14:paraId="029652E9" w14:textId="2D225A53" w:rsidR="00022303" w:rsidRPr="00162B9B" w:rsidRDefault="00022303" w:rsidP="00022303">
      <w:r w:rsidRPr="00162B9B">
        <w:t xml:space="preserve">Whaley, B, Martinis, J, Pagano, G, Barthol, S, Senzer, J, Williamson, P and Blanck, P (2024) ‘The Americans with Disabilities Act and Equal Access to Public Spaces’, </w:t>
      </w:r>
      <w:r w:rsidRPr="00162B9B">
        <w:rPr>
          <w:i/>
          <w:iCs/>
        </w:rPr>
        <w:t xml:space="preserve">Laws </w:t>
      </w:r>
      <w:r w:rsidRPr="00162B9B">
        <w:t>13, no. 1: 5</w:t>
      </w:r>
      <w:r w:rsidR="00CA74D7">
        <w:t>, a</w:t>
      </w:r>
      <w:r w:rsidRPr="00162B9B">
        <w:t xml:space="preserve">vailable at </w:t>
      </w:r>
      <w:hyperlink r:id="rId16" w:tgtFrame="_blank" w:history="1">
        <w:r w:rsidRPr="00162B9B">
          <w:rPr>
            <w:rStyle w:val="Hyperlink"/>
          </w:rPr>
          <w:t>https://doi.org/10.3390/laws13010005</w:t>
        </w:r>
      </w:hyperlink>
      <w:r w:rsidRPr="00162B9B">
        <w:t>. </w:t>
      </w:r>
    </w:p>
    <w:p w14:paraId="5BF762CD" w14:textId="5350EDEB" w:rsidR="00022303" w:rsidRDefault="00022303" w:rsidP="00022303">
      <w:r w:rsidRPr="00162B9B">
        <w:t xml:space="preserve">Mute, L and Meroka-Mutua, A (2024) ‘Leveraging Continental Norms and Mechanisms to Enhance Barrier-Free Access for Pedestrians with Disabilities in Kenya’ </w:t>
      </w:r>
      <w:r w:rsidRPr="00162B9B">
        <w:rPr>
          <w:i/>
          <w:iCs/>
        </w:rPr>
        <w:t xml:space="preserve">Laws </w:t>
      </w:r>
      <w:r w:rsidRPr="00162B9B">
        <w:t>13, no. 2: 11</w:t>
      </w:r>
      <w:r w:rsidR="00CA74D7">
        <w:t>, a</w:t>
      </w:r>
      <w:r w:rsidRPr="00162B9B">
        <w:t xml:space="preserve">vailable at </w:t>
      </w:r>
      <w:hyperlink r:id="rId17" w:tgtFrame="_blank" w:history="1">
        <w:r w:rsidRPr="00162B9B">
          <w:rPr>
            <w:rStyle w:val="Hyperlink"/>
          </w:rPr>
          <w:t>https://doi.org/10.3390/laws13020011</w:t>
        </w:r>
      </w:hyperlink>
      <w:r w:rsidRPr="00162B9B">
        <w:t>. </w:t>
      </w:r>
    </w:p>
    <w:p w14:paraId="607D6FA7" w14:textId="62C42856" w:rsidR="005151C7" w:rsidRDefault="005151C7" w:rsidP="005151C7">
      <w:r>
        <w:t xml:space="preserve">Jain, S and Jain, M (2024) ‘Revisiting the Conceptual Terrains of the Right to Accessibility in India: The Role of Judicial Enforcement’, </w:t>
      </w:r>
      <w:r w:rsidRPr="7E7F0EEC">
        <w:rPr>
          <w:i/>
          <w:iCs/>
        </w:rPr>
        <w:t xml:space="preserve">Laws </w:t>
      </w:r>
      <w:r>
        <w:t xml:space="preserve">13, no. 4: 54, available at </w:t>
      </w:r>
      <w:hyperlink r:id="rId18" w:history="1">
        <w:r w:rsidRPr="00AD7E6E">
          <w:rPr>
            <w:rStyle w:val="Hyperlink"/>
          </w:rPr>
          <w:t>https://doi.org/10.3390/laws13040054</w:t>
        </w:r>
      </w:hyperlink>
      <w:r>
        <w:t>.</w:t>
      </w:r>
    </w:p>
    <w:p w14:paraId="678DE8FA" w14:textId="1A4C4E86" w:rsidR="00022303" w:rsidRDefault="00022303" w:rsidP="00022303">
      <w:r w:rsidRPr="00162B9B">
        <w:t xml:space="preserve">Lawson-Jacobs, N, Lockwood, L, Raseta, S, Houtzager, D, Jain, S, Lawson, A, Meroka-Mutua, A, Mute, L, Orchard, M and Whaley, B (2024) ‘Law’s role in fostering inclusive and accessible pedestrian environments: insights from a multinational study’, 21 </w:t>
      </w:r>
      <w:r w:rsidRPr="00162B9B">
        <w:rPr>
          <w:i/>
          <w:iCs/>
        </w:rPr>
        <w:t>Public Repository Journal</w:t>
      </w:r>
      <w:r w:rsidRPr="00162B9B">
        <w:t xml:space="preserve"> 84, available at </w:t>
      </w:r>
      <w:hyperlink r:id="rId19" w:history="1">
        <w:r w:rsidR="009672B6" w:rsidRPr="0099218A">
          <w:rPr>
            <w:rStyle w:val="Hyperlink"/>
          </w:rPr>
          <w:t>https://doi.org/10.54050/PRJ2122335</w:t>
        </w:r>
      </w:hyperlink>
      <w:r w:rsidRPr="00162B9B">
        <w:t>.  </w:t>
      </w:r>
    </w:p>
    <w:p w14:paraId="6F85A452" w14:textId="7C6D3801" w:rsidR="00D64E1A" w:rsidRDefault="00D64E1A" w:rsidP="00D64E1A">
      <w:r>
        <w:t xml:space="preserve">Lawson, A, Eskyte, I, Orchard, M, Houtzager, D and Luitzen De Vos, E (2022) ‘Pedestrians with Disabilities and Town and City Streets: From Shared to Inclusive Space?’, 7(2) </w:t>
      </w:r>
      <w:r w:rsidRPr="25D620D3">
        <w:rPr>
          <w:i/>
          <w:iCs/>
        </w:rPr>
        <w:t>The Journal of Public Space</w:t>
      </w:r>
      <w:r>
        <w:t xml:space="preserve"> 41, available at </w:t>
      </w:r>
      <w:hyperlink r:id="rId20" w:history="1">
        <w:r w:rsidRPr="0099218A">
          <w:rPr>
            <w:rStyle w:val="Hyperlink"/>
          </w:rPr>
          <w:t>https://doi.org/10.32891/jps.v7i2.1603</w:t>
        </w:r>
      </w:hyperlink>
      <w:r>
        <w:t>.</w:t>
      </w:r>
      <w:r w:rsidRPr="00037670">
        <w:t xml:space="preserve"> </w:t>
      </w:r>
    </w:p>
    <w:p w14:paraId="236A0A3E" w14:textId="77777777" w:rsidR="00022303" w:rsidRDefault="00022303" w:rsidP="00022303">
      <w:r w:rsidRPr="00162B9B">
        <w:t>Lawson</w:t>
      </w:r>
      <w:r>
        <w:t>,</w:t>
      </w:r>
      <w:r w:rsidRPr="00162B9B">
        <w:t xml:space="preserve"> </w:t>
      </w:r>
      <w:r>
        <w:t xml:space="preserve">A </w:t>
      </w:r>
      <w:r w:rsidRPr="00162B9B">
        <w:t>and Orchard</w:t>
      </w:r>
      <w:r>
        <w:t>, M (2021)</w:t>
      </w:r>
      <w:r w:rsidRPr="00162B9B">
        <w:t xml:space="preserve"> ‘The Anticipatory Reasonable Adjustment Duty: Removing the Blockages?’</w:t>
      </w:r>
      <w:r>
        <w:t>,</w:t>
      </w:r>
      <w:r w:rsidRPr="00162B9B">
        <w:t xml:space="preserve"> 80(2) </w:t>
      </w:r>
      <w:r w:rsidRPr="00AD6A83">
        <w:rPr>
          <w:i/>
          <w:iCs/>
        </w:rPr>
        <w:t>The Cambridge Law Journal</w:t>
      </w:r>
      <w:r w:rsidRPr="00162B9B">
        <w:t xml:space="preserve"> 308</w:t>
      </w:r>
      <w:r>
        <w:t xml:space="preserve">, available at </w:t>
      </w:r>
      <w:hyperlink r:id="rId21" w:history="1">
        <w:r w:rsidRPr="00595A9D">
          <w:rPr>
            <w:rStyle w:val="Hyperlink"/>
          </w:rPr>
          <w:t>https://doi.org/10.1017/S0008197321000568</w:t>
        </w:r>
      </w:hyperlink>
      <w:r w:rsidRPr="00162B9B">
        <w:t xml:space="preserve">. </w:t>
      </w:r>
    </w:p>
    <w:p w14:paraId="3617BD99" w14:textId="77777777" w:rsidR="00022303" w:rsidRDefault="00022303" w:rsidP="00022303">
      <w:r>
        <w:t xml:space="preserve">Houtzager, D (2021) ‘Toegankelijkheid openbare ruimte, regels en realiteit’, 5 </w:t>
      </w:r>
      <w:r w:rsidRPr="00AD6A83">
        <w:rPr>
          <w:i/>
          <w:iCs/>
        </w:rPr>
        <w:t>Handicap &amp; Recht</w:t>
      </w:r>
      <w:r>
        <w:t xml:space="preserve"> 45, </w:t>
      </w:r>
      <w:r w:rsidRPr="00162B9B">
        <w:t xml:space="preserve">available at </w:t>
      </w:r>
      <w:hyperlink r:id="rId22" w:history="1">
        <w:r w:rsidRPr="00595A9D">
          <w:rPr>
            <w:rStyle w:val="Hyperlink"/>
          </w:rPr>
          <w:t>https://nietsoveronszonderons.nl/wp-content/uploads/2023/08/Toegankelijkheikd-openbare-ruimte-bij-GC2.pdf</w:t>
        </w:r>
      </w:hyperlink>
      <w:r>
        <w:t xml:space="preserve">. </w:t>
      </w:r>
    </w:p>
    <w:p w14:paraId="62150A0F" w14:textId="77777777" w:rsidR="00E06E91" w:rsidRPr="00C5673D" w:rsidRDefault="00E06E91" w:rsidP="00E06E91">
      <w:pPr>
        <w:rPr>
          <w:rFonts w:ascii="Aptos" w:eastAsia="Aptos" w:hAnsi="Aptos" w:cs="Aptos"/>
        </w:rPr>
      </w:pPr>
      <w:r>
        <w:t xml:space="preserve">Eskyte, I, Lawson, A, Orchard, M and Andrews, E (2020) ‘Out on the streets – Crisis, opportunity and disabled people in the era of Covid-19: Reflections from the UK’, 14(4) </w:t>
      </w:r>
      <w:r w:rsidRPr="7E7F0EEC">
        <w:rPr>
          <w:i/>
          <w:iCs/>
        </w:rPr>
        <w:t xml:space="preserve">Alter </w:t>
      </w:r>
      <w:r>
        <w:t xml:space="preserve">329, available at </w:t>
      </w:r>
      <w:hyperlink r:id="rId23" w:history="1">
        <w:r w:rsidRPr="0099218A">
          <w:rPr>
            <w:rStyle w:val="Hyperlink"/>
          </w:rPr>
          <w:t>https://doi.org/10.1016/j.alter.2020.07.004</w:t>
        </w:r>
      </w:hyperlink>
      <w:r>
        <w:t xml:space="preserve">. </w:t>
      </w:r>
    </w:p>
    <w:p w14:paraId="46268FB0" w14:textId="77777777" w:rsidR="00022303" w:rsidRPr="00D07C08" w:rsidRDefault="00022303" w:rsidP="00022303">
      <w:r w:rsidRPr="00162B9B">
        <w:t> </w:t>
      </w:r>
    </w:p>
    <w:p w14:paraId="50631BB1" w14:textId="77777777" w:rsidR="00022303" w:rsidRPr="00D07C08" w:rsidRDefault="00022303" w:rsidP="00022303">
      <w:r w:rsidRPr="00D07C08">
        <w:lastRenderedPageBreak/>
        <w:t>TERMS OF USE </w:t>
      </w:r>
    </w:p>
    <w:p w14:paraId="052A3D74" w14:textId="77777777" w:rsidR="00022303" w:rsidRPr="00D07C08" w:rsidRDefault="00022303" w:rsidP="00022303">
      <w:r w:rsidRPr="00D07C08">
        <w:t xml:space="preserve">Unless otherwise stated, this dataset is licensed under a Creative Commons Attribution 4.0 International Licence: </w:t>
      </w:r>
      <w:hyperlink r:id="rId24" w:tgtFrame="_blank" w:history="1">
        <w:r w:rsidRPr="00D07C08">
          <w:rPr>
            <w:rStyle w:val="Hyperlink"/>
          </w:rPr>
          <w:t>https://creativecommons.org/licenses/by/4.0/</w:t>
        </w:r>
      </w:hyperlink>
      <w:r w:rsidRPr="00D07C08">
        <w:t>. </w:t>
      </w:r>
    </w:p>
    <w:p w14:paraId="4084510D" w14:textId="77777777" w:rsidR="00022303" w:rsidRPr="00D07C08" w:rsidRDefault="00022303" w:rsidP="00022303">
      <w:r w:rsidRPr="00D07C08">
        <w:t> </w:t>
      </w:r>
    </w:p>
    <w:p w14:paraId="2F262542" w14:textId="77777777" w:rsidR="00022303" w:rsidRPr="00D07C08" w:rsidRDefault="00022303" w:rsidP="00022303">
      <w:r w:rsidRPr="00D07C08">
        <w:t>PROJECT AND FUNDING INFORMATION </w:t>
      </w:r>
    </w:p>
    <w:p w14:paraId="65701E08" w14:textId="77777777" w:rsidR="00022303" w:rsidRPr="00D07C08" w:rsidRDefault="00022303" w:rsidP="00022303">
      <w:r w:rsidRPr="00D07C08">
        <w:t>Title: Inclusive Public Space: Law, Universality and Difference in the Accessibility of Streets </w:t>
      </w:r>
    </w:p>
    <w:p w14:paraId="193CF692" w14:textId="77777777" w:rsidR="00022303" w:rsidRPr="00D07C08" w:rsidRDefault="00022303" w:rsidP="00022303">
      <w:r w:rsidRPr="00D07C08">
        <w:t>Dates: 2019-2025 </w:t>
      </w:r>
    </w:p>
    <w:p w14:paraId="52CBF476" w14:textId="77777777" w:rsidR="00022303" w:rsidRPr="00D07C08" w:rsidRDefault="00022303" w:rsidP="00022303">
      <w:r w:rsidRPr="00D07C08">
        <w:t>Funding organisation: European Research Council </w:t>
      </w:r>
    </w:p>
    <w:p w14:paraId="756E4042" w14:textId="050A6997" w:rsidR="00022303" w:rsidRPr="00D07C08" w:rsidRDefault="00022303" w:rsidP="00022303">
      <w:r w:rsidRPr="00D07C08">
        <w:t>Grant no: 787258 (Advanced Grant) </w:t>
      </w:r>
    </w:p>
    <w:p w14:paraId="21A42BAD" w14:textId="77777777" w:rsidR="00022303" w:rsidRDefault="00022303" w:rsidP="00022303"/>
    <w:p w14:paraId="322C3D87" w14:textId="77777777" w:rsidR="00022303" w:rsidRDefault="00022303" w:rsidP="00022303">
      <w:pPr>
        <w:pBdr>
          <w:bottom w:val="single" w:sz="6" w:space="1" w:color="auto"/>
        </w:pBdr>
      </w:pPr>
      <w:r>
        <w:t>4. CONTENTS</w:t>
      </w:r>
    </w:p>
    <w:p w14:paraId="59438A74" w14:textId="7E8554E7" w:rsidR="001C7F20" w:rsidRDefault="001C7F20" w:rsidP="00022303">
      <w:r>
        <w:t>A</w:t>
      </w:r>
      <w:r w:rsidR="00E42D84">
        <w:t>.</w:t>
      </w:r>
      <w:r>
        <w:t xml:space="preserve"> Legal Reports</w:t>
      </w:r>
    </w:p>
    <w:p w14:paraId="15B6FDA6" w14:textId="7299A936" w:rsidR="00BF417D" w:rsidRDefault="00BF417D" w:rsidP="00022303">
      <w:r>
        <w:t xml:space="preserve">This folder contains the final versions of the legal reports for each of the project countries. Please note that these were completed </w:t>
      </w:r>
      <w:r w:rsidR="003A102D">
        <w:t>some time ago and the law has not been updated. The reports are:</w:t>
      </w:r>
    </w:p>
    <w:p w14:paraId="6CA59EAA" w14:textId="77777777" w:rsidR="00022303" w:rsidRDefault="00022303" w:rsidP="00022303">
      <w:r>
        <w:t>India Legal Report</w:t>
      </w:r>
    </w:p>
    <w:p w14:paraId="28C4CB5B" w14:textId="77777777" w:rsidR="00022303" w:rsidRDefault="00022303" w:rsidP="00022303">
      <w:r>
        <w:t>Kenya Legal Report</w:t>
      </w:r>
    </w:p>
    <w:p w14:paraId="20BA359B" w14:textId="77777777" w:rsidR="00022303" w:rsidRDefault="00022303" w:rsidP="00022303">
      <w:r>
        <w:t>Netherlands Legal Report</w:t>
      </w:r>
    </w:p>
    <w:p w14:paraId="22A74318" w14:textId="77777777" w:rsidR="00022303" w:rsidRDefault="00022303" w:rsidP="00022303">
      <w:r>
        <w:t>UK Legal Report</w:t>
      </w:r>
    </w:p>
    <w:p w14:paraId="05C5A3A6" w14:textId="77777777" w:rsidR="00022303" w:rsidRDefault="00022303" w:rsidP="00022303">
      <w:r>
        <w:t>USA Legal Report</w:t>
      </w:r>
    </w:p>
    <w:p w14:paraId="0A23C610" w14:textId="77777777" w:rsidR="00022303" w:rsidRDefault="00022303" w:rsidP="00022303"/>
    <w:p w14:paraId="26627075" w14:textId="0A30953A" w:rsidR="007632B8" w:rsidRDefault="007632B8" w:rsidP="00022303">
      <w:r>
        <w:t>B</w:t>
      </w:r>
      <w:r w:rsidR="00E42D84">
        <w:t>.</w:t>
      </w:r>
      <w:r w:rsidR="00260A50">
        <w:t xml:space="preserve"> Report Writing Guidance</w:t>
      </w:r>
    </w:p>
    <w:p w14:paraId="33C103BD" w14:textId="32E63038" w:rsidR="003A102D" w:rsidRDefault="003A102D" w:rsidP="00022303">
      <w:r>
        <w:t>This folder contains the template with guidance issued to report authors to help them prepare their reports.</w:t>
      </w:r>
    </w:p>
    <w:p w14:paraId="25CF82A3" w14:textId="77777777" w:rsidR="000F0594" w:rsidRDefault="000F0594" w:rsidP="00022303"/>
    <w:p w14:paraId="1972147A" w14:textId="77777777" w:rsidR="00022303" w:rsidRDefault="00022303" w:rsidP="00022303">
      <w:r>
        <w:t>5. METHODS</w:t>
      </w:r>
    </w:p>
    <w:p w14:paraId="5E5787A5" w14:textId="544FBB1E" w:rsidR="00DA67CC" w:rsidRPr="00022303" w:rsidRDefault="00022303" w:rsidP="00022303">
      <w:r>
        <w:t>The</w:t>
      </w:r>
      <w:r w:rsidRPr="00A243D4">
        <w:t xml:space="preserve"> legal report</w:t>
      </w:r>
      <w:r>
        <w:t xml:space="preserve">s were </w:t>
      </w:r>
      <w:r w:rsidRPr="00A243D4">
        <w:t>prepared using desk-based doctrinal research. Primary sources</w:t>
      </w:r>
      <w:r w:rsidR="00E42D84">
        <w:t xml:space="preserve"> </w:t>
      </w:r>
      <w:r w:rsidR="0064598D">
        <w:t>(e.g.</w:t>
      </w:r>
      <w:r w:rsidRPr="00A243D4">
        <w:t xml:space="preserve"> legislation</w:t>
      </w:r>
      <w:r>
        <w:t>, statutes</w:t>
      </w:r>
      <w:r w:rsidRPr="00A243D4">
        <w:t xml:space="preserve"> and </w:t>
      </w:r>
      <w:r>
        <w:t>case law)</w:t>
      </w:r>
      <w:r w:rsidRPr="00A243D4">
        <w:t xml:space="preserve"> </w:t>
      </w:r>
      <w:r>
        <w:t>and s</w:t>
      </w:r>
      <w:r w:rsidRPr="00A243D4">
        <w:t>econdary sources</w:t>
      </w:r>
      <w:r>
        <w:t xml:space="preserve"> (</w:t>
      </w:r>
      <w:r w:rsidR="006C45D7">
        <w:t>e.g.</w:t>
      </w:r>
      <w:r w:rsidRPr="00A243D4">
        <w:t xml:space="preserve"> </w:t>
      </w:r>
      <w:r>
        <w:t xml:space="preserve">academic </w:t>
      </w:r>
      <w:r w:rsidRPr="00A243D4">
        <w:t>journal</w:t>
      </w:r>
      <w:r>
        <w:t xml:space="preserve"> </w:t>
      </w:r>
      <w:r>
        <w:lastRenderedPageBreak/>
        <w:t xml:space="preserve">articles </w:t>
      </w:r>
      <w:r w:rsidRPr="00A243D4">
        <w:t>and</w:t>
      </w:r>
      <w:r>
        <w:t xml:space="preserve"> legal</w:t>
      </w:r>
      <w:r w:rsidRPr="00A243D4">
        <w:t xml:space="preserve"> commentary</w:t>
      </w:r>
      <w:r>
        <w:t xml:space="preserve">) were used to identify, interpret and evaluate relevant </w:t>
      </w:r>
      <w:r w:rsidRPr="00A243D4">
        <w:t xml:space="preserve">legal </w:t>
      </w:r>
      <w:r>
        <w:t>principles</w:t>
      </w:r>
      <w:r w:rsidRPr="00A243D4">
        <w:t>.</w:t>
      </w:r>
    </w:p>
    <w:sectPr w:rsidR="00DA67CC" w:rsidRPr="00022303" w:rsidSect="00022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5222F"/>
    <w:multiLevelType w:val="multilevel"/>
    <w:tmpl w:val="DE54C7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586772B"/>
    <w:multiLevelType w:val="multilevel"/>
    <w:tmpl w:val="12F21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54768C"/>
    <w:multiLevelType w:val="multilevel"/>
    <w:tmpl w:val="420899D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FD94E39"/>
    <w:multiLevelType w:val="multilevel"/>
    <w:tmpl w:val="566E37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B809BF"/>
    <w:multiLevelType w:val="hybridMultilevel"/>
    <w:tmpl w:val="9BFCA59C"/>
    <w:lvl w:ilvl="0" w:tplc="02D0536A">
      <w:start w:val="1"/>
      <w:numFmt w:val="decimal"/>
      <w:lvlText w:val="%1."/>
      <w:lvlJc w:val="left"/>
      <w:pPr>
        <w:ind w:left="720" w:hanging="360"/>
      </w:pPr>
    </w:lvl>
    <w:lvl w:ilvl="1" w:tplc="7BB66938">
      <w:start w:val="1"/>
      <w:numFmt w:val="lowerLetter"/>
      <w:lvlText w:val="%2."/>
      <w:lvlJc w:val="left"/>
      <w:pPr>
        <w:ind w:left="1440" w:hanging="360"/>
      </w:pPr>
    </w:lvl>
    <w:lvl w:ilvl="2" w:tplc="1076E350">
      <w:start w:val="1"/>
      <w:numFmt w:val="lowerRoman"/>
      <w:lvlText w:val="%3."/>
      <w:lvlJc w:val="right"/>
      <w:pPr>
        <w:ind w:left="2160" w:hanging="180"/>
      </w:pPr>
    </w:lvl>
    <w:lvl w:ilvl="3" w:tplc="0062FE2C">
      <w:start w:val="1"/>
      <w:numFmt w:val="decimal"/>
      <w:lvlText w:val="%4."/>
      <w:lvlJc w:val="left"/>
      <w:pPr>
        <w:ind w:left="2880" w:hanging="360"/>
      </w:pPr>
    </w:lvl>
    <w:lvl w:ilvl="4" w:tplc="A23C8878">
      <w:start w:val="1"/>
      <w:numFmt w:val="lowerLetter"/>
      <w:lvlText w:val="%5."/>
      <w:lvlJc w:val="left"/>
      <w:pPr>
        <w:ind w:left="3600" w:hanging="360"/>
      </w:pPr>
    </w:lvl>
    <w:lvl w:ilvl="5" w:tplc="EA64A05E">
      <w:start w:val="1"/>
      <w:numFmt w:val="lowerRoman"/>
      <w:lvlText w:val="%6."/>
      <w:lvlJc w:val="right"/>
      <w:pPr>
        <w:ind w:left="4320" w:hanging="180"/>
      </w:pPr>
    </w:lvl>
    <w:lvl w:ilvl="6" w:tplc="A6188CDE">
      <w:start w:val="1"/>
      <w:numFmt w:val="decimal"/>
      <w:lvlText w:val="%7."/>
      <w:lvlJc w:val="left"/>
      <w:pPr>
        <w:ind w:left="5040" w:hanging="360"/>
      </w:pPr>
    </w:lvl>
    <w:lvl w:ilvl="7" w:tplc="95E262AE">
      <w:start w:val="1"/>
      <w:numFmt w:val="lowerLetter"/>
      <w:lvlText w:val="%8."/>
      <w:lvlJc w:val="left"/>
      <w:pPr>
        <w:ind w:left="5760" w:hanging="360"/>
      </w:pPr>
    </w:lvl>
    <w:lvl w:ilvl="8" w:tplc="0F2A3FBE">
      <w:start w:val="1"/>
      <w:numFmt w:val="lowerRoman"/>
      <w:lvlText w:val="%9."/>
      <w:lvlJc w:val="right"/>
      <w:pPr>
        <w:ind w:left="6480" w:hanging="180"/>
      </w:pPr>
    </w:lvl>
  </w:abstractNum>
  <w:abstractNum w:abstractNumId="5" w15:restartNumberingAfterBreak="0">
    <w:nsid w:val="71A92B14"/>
    <w:multiLevelType w:val="multilevel"/>
    <w:tmpl w:val="AC5CE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0013980">
    <w:abstractNumId w:val="4"/>
  </w:num>
  <w:num w:numId="2" w16cid:durableId="578369717">
    <w:abstractNumId w:val="5"/>
  </w:num>
  <w:num w:numId="3" w16cid:durableId="240650238">
    <w:abstractNumId w:val="1"/>
  </w:num>
  <w:num w:numId="4" w16cid:durableId="1812091207">
    <w:abstractNumId w:val="2"/>
  </w:num>
  <w:num w:numId="5" w16cid:durableId="1456826024">
    <w:abstractNumId w:val="3"/>
  </w:num>
  <w:num w:numId="6" w16cid:durableId="16922183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7AF795A"/>
    <w:rsid w:val="000030CB"/>
    <w:rsid w:val="00012DE3"/>
    <w:rsid w:val="00022303"/>
    <w:rsid w:val="00023DCC"/>
    <w:rsid w:val="00026F07"/>
    <w:rsid w:val="0003006E"/>
    <w:rsid w:val="00030563"/>
    <w:rsid w:val="000343B9"/>
    <w:rsid w:val="0004463B"/>
    <w:rsid w:val="000463E9"/>
    <w:rsid w:val="00057FFD"/>
    <w:rsid w:val="00062138"/>
    <w:rsid w:val="000626CC"/>
    <w:rsid w:val="00062D82"/>
    <w:rsid w:val="000662B1"/>
    <w:rsid w:val="00066CE0"/>
    <w:rsid w:val="00067FAE"/>
    <w:rsid w:val="000723D6"/>
    <w:rsid w:val="00074535"/>
    <w:rsid w:val="000758D1"/>
    <w:rsid w:val="000807FF"/>
    <w:rsid w:val="00081A5F"/>
    <w:rsid w:val="00083110"/>
    <w:rsid w:val="0008685F"/>
    <w:rsid w:val="00091318"/>
    <w:rsid w:val="00093036"/>
    <w:rsid w:val="000930A2"/>
    <w:rsid w:val="000935AD"/>
    <w:rsid w:val="00094E83"/>
    <w:rsid w:val="000A636B"/>
    <w:rsid w:val="000B2140"/>
    <w:rsid w:val="000E4BA8"/>
    <w:rsid w:val="000F0594"/>
    <w:rsid w:val="001046A0"/>
    <w:rsid w:val="00107469"/>
    <w:rsid w:val="00107E1F"/>
    <w:rsid w:val="00111336"/>
    <w:rsid w:val="001149EC"/>
    <w:rsid w:val="001167FE"/>
    <w:rsid w:val="00120D34"/>
    <w:rsid w:val="001230F4"/>
    <w:rsid w:val="00125C9D"/>
    <w:rsid w:val="0013251F"/>
    <w:rsid w:val="00134FE2"/>
    <w:rsid w:val="00150567"/>
    <w:rsid w:val="00155095"/>
    <w:rsid w:val="00157831"/>
    <w:rsid w:val="00157CBB"/>
    <w:rsid w:val="00163909"/>
    <w:rsid w:val="00164A69"/>
    <w:rsid w:val="001740AC"/>
    <w:rsid w:val="0017580E"/>
    <w:rsid w:val="00177E86"/>
    <w:rsid w:val="00182E88"/>
    <w:rsid w:val="001901B0"/>
    <w:rsid w:val="001913F8"/>
    <w:rsid w:val="00195BCF"/>
    <w:rsid w:val="00195D81"/>
    <w:rsid w:val="00195E82"/>
    <w:rsid w:val="00196EF8"/>
    <w:rsid w:val="001B1D6D"/>
    <w:rsid w:val="001B6524"/>
    <w:rsid w:val="001C4A69"/>
    <w:rsid w:val="001C7C03"/>
    <w:rsid w:val="001C7F20"/>
    <w:rsid w:val="001D6526"/>
    <w:rsid w:val="001E5B20"/>
    <w:rsid w:val="001E6E2F"/>
    <w:rsid w:val="00204A20"/>
    <w:rsid w:val="002050A5"/>
    <w:rsid w:val="00205DE3"/>
    <w:rsid w:val="0020638F"/>
    <w:rsid w:val="00206F7A"/>
    <w:rsid w:val="00212D63"/>
    <w:rsid w:val="00217105"/>
    <w:rsid w:val="0022496C"/>
    <w:rsid w:val="00227C4D"/>
    <w:rsid w:val="00227DE1"/>
    <w:rsid w:val="002357CA"/>
    <w:rsid w:val="00236CE5"/>
    <w:rsid w:val="002407FE"/>
    <w:rsid w:val="002411BE"/>
    <w:rsid w:val="00245B52"/>
    <w:rsid w:val="00253B03"/>
    <w:rsid w:val="00255F44"/>
    <w:rsid w:val="00260A50"/>
    <w:rsid w:val="00261AF9"/>
    <w:rsid w:val="002651C2"/>
    <w:rsid w:val="0029047C"/>
    <w:rsid w:val="002A4539"/>
    <w:rsid w:val="002B6585"/>
    <w:rsid w:val="002C1E5F"/>
    <w:rsid w:val="002C24DF"/>
    <w:rsid w:val="002C7699"/>
    <w:rsid w:val="002C7CC4"/>
    <w:rsid w:val="002D0D78"/>
    <w:rsid w:val="002D2BFD"/>
    <w:rsid w:val="002D6B9D"/>
    <w:rsid w:val="002E5755"/>
    <w:rsid w:val="002F1BE5"/>
    <w:rsid w:val="002F31C6"/>
    <w:rsid w:val="00300C78"/>
    <w:rsid w:val="0030154B"/>
    <w:rsid w:val="00314851"/>
    <w:rsid w:val="00336676"/>
    <w:rsid w:val="00340104"/>
    <w:rsid w:val="003702F1"/>
    <w:rsid w:val="00373E89"/>
    <w:rsid w:val="0037638D"/>
    <w:rsid w:val="00376A78"/>
    <w:rsid w:val="00376C72"/>
    <w:rsid w:val="00384DEA"/>
    <w:rsid w:val="00394133"/>
    <w:rsid w:val="003A102D"/>
    <w:rsid w:val="003A7A77"/>
    <w:rsid w:val="003D3F9E"/>
    <w:rsid w:val="003D439E"/>
    <w:rsid w:val="003D5C41"/>
    <w:rsid w:val="003D6EEC"/>
    <w:rsid w:val="003E1CF8"/>
    <w:rsid w:val="003E2D46"/>
    <w:rsid w:val="003F06AA"/>
    <w:rsid w:val="003F1349"/>
    <w:rsid w:val="00411232"/>
    <w:rsid w:val="00416022"/>
    <w:rsid w:val="00416FBB"/>
    <w:rsid w:val="00424C3A"/>
    <w:rsid w:val="00437287"/>
    <w:rsid w:val="00446E0B"/>
    <w:rsid w:val="0045364B"/>
    <w:rsid w:val="004627CD"/>
    <w:rsid w:val="00480E28"/>
    <w:rsid w:val="004814A2"/>
    <w:rsid w:val="00484208"/>
    <w:rsid w:val="004848FB"/>
    <w:rsid w:val="004A6D6B"/>
    <w:rsid w:val="004B7657"/>
    <w:rsid w:val="004C333B"/>
    <w:rsid w:val="004C70BA"/>
    <w:rsid w:val="004D5599"/>
    <w:rsid w:val="004D7FCC"/>
    <w:rsid w:val="004E13C0"/>
    <w:rsid w:val="004E16A7"/>
    <w:rsid w:val="004E6921"/>
    <w:rsid w:val="004F287F"/>
    <w:rsid w:val="004F6EE4"/>
    <w:rsid w:val="004F750D"/>
    <w:rsid w:val="00500523"/>
    <w:rsid w:val="005151C7"/>
    <w:rsid w:val="00523A72"/>
    <w:rsid w:val="00526773"/>
    <w:rsid w:val="00537650"/>
    <w:rsid w:val="00542192"/>
    <w:rsid w:val="00545CA8"/>
    <w:rsid w:val="00550455"/>
    <w:rsid w:val="00560FDB"/>
    <w:rsid w:val="005635E0"/>
    <w:rsid w:val="00563AF7"/>
    <w:rsid w:val="00571A09"/>
    <w:rsid w:val="00573DDC"/>
    <w:rsid w:val="00595CB7"/>
    <w:rsid w:val="005A5444"/>
    <w:rsid w:val="005D0970"/>
    <w:rsid w:val="005D5EF2"/>
    <w:rsid w:val="005E29BD"/>
    <w:rsid w:val="006058E0"/>
    <w:rsid w:val="00607258"/>
    <w:rsid w:val="006118C7"/>
    <w:rsid w:val="00630BCC"/>
    <w:rsid w:val="00634E8A"/>
    <w:rsid w:val="006362D3"/>
    <w:rsid w:val="00636B33"/>
    <w:rsid w:val="0064598D"/>
    <w:rsid w:val="00652A04"/>
    <w:rsid w:val="00652D15"/>
    <w:rsid w:val="0065672E"/>
    <w:rsid w:val="0068516D"/>
    <w:rsid w:val="00694EC7"/>
    <w:rsid w:val="006A6047"/>
    <w:rsid w:val="006C2BF1"/>
    <w:rsid w:val="006C45D7"/>
    <w:rsid w:val="006D47BA"/>
    <w:rsid w:val="006E2B3D"/>
    <w:rsid w:val="006E4BA8"/>
    <w:rsid w:val="006F2C10"/>
    <w:rsid w:val="00711FF0"/>
    <w:rsid w:val="0071406B"/>
    <w:rsid w:val="0071706B"/>
    <w:rsid w:val="0072397E"/>
    <w:rsid w:val="00734DEB"/>
    <w:rsid w:val="0074397C"/>
    <w:rsid w:val="00743E20"/>
    <w:rsid w:val="00747624"/>
    <w:rsid w:val="0074794F"/>
    <w:rsid w:val="00761071"/>
    <w:rsid w:val="007632B8"/>
    <w:rsid w:val="00780831"/>
    <w:rsid w:val="0078734B"/>
    <w:rsid w:val="007954EA"/>
    <w:rsid w:val="007A0CCD"/>
    <w:rsid w:val="007A4609"/>
    <w:rsid w:val="007B1BD1"/>
    <w:rsid w:val="007C6F8F"/>
    <w:rsid w:val="007C7C92"/>
    <w:rsid w:val="007E467B"/>
    <w:rsid w:val="007E61F3"/>
    <w:rsid w:val="007F27BB"/>
    <w:rsid w:val="00802FD1"/>
    <w:rsid w:val="008056D3"/>
    <w:rsid w:val="00805A19"/>
    <w:rsid w:val="008068EE"/>
    <w:rsid w:val="00826F62"/>
    <w:rsid w:val="00837236"/>
    <w:rsid w:val="008467C6"/>
    <w:rsid w:val="008555AC"/>
    <w:rsid w:val="00857CDE"/>
    <w:rsid w:val="00884D98"/>
    <w:rsid w:val="00895736"/>
    <w:rsid w:val="008A3252"/>
    <w:rsid w:val="008A4B29"/>
    <w:rsid w:val="008C70A8"/>
    <w:rsid w:val="008C7AC8"/>
    <w:rsid w:val="008D581B"/>
    <w:rsid w:val="008E4A62"/>
    <w:rsid w:val="008E682B"/>
    <w:rsid w:val="008F2682"/>
    <w:rsid w:val="00905437"/>
    <w:rsid w:val="009071F4"/>
    <w:rsid w:val="00910924"/>
    <w:rsid w:val="00917952"/>
    <w:rsid w:val="00917D57"/>
    <w:rsid w:val="009220A1"/>
    <w:rsid w:val="0092296F"/>
    <w:rsid w:val="0092317E"/>
    <w:rsid w:val="00930381"/>
    <w:rsid w:val="00933F4E"/>
    <w:rsid w:val="0094337D"/>
    <w:rsid w:val="00946D6F"/>
    <w:rsid w:val="009519B7"/>
    <w:rsid w:val="00960345"/>
    <w:rsid w:val="00964EDE"/>
    <w:rsid w:val="009672B6"/>
    <w:rsid w:val="009726E2"/>
    <w:rsid w:val="00980809"/>
    <w:rsid w:val="00994AD0"/>
    <w:rsid w:val="00997FFA"/>
    <w:rsid w:val="009A0E36"/>
    <w:rsid w:val="009B3C1A"/>
    <w:rsid w:val="009B4100"/>
    <w:rsid w:val="009B48D2"/>
    <w:rsid w:val="009B56DA"/>
    <w:rsid w:val="009D0D25"/>
    <w:rsid w:val="009D1F8D"/>
    <w:rsid w:val="009D3848"/>
    <w:rsid w:val="009E3A13"/>
    <w:rsid w:val="009E6A04"/>
    <w:rsid w:val="009F513D"/>
    <w:rsid w:val="00A00CEA"/>
    <w:rsid w:val="00A01EA4"/>
    <w:rsid w:val="00A13694"/>
    <w:rsid w:val="00A14267"/>
    <w:rsid w:val="00A220AE"/>
    <w:rsid w:val="00A23C07"/>
    <w:rsid w:val="00A2524C"/>
    <w:rsid w:val="00A31859"/>
    <w:rsid w:val="00A46FB0"/>
    <w:rsid w:val="00A50F78"/>
    <w:rsid w:val="00A51FC1"/>
    <w:rsid w:val="00A54435"/>
    <w:rsid w:val="00A62C4F"/>
    <w:rsid w:val="00A659CD"/>
    <w:rsid w:val="00A80AB5"/>
    <w:rsid w:val="00A82F0E"/>
    <w:rsid w:val="00A8765F"/>
    <w:rsid w:val="00A96A7D"/>
    <w:rsid w:val="00AA2521"/>
    <w:rsid w:val="00AA6355"/>
    <w:rsid w:val="00AB12FE"/>
    <w:rsid w:val="00AB4078"/>
    <w:rsid w:val="00AB4C9C"/>
    <w:rsid w:val="00AB4F19"/>
    <w:rsid w:val="00AC5590"/>
    <w:rsid w:val="00AD2280"/>
    <w:rsid w:val="00AD3FDA"/>
    <w:rsid w:val="00AD5F7C"/>
    <w:rsid w:val="00AD6A83"/>
    <w:rsid w:val="00AD7CED"/>
    <w:rsid w:val="00AF7247"/>
    <w:rsid w:val="00B00542"/>
    <w:rsid w:val="00B06383"/>
    <w:rsid w:val="00B07F76"/>
    <w:rsid w:val="00B25B51"/>
    <w:rsid w:val="00B31169"/>
    <w:rsid w:val="00B362AC"/>
    <w:rsid w:val="00B42D4A"/>
    <w:rsid w:val="00B4315C"/>
    <w:rsid w:val="00B45A15"/>
    <w:rsid w:val="00B468BD"/>
    <w:rsid w:val="00B477DE"/>
    <w:rsid w:val="00B70244"/>
    <w:rsid w:val="00B708AE"/>
    <w:rsid w:val="00B77EC2"/>
    <w:rsid w:val="00B8223C"/>
    <w:rsid w:val="00B86E41"/>
    <w:rsid w:val="00B87B39"/>
    <w:rsid w:val="00B97CA8"/>
    <w:rsid w:val="00BB1268"/>
    <w:rsid w:val="00BB39E5"/>
    <w:rsid w:val="00BC7058"/>
    <w:rsid w:val="00BC7641"/>
    <w:rsid w:val="00BC76F0"/>
    <w:rsid w:val="00BD13FC"/>
    <w:rsid w:val="00BE0A33"/>
    <w:rsid w:val="00BE25CC"/>
    <w:rsid w:val="00BE37EB"/>
    <w:rsid w:val="00BE3A2B"/>
    <w:rsid w:val="00BE4392"/>
    <w:rsid w:val="00BF417D"/>
    <w:rsid w:val="00BF537D"/>
    <w:rsid w:val="00C055D4"/>
    <w:rsid w:val="00C1165D"/>
    <w:rsid w:val="00C47BD4"/>
    <w:rsid w:val="00C60ABC"/>
    <w:rsid w:val="00C71343"/>
    <w:rsid w:val="00C93138"/>
    <w:rsid w:val="00C95148"/>
    <w:rsid w:val="00CA74D7"/>
    <w:rsid w:val="00CB4D0D"/>
    <w:rsid w:val="00CC73CB"/>
    <w:rsid w:val="00CD02F7"/>
    <w:rsid w:val="00CD717C"/>
    <w:rsid w:val="00CE7363"/>
    <w:rsid w:val="00D00452"/>
    <w:rsid w:val="00D06B21"/>
    <w:rsid w:val="00D24BB4"/>
    <w:rsid w:val="00D27D45"/>
    <w:rsid w:val="00D3793A"/>
    <w:rsid w:val="00D406E1"/>
    <w:rsid w:val="00D42B94"/>
    <w:rsid w:val="00D433D2"/>
    <w:rsid w:val="00D473BA"/>
    <w:rsid w:val="00D6235B"/>
    <w:rsid w:val="00D64E1A"/>
    <w:rsid w:val="00D7792B"/>
    <w:rsid w:val="00D81F68"/>
    <w:rsid w:val="00D8621A"/>
    <w:rsid w:val="00DA06CB"/>
    <w:rsid w:val="00DA67CC"/>
    <w:rsid w:val="00DB2765"/>
    <w:rsid w:val="00DC26F2"/>
    <w:rsid w:val="00DC37FE"/>
    <w:rsid w:val="00DC3BBB"/>
    <w:rsid w:val="00DD33EF"/>
    <w:rsid w:val="00DD3DD4"/>
    <w:rsid w:val="00DE092A"/>
    <w:rsid w:val="00DE1003"/>
    <w:rsid w:val="00DE1F9B"/>
    <w:rsid w:val="00DE4126"/>
    <w:rsid w:val="00DE44C4"/>
    <w:rsid w:val="00DE47E2"/>
    <w:rsid w:val="00DE55EF"/>
    <w:rsid w:val="00DE5B45"/>
    <w:rsid w:val="00DF6A1A"/>
    <w:rsid w:val="00E00DAD"/>
    <w:rsid w:val="00E04487"/>
    <w:rsid w:val="00E05391"/>
    <w:rsid w:val="00E06E91"/>
    <w:rsid w:val="00E13A5B"/>
    <w:rsid w:val="00E1679B"/>
    <w:rsid w:val="00E22B02"/>
    <w:rsid w:val="00E305B0"/>
    <w:rsid w:val="00E3148B"/>
    <w:rsid w:val="00E42D84"/>
    <w:rsid w:val="00E5362C"/>
    <w:rsid w:val="00E6E7D5"/>
    <w:rsid w:val="00E728FA"/>
    <w:rsid w:val="00E7642F"/>
    <w:rsid w:val="00E80DBA"/>
    <w:rsid w:val="00E8328F"/>
    <w:rsid w:val="00E92D73"/>
    <w:rsid w:val="00EA2936"/>
    <w:rsid w:val="00EC6E4D"/>
    <w:rsid w:val="00EE4EE5"/>
    <w:rsid w:val="00EE6698"/>
    <w:rsid w:val="00EF1408"/>
    <w:rsid w:val="00EF19E3"/>
    <w:rsid w:val="00EF7C6D"/>
    <w:rsid w:val="00F07F7E"/>
    <w:rsid w:val="00F118D3"/>
    <w:rsid w:val="00F161B1"/>
    <w:rsid w:val="00F1736B"/>
    <w:rsid w:val="00F20B00"/>
    <w:rsid w:val="00F20BAB"/>
    <w:rsid w:val="00F23682"/>
    <w:rsid w:val="00F31AED"/>
    <w:rsid w:val="00F42C95"/>
    <w:rsid w:val="00F50825"/>
    <w:rsid w:val="00F536EC"/>
    <w:rsid w:val="00F57450"/>
    <w:rsid w:val="00F654E1"/>
    <w:rsid w:val="00F73160"/>
    <w:rsid w:val="00F932FB"/>
    <w:rsid w:val="00FB27CA"/>
    <w:rsid w:val="00FB299B"/>
    <w:rsid w:val="00FD0883"/>
    <w:rsid w:val="00FD0E76"/>
    <w:rsid w:val="00FD6241"/>
    <w:rsid w:val="00FE17FD"/>
    <w:rsid w:val="0108626E"/>
    <w:rsid w:val="0187C70A"/>
    <w:rsid w:val="01B4BF35"/>
    <w:rsid w:val="01C3CE9B"/>
    <w:rsid w:val="02127810"/>
    <w:rsid w:val="02252846"/>
    <w:rsid w:val="02A78A8B"/>
    <w:rsid w:val="02E0098C"/>
    <w:rsid w:val="034A1B70"/>
    <w:rsid w:val="0364C411"/>
    <w:rsid w:val="03A7782C"/>
    <w:rsid w:val="03C622DC"/>
    <w:rsid w:val="03E625DC"/>
    <w:rsid w:val="04288E16"/>
    <w:rsid w:val="04868D0B"/>
    <w:rsid w:val="04B0E524"/>
    <w:rsid w:val="054994E8"/>
    <w:rsid w:val="05953C9F"/>
    <w:rsid w:val="06B24817"/>
    <w:rsid w:val="06BEB4C7"/>
    <w:rsid w:val="06EC3058"/>
    <w:rsid w:val="06FDA9EE"/>
    <w:rsid w:val="07401534"/>
    <w:rsid w:val="0786C139"/>
    <w:rsid w:val="081DB111"/>
    <w:rsid w:val="0835FC6C"/>
    <w:rsid w:val="08CB0AD6"/>
    <w:rsid w:val="0918F871"/>
    <w:rsid w:val="09EBBE26"/>
    <w:rsid w:val="0A264B96"/>
    <w:rsid w:val="0A3B0A91"/>
    <w:rsid w:val="0A4BC93F"/>
    <w:rsid w:val="0AC36DC7"/>
    <w:rsid w:val="0B47E819"/>
    <w:rsid w:val="0C928C27"/>
    <w:rsid w:val="0CA1AE12"/>
    <w:rsid w:val="0CA1B3F2"/>
    <w:rsid w:val="0CAA0394"/>
    <w:rsid w:val="0CC4CB45"/>
    <w:rsid w:val="0DB92913"/>
    <w:rsid w:val="0DFCAF9F"/>
    <w:rsid w:val="0E920CCC"/>
    <w:rsid w:val="0E98E0A9"/>
    <w:rsid w:val="0E9E7E49"/>
    <w:rsid w:val="0F1462EF"/>
    <w:rsid w:val="0F1C8156"/>
    <w:rsid w:val="10036413"/>
    <w:rsid w:val="10634216"/>
    <w:rsid w:val="10A81227"/>
    <w:rsid w:val="10EBA8A9"/>
    <w:rsid w:val="118CB191"/>
    <w:rsid w:val="11BBEF3C"/>
    <w:rsid w:val="11CC5577"/>
    <w:rsid w:val="11CE9D4E"/>
    <w:rsid w:val="1238C2EA"/>
    <w:rsid w:val="129A48ED"/>
    <w:rsid w:val="12CD3DF8"/>
    <w:rsid w:val="12D9C5DC"/>
    <w:rsid w:val="12E9C5FC"/>
    <w:rsid w:val="12FF7532"/>
    <w:rsid w:val="1391CBBC"/>
    <w:rsid w:val="13B211F3"/>
    <w:rsid w:val="1456CD46"/>
    <w:rsid w:val="14E17041"/>
    <w:rsid w:val="14F495EC"/>
    <w:rsid w:val="152D64F4"/>
    <w:rsid w:val="153F5E32"/>
    <w:rsid w:val="15A389D5"/>
    <w:rsid w:val="15A81CDB"/>
    <w:rsid w:val="15E6AD2B"/>
    <w:rsid w:val="16BBEDD7"/>
    <w:rsid w:val="16EA0068"/>
    <w:rsid w:val="1734B9C3"/>
    <w:rsid w:val="17471ACF"/>
    <w:rsid w:val="17F2A1F6"/>
    <w:rsid w:val="17F650B5"/>
    <w:rsid w:val="1804D86A"/>
    <w:rsid w:val="1877009B"/>
    <w:rsid w:val="188D9E5D"/>
    <w:rsid w:val="18CE2309"/>
    <w:rsid w:val="18CFF6E7"/>
    <w:rsid w:val="19257930"/>
    <w:rsid w:val="193BF36E"/>
    <w:rsid w:val="1955F0C8"/>
    <w:rsid w:val="19697B12"/>
    <w:rsid w:val="19732829"/>
    <w:rsid w:val="1977C2EA"/>
    <w:rsid w:val="19A36609"/>
    <w:rsid w:val="1A159AFE"/>
    <w:rsid w:val="1A234E4E"/>
    <w:rsid w:val="1A27F007"/>
    <w:rsid w:val="1AD8BDD3"/>
    <w:rsid w:val="1ADD05A9"/>
    <w:rsid w:val="1AFFCAAB"/>
    <w:rsid w:val="1B094E82"/>
    <w:rsid w:val="1B156EC5"/>
    <w:rsid w:val="1B4391C5"/>
    <w:rsid w:val="1B620908"/>
    <w:rsid w:val="1BBF1EBD"/>
    <w:rsid w:val="1BC748FD"/>
    <w:rsid w:val="1C7312F3"/>
    <w:rsid w:val="1C74C9DB"/>
    <w:rsid w:val="1C921888"/>
    <w:rsid w:val="1CCD2C76"/>
    <w:rsid w:val="1CEC4D87"/>
    <w:rsid w:val="1D218CD6"/>
    <w:rsid w:val="1D4BBA17"/>
    <w:rsid w:val="1D500748"/>
    <w:rsid w:val="1D5FD5EB"/>
    <w:rsid w:val="1D8A8C01"/>
    <w:rsid w:val="1D9CDDC8"/>
    <w:rsid w:val="1DB453B0"/>
    <w:rsid w:val="1DDD88E0"/>
    <w:rsid w:val="1E1F9DCC"/>
    <w:rsid w:val="1E47F723"/>
    <w:rsid w:val="1E68E8DA"/>
    <w:rsid w:val="1E79EF54"/>
    <w:rsid w:val="1ED5ECF6"/>
    <w:rsid w:val="1EDDBE1D"/>
    <w:rsid w:val="1F926AEF"/>
    <w:rsid w:val="20313A7F"/>
    <w:rsid w:val="208AB2CD"/>
    <w:rsid w:val="20B6119A"/>
    <w:rsid w:val="211E0D1C"/>
    <w:rsid w:val="217CFE3D"/>
    <w:rsid w:val="21AB8B86"/>
    <w:rsid w:val="21ABB86F"/>
    <w:rsid w:val="2232A7EF"/>
    <w:rsid w:val="22DEE836"/>
    <w:rsid w:val="232C12F8"/>
    <w:rsid w:val="2385C37B"/>
    <w:rsid w:val="239C97D5"/>
    <w:rsid w:val="24F9CC30"/>
    <w:rsid w:val="253B9F4D"/>
    <w:rsid w:val="255FA911"/>
    <w:rsid w:val="25B0E8D8"/>
    <w:rsid w:val="25D620D3"/>
    <w:rsid w:val="262D4D33"/>
    <w:rsid w:val="26723AB2"/>
    <w:rsid w:val="26891A30"/>
    <w:rsid w:val="26DBB8BF"/>
    <w:rsid w:val="26E44A0E"/>
    <w:rsid w:val="26E5B684"/>
    <w:rsid w:val="2733C58A"/>
    <w:rsid w:val="277E95DE"/>
    <w:rsid w:val="27DA93FD"/>
    <w:rsid w:val="2858BA6F"/>
    <w:rsid w:val="2969D32D"/>
    <w:rsid w:val="2971AC86"/>
    <w:rsid w:val="29F3069F"/>
    <w:rsid w:val="29F6E29F"/>
    <w:rsid w:val="2A211A7E"/>
    <w:rsid w:val="2A6E48B8"/>
    <w:rsid w:val="2A708147"/>
    <w:rsid w:val="2AC409C4"/>
    <w:rsid w:val="2AC529EA"/>
    <w:rsid w:val="2C493DDD"/>
    <w:rsid w:val="2CDF90D7"/>
    <w:rsid w:val="2D18D293"/>
    <w:rsid w:val="2D54ABA2"/>
    <w:rsid w:val="2D7FACA3"/>
    <w:rsid w:val="2DCF5B0B"/>
    <w:rsid w:val="2DE2684A"/>
    <w:rsid w:val="2DE6ABCD"/>
    <w:rsid w:val="2E3BD759"/>
    <w:rsid w:val="2E5332AC"/>
    <w:rsid w:val="2E744F14"/>
    <w:rsid w:val="2E846D69"/>
    <w:rsid w:val="2E961135"/>
    <w:rsid w:val="2EA81441"/>
    <w:rsid w:val="2F0FE820"/>
    <w:rsid w:val="2F4B2B3F"/>
    <w:rsid w:val="2F54F579"/>
    <w:rsid w:val="2F7AD6EC"/>
    <w:rsid w:val="2FB0A9AF"/>
    <w:rsid w:val="2FDE586E"/>
    <w:rsid w:val="30AB44A9"/>
    <w:rsid w:val="30E9461F"/>
    <w:rsid w:val="312C870E"/>
    <w:rsid w:val="3131A6DB"/>
    <w:rsid w:val="31BACE44"/>
    <w:rsid w:val="31D36D1E"/>
    <w:rsid w:val="3317190E"/>
    <w:rsid w:val="3333BE14"/>
    <w:rsid w:val="336F483A"/>
    <w:rsid w:val="34F0EA98"/>
    <w:rsid w:val="3509C569"/>
    <w:rsid w:val="3541FD54"/>
    <w:rsid w:val="35641244"/>
    <w:rsid w:val="358DEA2A"/>
    <w:rsid w:val="35D4AC0F"/>
    <w:rsid w:val="3606CD6D"/>
    <w:rsid w:val="369D0AC2"/>
    <w:rsid w:val="371A7C95"/>
    <w:rsid w:val="374E7B66"/>
    <w:rsid w:val="375FE926"/>
    <w:rsid w:val="382856AC"/>
    <w:rsid w:val="38696CA7"/>
    <w:rsid w:val="386FE0EF"/>
    <w:rsid w:val="387D2D89"/>
    <w:rsid w:val="392E3CA8"/>
    <w:rsid w:val="3A4DC61C"/>
    <w:rsid w:val="3A959BA5"/>
    <w:rsid w:val="3AB03834"/>
    <w:rsid w:val="3AD499C2"/>
    <w:rsid w:val="3B564D17"/>
    <w:rsid w:val="3BA4F1F7"/>
    <w:rsid w:val="3C2AD4C1"/>
    <w:rsid w:val="3C56A9CA"/>
    <w:rsid w:val="3C62668F"/>
    <w:rsid w:val="3CAE7F33"/>
    <w:rsid w:val="3CB58C70"/>
    <w:rsid w:val="3CBA0E60"/>
    <w:rsid w:val="3CD58CA8"/>
    <w:rsid w:val="3CF41F8B"/>
    <w:rsid w:val="3D1EDDB6"/>
    <w:rsid w:val="3D349C13"/>
    <w:rsid w:val="3DF35C43"/>
    <w:rsid w:val="3DF966B0"/>
    <w:rsid w:val="3E100B19"/>
    <w:rsid w:val="3E50CEEA"/>
    <w:rsid w:val="3E7E9843"/>
    <w:rsid w:val="3E937E85"/>
    <w:rsid w:val="3EA3D57A"/>
    <w:rsid w:val="3ED68A2D"/>
    <w:rsid w:val="3F91EEFE"/>
    <w:rsid w:val="3FC72670"/>
    <w:rsid w:val="3FECA293"/>
    <w:rsid w:val="40581BE5"/>
    <w:rsid w:val="4087C56B"/>
    <w:rsid w:val="4194E1EC"/>
    <w:rsid w:val="4195927B"/>
    <w:rsid w:val="41CBF3BD"/>
    <w:rsid w:val="41D69007"/>
    <w:rsid w:val="421BFDE9"/>
    <w:rsid w:val="42672726"/>
    <w:rsid w:val="428DA1A4"/>
    <w:rsid w:val="42A1FD13"/>
    <w:rsid w:val="43A241BC"/>
    <w:rsid w:val="43AFD460"/>
    <w:rsid w:val="43F06EF7"/>
    <w:rsid w:val="44332A61"/>
    <w:rsid w:val="4487766D"/>
    <w:rsid w:val="44D0599D"/>
    <w:rsid w:val="44EADF59"/>
    <w:rsid w:val="456DA5F8"/>
    <w:rsid w:val="457047A7"/>
    <w:rsid w:val="4589B31D"/>
    <w:rsid w:val="45A3A25D"/>
    <w:rsid w:val="45AF9BF3"/>
    <w:rsid w:val="466C5AB7"/>
    <w:rsid w:val="46788443"/>
    <w:rsid w:val="46837709"/>
    <w:rsid w:val="46CA89B7"/>
    <w:rsid w:val="46E914C6"/>
    <w:rsid w:val="471348AA"/>
    <w:rsid w:val="4728948D"/>
    <w:rsid w:val="472CE31E"/>
    <w:rsid w:val="476C0740"/>
    <w:rsid w:val="476FA2B7"/>
    <w:rsid w:val="47D302C5"/>
    <w:rsid w:val="47DBA9E3"/>
    <w:rsid w:val="48114711"/>
    <w:rsid w:val="484DF55D"/>
    <w:rsid w:val="4915D307"/>
    <w:rsid w:val="492ECE60"/>
    <w:rsid w:val="49642B52"/>
    <w:rsid w:val="49E7A211"/>
    <w:rsid w:val="4A2A06CD"/>
    <w:rsid w:val="4A345F63"/>
    <w:rsid w:val="4A56CB1E"/>
    <w:rsid w:val="4ADD1A60"/>
    <w:rsid w:val="4AEFA51D"/>
    <w:rsid w:val="4B3E5575"/>
    <w:rsid w:val="4B860FD9"/>
    <w:rsid w:val="4BCEB1DE"/>
    <w:rsid w:val="4BD69BD8"/>
    <w:rsid w:val="4BDE2EBC"/>
    <w:rsid w:val="4C072C4C"/>
    <w:rsid w:val="4C1749D6"/>
    <w:rsid w:val="4C9202D5"/>
    <w:rsid w:val="4CA1F98B"/>
    <w:rsid w:val="4CD50C27"/>
    <w:rsid w:val="4D0AFBA7"/>
    <w:rsid w:val="4D85812C"/>
    <w:rsid w:val="4E0A3C07"/>
    <w:rsid w:val="4E19E5E7"/>
    <w:rsid w:val="4E321196"/>
    <w:rsid w:val="4E45D2D5"/>
    <w:rsid w:val="4E607509"/>
    <w:rsid w:val="4E659CB6"/>
    <w:rsid w:val="4E713274"/>
    <w:rsid w:val="4EAA2C5F"/>
    <w:rsid w:val="4ED0FBCC"/>
    <w:rsid w:val="4EE46951"/>
    <w:rsid w:val="4FF432AC"/>
    <w:rsid w:val="50D8BCED"/>
    <w:rsid w:val="50FC28E9"/>
    <w:rsid w:val="510D61CA"/>
    <w:rsid w:val="5124D93E"/>
    <w:rsid w:val="5134B037"/>
    <w:rsid w:val="51544B92"/>
    <w:rsid w:val="51B95BB1"/>
    <w:rsid w:val="51D97E73"/>
    <w:rsid w:val="51F540B4"/>
    <w:rsid w:val="5259588A"/>
    <w:rsid w:val="527B06F5"/>
    <w:rsid w:val="52BD2ECE"/>
    <w:rsid w:val="52BF433B"/>
    <w:rsid w:val="532DCD16"/>
    <w:rsid w:val="5379ACBE"/>
    <w:rsid w:val="53851E1A"/>
    <w:rsid w:val="53862AD1"/>
    <w:rsid w:val="538CE5C2"/>
    <w:rsid w:val="539A9F79"/>
    <w:rsid w:val="53AB12FF"/>
    <w:rsid w:val="53B4C092"/>
    <w:rsid w:val="53E5966C"/>
    <w:rsid w:val="53F20E50"/>
    <w:rsid w:val="540682C2"/>
    <w:rsid w:val="541D956F"/>
    <w:rsid w:val="54DDF227"/>
    <w:rsid w:val="552F55AC"/>
    <w:rsid w:val="5591140E"/>
    <w:rsid w:val="55B5F978"/>
    <w:rsid w:val="55D78146"/>
    <w:rsid w:val="560ED03C"/>
    <w:rsid w:val="5696CE09"/>
    <w:rsid w:val="579307DE"/>
    <w:rsid w:val="57AB78BB"/>
    <w:rsid w:val="57D0F547"/>
    <w:rsid w:val="57E976D0"/>
    <w:rsid w:val="57EA5F56"/>
    <w:rsid w:val="58073AAA"/>
    <w:rsid w:val="583664E4"/>
    <w:rsid w:val="58601299"/>
    <w:rsid w:val="5877191E"/>
    <w:rsid w:val="58BB2C68"/>
    <w:rsid w:val="59B3EEF1"/>
    <w:rsid w:val="59D1B91D"/>
    <w:rsid w:val="5A478ADA"/>
    <w:rsid w:val="5AED504E"/>
    <w:rsid w:val="5B0418DA"/>
    <w:rsid w:val="5B279A15"/>
    <w:rsid w:val="5B2CF286"/>
    <w:rsid w:val="5B48FE36"/>
    <w:rsid w:val="5B517547"/>
    <w:rsid w:val="5B79E5CB"/>
    <w:rsid w:val="5BD5AAF2"/>
    <w:rsid w:val="5C44D23E"/>
    <w:rsid w:val="5CA16762"/>
    <w:rsid w:val="5D45FB11"/>
    <w:rsid w:val="5E6BEA1C"/>
    <w:rsid w:val="5E8EF3BC"/>
    <w:rsid w:val="5EBE8DDB"/>
    <w:rsid w:val="5F97FFDC"/>
    <w:rsid w:val="5FE10B48"/>
    <w:rsid w:val="5FF62431"/>
    <w:rsid w:val="5FFE4ED5"/>
    <w:rsid w:val="604F8A55"/>
    <w:rsid w:val="6057B499"/>
    <w:rsid w:val="605FCA60"/>
    <w:rsid w:val="60E6F73E"/>
    <w:rsid w:val="60FC9274"/>
    <w:rsid w:val="61503A8F"/>
    <w:rsid w:val="61959CAB"/>
    <w:rsid w:val="6202E55B"/>
    <w:rsid w:val="623398BC"/>
    <w:rsid w:val="62452051"/>
    <w:rsid w:val="625259F1"/>
    <w:rsid w:val="625F20C1"/>
    <w:rsid w:val="62B32F34"/>
    <w:rsid w:val="62D2275D"/>
    <w:rsid w:val="62D467CE"/>
    <w:rsid w:val="63094478"/>
    <w:rsid w:val="63672A02"/>
    <w:rsid w:val="63A0556A"/>
    <w:rsid w:val="63C30CCE"/>
    <w:rsid w:val="63C5ED16"/>
    <w:rsid w:val="64A16F04"/>
    <w:rsid w:val="64C00816"/>
    <w:rsid w:val="64CF7E2D"/>
    <w:rsid w:val="65DF3A8C"/>
    <w:rsid w:val="660E1326"/>
    <w:rsid w:val="6653D3BB"/>
    <w:rsid w:val="66875B40"/>
    <w:rsid w:val="669A12C4"/>
    <w:rsid w:val="66A8B3CF"/>
    <w:rsid w:val="66DCD12A"/>
    <w:rsid w:val="67A3BD9E"/>
    <w:rsid w:val="6896423E"/>
    <w:rsid w:val="697FF9CD"/>
    <w:rsid w:val="6A770B3D"/>
    <w:rsid w:val="6A8B1A5E"/>
    <w:rsid w:val="6B441DF6"/>
    <w:rsid w:val="6B6CDC0C"/>
    <w:rsid w:val="6B8E7EF6"/>
    <w:rsid w:val="6BC69898"/>
    <w:rsid w:val="6BCD868B"/>
    <w:rsid w:val="6BEADDFE"/>
    <w:rsid w:val="6C1E9ABC"/>
    <w:rsid w:val="6C632319"/>
    <w:rsid w:val="6C8B42E6"/>
    <w:rsid w:val="6DB0C28B"/>
    <w:rsid w:val="6DBA9A3C"/>
    <w:rsid w:val="6DD75F18"/>
    <w:rsid w:val="6EAEA967"/>
    <w:rsid w:val="6EBDA997"/>
    <w:rsid w:val="6F04F837"/>
    <w:rsid w:val="6F164776"/>
    <w:rsid w:val="6FA48F4E"/>
    <w:rsid w:val="702C9F74"/>
    <w:rsid w:val="7046DA0E"/>
    <w:rsid w:val="70B4A1B9"/>
    <w:rsid w:val="70DFA40A"/>
    <w:rsid w:val="70F80A10"/>
    <w:rsid w:val="7110ED3C"/>
    <w:rsid w:val="714B89BA"/>
    <w:rsid w:val="715B836B"/>
    <w:rsid w:val="71770066"/>
    <w:rsid w:val="719F0E3A"/>
    <w:rsid w:val="71F5D775"/>
    <w:rsid w:val="721C6240"/>
    <w:rsid w:val="72C24B6B"/>
    <w:rsid w:val="738E845B"/>
    <w:rsid w:val="73AD5498"/>
    <w:rsid w:val="73BC6762"/>
    <w:rsid w:val="7471190F"/>
    <w:rsid w:val="7478B6B3"/>
    <w:rsid w:val="74F90A88"/>
    <w:rsid w:val="750CA844"/>
    <w:rsid w:val="752E1E0A"/>
    <w:rsid w:val="7597DBD8"/>
    <w:rsid w:val="75A66C5D"/>
    <w:rsid w:val="75FE160C"/>
    <w:rsid w:val="76089567"/>
    <w:rsid w:val="763420CB"/>
    <w:rsid w:val="763AFEB6"/>
    <w:rsid w:val="7674D0A2"/>
    <w:rsid w:val="76C6FDE6"/>
    <w:rsid w:val="7748BBFE"/>
    <w:rsid w:val="776FD13D"/>
    <w:rsid w:val="77861630"/>
    <w:rsid w:val="77A27E46"/>
    <w:rsid w:val="77AF795A"/>
    <w:rsid w:val="77CA0816"/>
    <w:rsid w:val="77E20D5B"/>
    <w:rsid w:val="784750B5"/>
    <w:rsid w:val="78698CEE"/>
    <w:rsid w:val="79265D11"/>
    <w:rsid w:val="792C17EE"/>
    <w:rsid w:val="79C28288"/>
    <w:rsid w:val="79FD4AD8"/>
    <w:rsid w:val="7A33A3DE"/>
    <w:rsid w:val="7A44AA01"/>
    <w:rsid w:val="7A585167"/>
    <w:rsid w:val="7BCD826B"/>
    <w:rsid w:val="7BCDC774"/>
    <w:rsid w:val="7BE6C7AA"/>
    <w:rsid w:val="7C739CA8"/>
    <w:rsid w:val="7CCBC2DF"/>
    <w:rsid w:val="7CEE2E08"/>
    <w:rsid w:val="7D23DA3E"/>
    <w:rsid w:val="7D24CE0C"/>
    <w:rsid w:val="7D6C5D96"/>
    <w:rsid w:val="7DADDFAC"/>
    <w:rsid w:val="7E940007"/>
    <w:rsid w:val="7E943505"/>
    <w:rsid w:val="7F0CC3E5"/>
    <w:rsid w:val="7F6F9C05"/>
    <w:rsid w:val="7FE9D5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795A"/>
  <w15:chartTrackingRefBased/>
  <w15:docId w15:val="{A41A7DCC-FC7F-4783-B02E-1E9E213E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6DBA9A3C"/>
    <w:rPr>
      <w:color w:val="467886"/>
      <w:u w:val="single"/>
    </w:rPr>
  </w:style>
  <w:style w:type="character" w:styleId="UnresolvedMention">
    <w:name w:val="Unresolved Mention"/>
    <w:basedOn w:val="DefaultParagraphFont"/>
    <w:uiPriority w:val="99"/>
    <w:semiHidden/>
    <w:unhideWhenUsed/>
    <w:rsid w:val="00212D63"/>
    <w:rPr>
      <w:color w:val="605E5C"/>
      <w:shd w:val="clear" w:color="auto" w:fill="E1DFDD"/>
    </w:rPr>
  </w:style>
  <w:style w:type="character" w:styleId="CommentReference">
    <w:name w:val="annotation reference"/>
    <w:basedOn w:val="DefaultParagraphFont"/>
    <w:uiPriority w:val="99"/>
    <w:semiHidden/>
    <w:unhideWhenUsed/>
    <w:rsid w:val="00DE1003"/>
    <w:rPr>
      <w:sz w:val="16"/>
      <w:szCs w:val="16"/>
    </w:rPr>
  </w:style>
  <w:style w:type="paragraph" w:styleId="CommentText">
    <w:name w:val="annotation text"/>
    <w:basedOn w:val="Normal"/>
    <w:link w:val="CommentTextChar"/>
    <w:uiPriority w:val="99"/>
    <w:unhideWhenUsed/>
    <w:rsid w:val="00DE1003"/>
    <w:pPr>
      <w:spacing w:line="240" w:lineRule="auto"/>
    </w:pPr>
    <w:rPr>
      <w:sz w:val="20"/>
      <w:szCs w:val="20"/>
    </w:rPr>
  </w:style>
  <w:style w:type="character" w:customStyle="1" w:styleId="CommentTextChar">
    <w:name w:val="Comment Text Char"/>
    <w:basedOn w:val="DefaultParagraphFont"/>
    <w:link w:val="CommentText"/>
    <w:uiPriority w:val="99"/>
    <w:rsid w:val="00DE1003"/>
    <w:rPr>
      <w:sz w:val="20"/>
      <w:szCs w:val="20"/>
    </w:rPr>
  </w:style>
  <w:style w:type="paragraph" w:styleId="CommentSubject">
    <w:name w:val="annotation subject"/>
    <w:basedOn w:val="CommentText"/>
    <w:next w:val="CommentText"/>
    <w:link w:val="CommentSubjectChar"/>
    <w:uiPriority w:val="99"/>
    <w:semiHidden/>
    <w:unhideWhenUsed/>
    <w:rsid w:val="00DE1003"/>
    <w:rPr>
      <w:b/>
      <w:bCs/>
    </w:rPr>
  </w:style>
  <w:style w:type="character" w:customStyle="1" w:styleId="CommentSubjectChar">
    <w:name w:val="Comment Subject Char"/>
    <w:basedOn w:val="CommentTextChar"/>
    <w:link w:val="CommentSubject"/>
    <w:uiPriority w:val="99"/>
    <w:semiHidden/>
    <w:rsid w:val="00DE1003"/>
    <w:rPr>
      <w:b/>
      <w:bCs/>
      <w:sz w:val="20"/>
      <w:szCs w:val="20"/>
    </w:rPr>
  </w:style>
  <w:style w:type="paragraph" w:styleId="ListParagraph">
    <w:name w:val="List Paragraph"/>
    <w:basedOn w:val="Normal"/>
    <w:uiPriority w:val="34"/>
    <w:qFormat/>
    <w:rsid w:val="1877009B"/>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80E28"/>
    <w:pPr>
      <w:spacing w:after="0" w:line="240" w:lineRule="auto"/>
    </w:pPr>
  </w:style>
  <w:style w:type="character" w:styleId="FollowedHyperlink">
    <w:name w:val="FollowedHyperlink"/>
    <w:basedOn w:val="DefaultParagraphFont"/>
    <w:uiPriority w:val="99"/>
    <w:semiHidden/>
    <w:unhideWhenUsed/>
    <w:rsid w:val="00AB4C9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oi.org/10.56367/OAG-046-11945" TargetMode="External"/><Relationship Id="rId18" Type="http://schemas.openxmlformats.org/officeDocument/2006/relationships/hyperlink" Target="https://doi.org/10.3390/laws13040054"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oi.org/10.1017/S0008197321000568" TargetMode="External"/><Relationship Id="rId7" Type="http://schemas.openxmlformats.org/officeDocument/2006/relationships/settings" Target="settings.xml"/><Relationship Id="rId12" Type="http://schemas.openxmlformats.org/officeDocument/2006/relationships/hyperlink" Target="https://doi.org/10.54050/PRJ23290" TargetMode="External"/><Relationship Id="rId17" Type="http://schemas.openxmlformats.org/officeDocument/2006/relationships/hyperlink" Target="https://doi.org/10.3390/laws13020011"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3390/laws13010005" TargetMode="External"/><Relationship Id="rId20" Type="http://schemas.openxmlformats.org/officeDocument/2006/relationships/hyperlink" Target="https://doi.org/10.32891/jps.v7i2.160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93/clp/cuaf006" TargetMode="External"/><Relationship Id="rId24" Type="http://schemas.openxmlformats.org/officeDocument/2006/relationships/hyperlink" Target="https://creativecommons.org/licenses/by/4.0/" TargetMode="External"/><Relationship Id="rId5" Type="http://schemas.openxmlformats.org/officeDocument/2006/relationships/numbering" Target="numbering.xml"/><Relationship Id="rId15" Type="http://schemas.openxmlformats.org/officeDocument/2006/relationships/hyperlink" Target="https://doi.org/10.3390/laws13040043" TargetMode="External"/><Relationship Id="rId23" Type="http://schemas.openxmlformats.org/officeDocument/2006/relationships/hyperlink" Target="https://doi.org/10.1016/j.alter.2020.07.004" TargetMode="External"/><Relationship Id="rId10" Type="http://schemas.openxmlformats.org/officeDocument/2006/relationships/hyperlink" Target="https://global.oup.com/academic/product/disability-and-international-law-9780197930403?lang=en&amp;cc=gb" TargetMode="External"/><Relationship Id="rId19" Type="http://schemas.openxmlformats.org/officeDocument/2006/relationships/hyperlink" Target="https://doi.org/10.54050/PRJ2122335" TargetMode="External"/><Relationship Id="rId4" Type="http://schemas.openxmlformats.org/officeDocument/2006/relationships/customXml" Target="../customXml/item4.xml"/><Relationship Id="rId9" Type="http://schemas.openxmlformats.org/officeDocument/2006/relationships/hyperlink" Target="http://InclusivePublicSpace.Leeds.ac.uk" TargetMode="External"/><Relationship Id="rId14" Type="http://schemas.openxmlformats.org/officeDocument/2006/relationships/hyperlink" Target="https://doi.org/10.3390/laws14040051" TargetMode="External"/><Relationship Id="rId22" Type="http://schemas.openxmlformats.org/officeDocument/2006/relationships/hyperlink" Target="https://nietsoveronszonderons.nl/wp-content/uploads/2023/08/Toegankelijkheikd-openbare-ruimte-bij-GC2.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c66cb88-db77-4d42-9dc4-fb37066edc24">
      <Terms xmlns="http://schemas.microsoft.com/office/infopath/2007/PartnerControls"/>
    </lcf76f155ced4ddcb4097134ff3c332f>
    <TaxCatchAll xmlns="7cf861dc-a431-4ef3-8baf-d03d54e74a07" xsi:nil="true"/>
    <SharedWithUsers xmlns="7cf861dc-a431-4ef3-8baf-d03d54e74a07">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AEB3905992E54BBAD901A47ED1CA8C" ma:contentTypeVersion="18" ma:contentTypeDescription="Create a new document." ma:contentTypeScope="" ma:versionID="03bc7ff3d261b9269115ab92327f9b33">
  <xsd:schema xmlns:xsd="http://www.w3.org/2001/XMLSchema" xmlns:xs="http://www.w3.org/2001/XMLSchema" xmlns:p="http://schemas.microsoft.com/office/2006/metadata/properties" xmlns:ns2="1c66cb88-db77-4d42-9dc4-fb37066edc24" xmlns:ns3="7cf861dc-a431-4ef3-8baf-d03d54e74a07" targetNamespace="http://schemas.microsoft.com/office/2006/metadata/properties" ma:root="true" ma:fieldsID="283654d55d0e069f80b78e85b3a5a478" ns2:_="" ns3:_="">
    <xsd:import namespace="1c66cb88-db77-4d42-9dc4-fb37066edc24"/>
    <xsd:import namespace="7cf861dc-a431-4ef3-8baf-d03d54e74a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66cb88-db77-4d42-9dc4-fb37066edc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a19cb6-1b10-4512-a12b-f76e45842a2d"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cf861dc-a431-4ef3-8baf-d03d54e74a0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91ac723-6a7a-431d-b784-496353a11c74}" ma:internalName="TaxCatchAll" ma:showField="CatchAllData" ma:web="7cf861dc-a431-4ef3-8baf-d03d54e74a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E725A2-DE3A-4853-83EA-8D13DC7BE049}">
  <ds:schemaRefs>
    <ds:schemaRef ds:uri="http://schemas.openxmlformats.org/officeDocument/2006/bibliography"/>
  </ds:schemaRefs>
</ds:datastoreItem>
</file>

<file path=customXml/itemProps2.xml><?xml version="1.0" encoding="utf-8"?>
<ds:datastoreItem xmlns:ds="http://schemas.openxmlformats.org/officeDocument/2006/customXml" ds:itemID="{A884B30A-3515-473D-A481-28AD45085B8F}">
  <ds:schemaRefs>
    <ds:schemaRef ds:uri="http://schemas.microsoft.com/office/2006/metadata/properties"/>
    <ds:schemaRef ds:uri="http://schemas.microsoft.com/office/infopath/2007/PartnerControls"/>
    <ds:schemaRef ds:uri="1c66cb88-db77-4d42-9dc4-fb37066edc24"/>
    <ds:schemaRef ds:uri="7cf861dc-a431-4ef3-8baf-d03d54e74a07"/>
  </ds:schemaRefs>
</ds:datastoreItem>
</file>

<file path=customXml/itemProps3.xml><?xml version="1.0" encoding="utf-8"?>
<ds:datastoreItem xmlns:ds="http://schemas.openxmlformats.org/officeDocument/2006/customXml" ds:itemID="{89556DC3-DAD3-4909-9BFD-B469E4DBC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66cb88-db77-4d42-9dc4-fb37066edc24"/>
    <ds:schemaRef ds:uri="7cf861dc-a431-4ef3-8baf-d03d54e74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EBB758-7172-4732-9BDF-E577CD9C1A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5</Pages>
  <Words>1267</Words>
  <Characters>7883</Characters>
  <Application>Microsoft Office Word</Application>
  <DocSecurity>0</DocSecurity>
  <Lines>157</Lines>
  <Paragraphs>68</Paragraphs>
  <ScaleCrop>false</ScaleCrop>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Raseta</dc:creator>
  <cp:keywords/>
  <dc:description/>
  <cp:lastModifiedBy>Nick Sheppard</cp:lastModifiedBy>
  <cp:revision>402</cp:revision>
  <dcterms:created xsi:type="dcterms:W3CDTF">2025-05-09T20:09:00Z</dcterms:created>
  <dcterms:modified xsi:type="dcterms:W3CDTF">2026-08-19T12:59:00Z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0x01010068AEB3905992E54BBAD901A47ED1CA8C</vt:lpwstr>
  </property>
  <property fmtid="{D5CDD505-2E9C-101B-9397-08002B2CF9AE}" pid="3" name="MediaServiceImageTags">
    <vt:lpwstr/>
  </property>
  <property fmtid="{D5CDD505-2E9C-101B-9397-08002B2CF9AE}" pid="4" name="Order">
    <vt:r8>10562200</vt:r8>
  </property>
  <property fmtid="{D5CDD505-2E9C-101B-9397-08002B2CF9AE}" pid="5" name="TriggerFlowInfo">
    <vt:lpwstr/>
  </property>
  <property fmtid="{D5CDD505-2E9C-101B-9397-08002B2CF9AE}" pid="6" name="ComplianceAssetId">
    <vt:lpwstr/>
  </property>
  <property fmtid="{D5CDD505-2E9C-101B-9397-08002B2CF9AE}" pid="7" name="_ExtendedDescription">
    <vt:lpwstr/>
  </property>
  <property fmtid="{D5CDD505-2E9C-101B-9397-08002B2CF9AE}" pid="8" name="docLang">
    <vt:lpwstr>en</vt:lpwstr>
  </property>
</Properties>
</file>