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27594" w14:textId="6442121E" w:rsidR="001C2C4A" w:rsidRPr="002A65B0" w:rsidRDefault="001C2C4A" w:rsidP="00756134">
      <w:pPr>
        <w:pStyle w:val="Title"/>
      </w:pPr>
      <w:r w:rsidRPr="002A65B0">
        <w:t xml:space="preserve">Inclusive Public Space Project: Legal Report </w:t>
      </w:r>
    </w:p>
    <w:p w14:paraId="67658DFF" w14:textId="77777777" w:rsidR="001C2C4A" w:rsidRPr="002A65B0" w:rsidRDefault="001C2C4A" w:rsidP="001C2C4A"/>
    <w:p w14:paraId="3E056AAB" w14:textId="77777777" w:rsidR="001C2C4A" w:rsidRPr="002A65B0" w:rsidRDefault="001C2C4A" w:rsidP="001C2C4A">
      <w:pPr>
        <w:ind w:firstLine="0"/>
      </w:pPr>
      <w:r w:rsidRPr="002A65B0">
        <w:rPr>
          <w:rStyle w:val="Heading3Char"/>
        </w:rPr>
        <w:t>Country</w:t>
      </w:r>
      <w:r w:rsidRPr="002A65B0">
        <w:t>: United Kingdom</w:t>
      </w:r>
    </w:p>
    <w:p w14:paraId="28F0E2DE" w14:textId="39754691" w:rsidR="0055080A" w:rsidRPr="002A65B0" w:rsidRDefault="001C2C4A" w:rsidP="004B4425">
      <w:pPr>
        <w:ind w:firstLine="0"/>
      </w:pPr>
      <w:r w:rsidRPr="002A65B0">
        <w:rPr>
          <w:rStyle w:val="Heading3Char"/>
        </w:rPr>
        <w:t>Authors</w:t>
      </w:r>
      <w:r w:rsidRPr="002A65B0">
        <w:t>: Maria Orchard</w:t>
      </w:r>
      <w:r w:rsidR="0055080A">
        <w:t xml:space="preserve"> and</w:t>
      </w:r>
      <w:r w:rsidRPr="002A65B0">
        <w:t xml:space="preserve"> Anna Lawso</w:t>
      </w:r>
      <w:r w:rsidR="0055080A">
        <w:t xml:space="preserve">n, </w:t>
      </w:r>
      <w:r w:rsidR="00F03B31">
        <w:t>w</w:t>
      </w:r>
      <w:r w:rsidR="0055080A">
        <w:t>ith support from Ieva Eskyte and Elizabeth Andrews</w:t>
      </w:r>
    </w:p>
    <w:p w14:paraId="2A4BC4CF" w14:textId="11C51152" w:rsidR="001C2C4A" w:rsidRDefault="001C2C4A" w:rsidP="00F03B31">
      <w:pPr>
        <w:ind w:firstLine="0"/>
      </w:pPr>
      <w:r w:rsidRPr="002A65B0">
        <w:rPr>
          <w:rStyle w:val="Heading3Char"/>
        </w:rPr>
        <w:t>Contact email addresses</w:t>
      </w:r>
      <w:r w:rsidRPr="002A65B0">
        <w:t xml:space="preserve">: M.Orchard@leeds.ac.uk; A.M.M.Lawson@leeds.ac.uk </w:t>
      </w:r>
    </w:p>
    <w:p w14:paraId="5036247F" w14:textId="35FD8CB4" w:rsidR="00F03B31" w:rsidRDefault="004B4425" w:rsidP="00F03B31">
      <w:pPr>
        <w:ind w:firstLine="0"/>
      </w:pPr>
      <w:r w:rsidRPr="004B4425">
        <w:rPr>
          <w:b/>
          <w:bCs/>
        </w:rPr>
        <w:t xml:space="preserve">Last updated: </w:t>
      </w:r>
      <w:r>
        <w:t>April 2020</w:t>
      </w:r>
    </w:p>
    <w:p w14:paraId="1990C3A3" w14:textId="77777777" w:rsidR="004B4425" w:rsidRPr="002A65B0" w:rsidRDefault="004B4425" w:rsidP="00F03B31">
      <w:pPr>
        <w:ind w:firstLine="0"/>
      </w:pPr>
    </w:p>
    <w:p w14:paraId="5E1B3A5F" w14:textId="4822EE55" w:rsidR="001C2C4A" w:rsidRPr="002A65B0" w:rsidRDefault="001C2C4A" w:rsidP="00104411">
      <w:pPr>
        <w:pStyle w:val="Heading1"/>
      </w:pPr>
      <w:r w:rsidRPr="002A65B0">
        <w:t>A Context</w:t>
      </w:r>
    </w:p>
    <w:p w14:paraId="7F1E16AE" w14:textId="7AB81529" w:rsidR="00F03B31" w:rsidRDefault="001C2C4A" w:rsidP="00F03B31">
      <w:pPr>
        <w:pStyle w:val="Heading2"/>
      </w:pPr>
      <w:r w:rsidRPr="002A65B0">
        <w:t>A1 Constitutional and Legal System</w:t>
      </w:r>
    </w:p>
    <w:p w14:paraId="662969F5" w14:textId="53071229" w:rsidR="0019789C" w:rsidRPr="002A65B0" w:rsidRDefault="001C2C4A" w:rsidP="009D15FF">
      <w:r w:rsidRPr="002A65B0">
        <w:t xml:space="preserve">The United Kingdom of Great Britain and Northern Ireland (UK) is a union of four countries: England, Wales and Scotland – which form Great Britain – and Northern Ireland. The UK follows a process known as devolution, ie a system of government which allows decisions to be devolved to a more local level. Thus, in the UK, there are separate legislatures and executives in Scotland, Wales and Northern Ireland. In some situations, these bodies have the power to make laws and deliver public services </w:t>
      </w:r>
      <w:r w:rsidR="002C3E44" w:rsidRPr="002A65B0">
        <w:t>(ie devolved powers or matters),</w:t>
      </w:r>
      <w:r w:rsidRPr="002A65B0">
        <w:t xml:space="preserve"> but the UK Parliament and UK Government retain some powers across the whole of the UK (ie re</w:t>
      </w:r>
      <w:bookmarkStart w:id="0" w:name="_GoBack"/>
      <w:bookmarkEnd w:id="0"/>
      <w:r w:rsidRPr="002A65B0">
        <w:t>served powers or matters).</w:t>
      </w:r>
      <w:r w:rsidR="0019789C" w:rsidRPr="002A65B0">
        <w:rPr>
          <w:rStyle w:val="FootnoteReference"/>
          <w:szCs w:val="24"/>
        </w:rPr>
        <w:footnoteReference w:id="1"/>
      </w:r>
      <w:r w:rsidR="0019789C" w:rsidRPr="002A65B0">
        <w:t xml:space="preserve"> Broadly speaking, the following powers are devolved in Scotland, Wales and Northern Ireland: health and social care; education and training; local government and housing; agriculture; forestry and fisheries; the environment and planning; tourism; sport and heritage; economic development and internal transport. Other powers are reserved, and thus the responsibility of the UK Government: the constitution; international relations, treaties and defence; national security; nationality and immigration; broadcasting; the UK tax system, and (except in relation to Northern Ireland) equalities legislation.</w:t>
      </w:r>
      <w:r w:rsidR="0019789C" w:rsidRPr="002A65B0">
        <w:rPr>
          <w:rStyle w:val="FootnoteReference"/>
          <w:szCs w:val="24"/>
        </w:rPr>
        <w:footnoteReference w:id="2"/>
      </w:r>
      <w:r w:rsidR="0019789C" w:rsidRPr="002A65B0">
        <w:t xml:space="preserve"> Accordingly, some topics discussed in this report are devolved matters and will thus fall within the law of devolved systems, whereas reserved matters are dealt with at Westminster and have UK-wide relevance. </w:t>
      </w:r>
    </w:p>
    <w:p w14:paraId="1120CCDE" w14:textId="326020DD" w:rsidR="0019789C" w:rsidRPr="002A65B0" w:rsidRDefault="0019789C" w:rsidP="00AF50CC"/>
    <w:p w14:paraId="53EA16F0" w14:textId="5B7D4238" w:rsidR="0019789C" w:rsidRPr="002A65B0" w:rsidRDefault="0019789C" w:rsidP="00AF50CC">
      <w:r w:rsidRPr="002A65B0">
        <w:lastRenderedPageBreak/>
        <w:t>Beyond the level of the four UK nations, certain powers and responsibilities are also granted to local government. The Localism Act 2011, for instance, contains a range of measures ‘to devolve more powers to councils and neighbourhoods and give local communities greater control over local decisions like housing and planning.’</w:t>
      </w:r>
      <w:r w:rsidRPr="002A65B0">
        <w:rPr>
          <w:rStyle w:val="FootnoteReference"/>
          <w:szCs w:val="24"/>
        </w:rPr>
        <w:footnoteReference w:id="3"/>
      </w:r>
    </w:p>
    <w:p w14:paraId="5DD2BEC2" w14:textId="77777777" w:rsidR="0019789C" w:rsidRPr="002A65B0" w:rsidRDefault="0019789C" w:rsidP="00AF50CC"/>
    <w:p w14:paraId="78ED01BF" w14:textId="77777777" w:rsidR="0019789C" w:rsidRPr="002A65B0" w:rsidRDefault="0019789C" w:rsidP="00AF50CC">
      <w:r w:rsidRPr="002A65B0">
        <w:t>There are three legal systems in the UK: English law, which applies in England and Wales;</w:t>
      </w:r>
      <w:r w:rsidRPr="002A65B0">
        <w:rPr>
          <w:rStyle w:val="FootnoteReference"/>
          <w:szCs w:val="24"/>
        </w:rPr>
        <w:footnoteReference w:id="4"/>
      </w:r>
      <w:r w:rsidRPr="002A65B0">
        <w:t xml:space="preserve"> Northern Irish law;</w:t>
      </w:r>
      <w:r w:rsidRPr="002A65B0">
        <w:rPr>
          <w:rStyle w:val="FootnoteReference"/>
          <w:szCs w:val="24"/>
        </w:rPr>
        <w:footnoteReference w:id="5"/>
      </w:r>
      <w:r w:rsidRPr="002A65B0">
        <w:t xml:space="preserve"> and Scots law.</w:t>
      </w:r>
      <w:r w:rsidRPr="002A65B0">
        <w:rPr>
          <w:rStyle w:val="FootnoteReference"/>
          <w:szCs w:val="24"/>
        </w:rPr>
        <w:footnoteReference w:id="6"/>
      </w:r>
      <w:r w:rsidRPr="002A65B0">
        <w:t xml:space="preserve"> English and Northern Irish law are common law systems in which the doctrine of precedent plays an important role. Scots law, by contrast, is based on civil law principles, although it also incorporates elements of common law and is thus a mixed system. While each system has its own court structure, the highest appellate court for civil cases, in all three legal systems, is the Supreme Court – created by the Constitutional Reform Act 2005. </w:t>
      </w:r>
    </w:p>
    <w:p w14:paraId="37690475" w14:textId="77777777" w:rsidR="0019789C" w:rsidRPr="002A65B0" w:rsidRDefault="0019789C" w:rsidP="00AF50CC"/>
    <w:p w14:paraId="52DCD0F3" w14:textId="152FB2D8" w:rsidR="0019789C" w:rsidRPr="002A65B0" w:rsidRDefault="0019789C" w:rsidP="00AF50CC">
      <w:r w:rsidRPr="002A65B0">
        <w:t>The UK does not have a written constitution but has an unwritten one based on a strong system of parliamentary conventions. It adopts a dualist approach to international law. This means that international treaties ratified by the UK government are not directly enforceable in domestic courts. They can, however, be taken into account as interpretive guides in cases where the law is unclear. Where such treaties are incorporated into domestic law through legislation, however, they have the same effect as domestic law and can be enforced in the courts in line with the incorporating legislation. The only relevant international agreements which have been incorporated into domestic law are the European Convention on Human Rights (incorporated by the Human Rights Act 1998 (HRA)) and the treaties of the European Union (incorporated by the European Communities Act 1972)</w:t>
      </w:r>
      <w:r w:rsidRPr="002A65B0">
        <w:rPr>
          <w:rStyle w:val="FootnoteReference"/>
          <w:szCs w:val="24"/>
        </w:rPr>
        <w:footnoteReference w:id="7"/>
      </w:r>
      <w:r w:rsidRPr="002A65B0">
        <w:t xml:space="preserve"> – although it should be noted from the outset that the effect of Brexit is to withdraw the UK from this latter treaty. A few more words will be said about each.</w:t>
      </w:r>
    </w:p>
    <w:p w14:paraId="62032F7C" w14:textId="6DE7C0B0" w:rsidR="0019789C" w:rsidRPr="002A65B0" w:rsidRDefault="0019789C" w:rsidP="00AF50CC"/>
    <w:p w14:paraId="17166518" w14:textId="11D106E3" w:rsidR="0019789C" w:rsidRPr="002A65B0" w:rsidRDefault="0019789C" w:rsidP="00AF50CC">
      <w:r w:rsidRPr="002A65B0">
        <w:lastRenderedPageBreak/>
        <w:t>The HRA applies to public authorities and other bodies carrying out public functions.</w:t>
      </w:r>
      <w:r w:rsidRPr="002A65B0">
        <w:rPr>
          <w:rStyle w:val="FootnoteReference"/>
          <w:szCs w:val="24"/>
        </w:rPr>
        <w:footnoteReference w:id="8"/>
      </w:r>
      <w:r w:rsidRPr="002A65B0">
        <w:t xml:space="preserve"> This includes law enforcement authorities, courts and tribunals, central and local government departments. The HRA’s incorporation of the ECHR allows service users to hold public authorities accountable for rights violations in domestic courts, instead of having to take cases to the European Court of Human Rights (ECtHR). Although</w:t>
      </w:r>
      <w:r>
        <w:t xml:space="preserve"> </w:t>
      </w:r>
      <w:r w:rsidRPr="002A65B0">
        <w:t>the provisions of the HRA largely mirror those of the ECHR, there are a number of important differences. For example, the HRA does not contain any provision reflecting the ECHR’s Art 1 (obligation to respect human rights) or Art 13 (right to an effective remedy). This is because the enactment of the HRA itself fulfils these rights: the HRA is the main way of securing ECHR rights in the UK legal system (Art 1), and it is designed to ensure access to a court if one’s rights are violated (Art 13). When taken together, Arts 1 and 13 task national authorities and courts with preventing violations of the ECHR and</w:t>
      </w:r>
      <w:r>
        <w:t xml:space="preserve"> </w:t>
      </w:r>
      <w:r w:rsidRPr="002A65B0">
        <w:t>with examining and correcting any violations.</w:t>
      </w:r>
      <w:bookmarkStart w:id="1" w:name="_Ref32910661"/>
      <w:r w:rsidRPr="002A65B0">
        <w:rPr>
          <w:rStyle w:val="FootnoteReference"/>
          <w:szCs w:val="24"/>
        </w:rPr>
        <w:footnoteReference w:id="9"/>
      </w:r>
      <w:bookmarkEnd w:id="1"/>
      <w:r w:rsidRPr="002A65B0">
        <w:t xml:space="preserve"> HRA cases are brought to domestic UK courts through the common law procedure of judicial review.</w:t>
      </w:r>
      <w:r w:rsidRPr="002A65B0">
        <w:rPr>
          <w:rStyle w:val="FootnoteReference"/>
          <w:szCs w:val="24"/>
        </w:rPr>
        <w:footnoteReference w:id="10"/>
      </w:r>
      <w:r w:rsidRPr="002A65B0">
        <w:t xml:space="preserve"> The option of petitioning the ECtHR under Art 13 remains available, should it not be possible to obtain an adequate remedy through domestic courts. In line with the principle of subsidiarity, however, an application to the ECtHR is intended to be a measure of last resort.</w:t>
      </w:r>
      <w:r w:rsidRPr="002A65B0">
        <w:rPr>
          <w:rStyle w:val="FootnoteReference"/>
          <w:szCs w:val="24"/>
        </w:rPr>
        <w:footnoteReference w:id="11"/>
      </w:r>
      <w:r w:rsidRPr="002A65B0">
        <w:t xml:space="preserve"> Finally, it should be noted that the Supreme Court has suggested that the ECHR and ECtHR case law provide minimum standards for rights protection in the UK</w:t>
      </w:r>
      <w:r w:rsidRPr="002A65B0">
        <w:rPr>
          <w:rStyle w:val="FootnoteReference"/>
          <w:szCs w:val="24"/>
        </w:rPr>
        <w:footnoteReference w:id="12"/>
      </w:r>
      <w:r w:rsidRPr="002A65B0">
        <w:t xml:space="preserve"> – thus operating as a ‘floor’ rather than a ‘ceiling’.</w:t>
      </w:r>
    </w:p>
    <w:p w14:paraId="0423B515" w14:textId="68E6A27F" w:rsidR="0019789C" w:rsidRPr="002A65B0" w:rsidRDefault="0019789C" w:rsidP="00AF50CC"/>
    <w:p w14:paraId="72F4C0FE" w14:textId="129A996C" w:rsidR="0019789C" w:rsidRPr="002A65B0" w:rsidRDefault="0019789C" w:rsidP="00AF50CC">
      <w:r w:rsidRPr="002A65B0">
        <w:t>As regards the EU, the UK became the first country to leave this Union – in January 2020. The full implications of this departure still remain unclear as much will depend on the nature of the future relationship between the EU and the UK, which has not yet been agreed.</w:t>
      </w:r>
    </w:p>
    <w:p w14:paraId="2745DB52" w14:textId="3DFB99D4" w:rsidR="0019789C" w:rsidRPr="002A65B0" w:rsidRDefault="0019789C" w:rsidP="00AF50CC"/>
    <w:p w14:paraId="5B1C449E" w14:textId="77777777" w:rsidR="0019789C" w:rsidRPr="002A65B0" w:rsidRDefault="0019789C" w:rsidP="001C2C4A">
      <w:pPr>
        <w:rPr>
          <w:szCs w:val="24"/>
        </w:rPr>
      </w:pPr>
    </w:p>
    <w:p w14:paraId="59039CCB" w14:textId="0310BA43" w:rsidR="0019789C" w:rsidRPr="00F03B31" w:rsidRDefault="0019789C" w:rsidP="00F03B31">
      <w:pPr>
        <w:pStyle w:val="Heading2"/>
      </w:pPr>
      <w:r w:rsidRPr="002A65B0">
        <w:t>A2 International Commitments</w:t>
      </w:r>
    </w:p>
    <w:p w14:paraId="7AA301D7" w14:textId="77777777" w:rsidR="0019789C" w:rsidRPr="002A65B0" w:rsidRDefault="0019789C" w:rsidP="0040135A">
      <w:pPr>
        <w:pStyle w:val="Heading3"/>
      </w:pPr>
      <w:r w:rsidRPr="002A65B0">
        <w:t>A2.1 UN Convention on the Rights of Persons with Disabilities</w:t>
      </w:r>
    </w:p>
    <w:p w14:paraId="21FA871F" w14:textId="5AA0A46D" w:rsidR="0019789C" w:rsidRPr="002A65B0" w:rsidRDefault="0019789C" w:rsidP="00AF50CC">
      <w:pPr>
        <w:rPr>
          <w:rFonts w:eastAsia="Arial"/>
        </w:rPr>
      </w:pPr>
      <w:r w:rsidRPr="002A65B0">
        <w:rPr>
          <w:rFonts w:eastAsia="Arial"/>
        </w:rPr>
        <w:t xml:space="preserve">The UK government signed the Convention on the Rights of Persons with Disabilities on 30 February 2007 and ratified it on 8 June 2009. It signed the Optional Protocol on 26 February 2009 and ratified it on 7 August 2009. </w:t>
      </w:r>
      <w:r w:rsidRPr="002A65B0">
        <w:t xml:space="preserve">It entered reservations which have no direct relevance to issues of pedestrian access to streets (including non-discrimination and access to justice in this context). </w:t>
      </w:r>
      <w:r w:rsidRPr="002A65B0">
        <w:rPr>
          <w:rFonts w:eastAsia="Arial"/>
        </w:rPr>
        <w:t>A reservation was entered against Article 27 (concerning equal treatment obligations for employment and occupation in the armed forces); Article 24(2) (reserving the right to educate disabled children 'outside their local community where more appropriate educational provision is available elsewhere' and recognising parental preference); and Article 18 (reserving the right to regulate the entry into, staying in and departure from the UK of people without a right to enter or remain in the country). It also entered a Declaration against Article 24(2) asserting that it understands Article 24 to permit ‘the General Education System’ to include ‘mainstream and special schools’.</w:t>
      </w:r>
    </w:p>
    <w:p w14:paraId="5FD0BE57" w14:textId="77777777" w:rsidR="0019789C" w:rsidRPr="002A65B0" w:rsidRDefault="0019789C" w:rsidP="00AF50CC">
      <w:pPr>
        <w:rPr>
          <w:rFonts w:eastAsia="Arial"/>
        </w:rPr>
      </w:pPr>
    </w:p>
    <w:p w14:paraId="3AB860B6" w14:textId="580CA2F2" w:rsidR="0019789C" w:rsidRPr="002A65B0" w:rsidRDefault="0019789C" w:rsidP="00AF50CC">
      <w:r w:rsidRPr="002A65B0">
        <w:t>The Office for Disability Issues (ODI), based in the Department for Work and Pensions, was originally designated as</w:t>
      </w:r>
      <w:r>
        <w:t xml:space="preserve"> </w:t>
      </w:r>
      <w:r w:rsidRPr="002A65B0">
        <w:t>the UK government focal point, required by Art 33 of the CRPD. In November 2019, however, the ODI was replaced by the new Disability Unit in the Cabinet Office. Since 2018 the ODI, and now presumably the Disability Unit, supports an Inter-Ministerial Group on Disability and Society, which aims to ensure that there is co-ordination across government departments on disability strategy and initiatives. The Disability Unit must also work with the focal points in the devolved governments on CRPD issues – ie the Equality Unit in Scotland, the Executive Office in Northern Ireland and the Equality, Diversity and Inclusion Division in Wales. Together they make up the co-ordination mechanism. The UK’s four UK equality and human rights commissions have together been designated as the independent monitoring and reporting framework required by Article 33(2) of t</w:t>
      </w:r>
      <w:r>
        <w:t>he Convention –</w:t>
      </w:r>
      <w:r w:rsidRPr="002A65B0">
        <w:t xml:space="preserve"> the UK Independent Mechanism (UKIM). These bodies are the Equality and Human Rights Commission, the Northern Ireland Human Rights Commission, the Equality Commission Northern Ireland and the Scottish Human Rights Commission.</w:t>
      </w:r>
    </w:p>
    <w:p w14:paraId="7A6DFF66" w14:textId="77777777" w:rsidR="0019789C" w:rsidRPr="002A65B0" w:rsidRDefault="0019789C" w:rsidP="00AF50CC"/>
    <w:p w14:paraId="68EBDD1F" w14:textId="77777777" w:rsidR="0019789C" w:rsidRPr="002A65B0" w:rsidRDefault="0019789C" w:rsidP="00AF50CC">
      <w:r w:rsidRPr="002A65B0">
        <w:t>In the CRPD Committee’s concluding observations on the UK’s initial report in October 2017, the Committee expressed concerns about Article 9, stating that:</w:t>
      </w:r>
    </w:p>
    <w:p w14:paraId="3B8ECBD9" w14:textId="77777777" w:rsidR="0019789C" w:rsidRPr="002A65B0" w:rsidRDefault="0019789C" w:rsidP="001C2C4A">
      <w:pPr>
        <w:pStyle w:val="Quote"/>
      </w:pPr>
      <w:r w:rsidRPr="002A65B0">
        <w:lastRenderedPageBreak/>
        <w:t>The Committee is concerned by the insufficient scope, content and number of obligatory and implemented accessible standards relating to, among others, the physical environment … transport and information in urban and rural areas. It is also concerned that austerity measures have hindered the advancement of accessibility for persons with disabilities.</w:t>
      </w:r>
      <w:r w:rsidRPr="002A65B0">
        <w:rPr>
          <w:rStyle w:val="FootnoteReference"/>
        </w:rPr>
        <w:footnoteReference w:id="13"/>
      </w:r>
    </w:p>
    <w:p w14:paraId="702F18A6" w14:textId="77777777" w:rsidR="0019789C" w:rsidRPr="002A65B0" w:rsidRDefault="0019789C" w:rsidP="00AF50CC">
      <w:pPr>
        <w:ind w:firstLine="0"/>
      </w:pPr>
      <w:r w:rsidRPr="002A65B0">
        <w:t>Accordingly, the Committee recommended that the UK, in close collaboration with DPOs identify ‘outstanding gaps across the State party in terms of obligatory accessibility standards in all areas of the Convention, among others the design of affordable and accessible physical environments, … information formats and transport infrastructure, including … green and public spaces in both urban and rural areas’; attend ‘to the links between article 9 of the Convention and the Committee’s general comment No. 2 (2014) on accessibility, and targets 9, 11.2 and 11.7 of the Sustainable Development Goals’; and that it ensure that accessibility standards are met ‘[m]onitor the development towards full inclusion through accessibility and sanction violations of accessibility regulations’.</w:t>
      </w:r>
      <w:r w:rsidRPr="002A65B0">
        <w:rPr>
          <w:rStyle w:val="FootnoteReference"/>
        </w:rPr>
        <w:footnoteReference w:id="14"/>
      </w:r>
      <w:r w:rsidRPr="002A65B0">
        <w:t xml:space="preserve"> </w:t>
      </w:r>
    </w:p>
    <w:p w14:paraId="59D189D2" w14:textId="77777777" w:rsidR="0019789C" w:rsidRPr="002A65B0" w:rsidRDefault="0019789C" w:rsidP="00AF50CC"/>
    <w:p w14:paraId="56A11E52" w14:textId="77777777" w:rsidR="0019789C" w:rsidRPr="002A65B0" w:rsidRDefault="0019789C" w:rsidP="00AF50CC">
      <w:r w:rsidRPr="002A65B0">
        <w:t>The Committee also expressed concern about the UK’s implementation of Article 13 on access to justice. It expressed concern, in particular, about the ‘barriers faced by persons with disabilities in accessing civil legal aid as a consequence of the Legal Aid, Sentencing and Punishment of Offenders Act 2012 in England and Wales’.</w:t>
      </w:r>
      <w:r w:rsidRPr="002A65B0">
        <w:rPr>
          <w:rStyle w:val="FootnoteReference"/>
        </w:rPr>
        <w:footnoteReference w:id="15"/>
      </w:r>
      <w:r w:rsidRPr="002A65B0">
        <w:t xml:space="preserve"> </w:t>
      </w:r>
    </w:p>
    <w:p w14:paraId="4485779D" w14:textId="77777777" w:rsidR="0019789C" w:rsidRPr="002A65B0" w:rsidRDefault="0019789C" w:rsidP="00AF50CC">
      <w:pPr>
        <w:ind w:firstLine="0"/>
      </w:pPr>
    </w:p>
    <w:p w14:paraId="0969C84B" w14:textId="77777777" w:rsidR="0019789C" w:rsidRPr="002A65B0" w:rsidRDefault="0019789C" w:rsidP="001C2C4A">
      <w:pPr>
        <w:pStyle w:val="Heading3"/>
      </w:pPr>
      <w:r w:rsidRPr="002A65B0">
        <w:t>A2.2 UN Sustainable Development Goals</w:t>
      </w:r>
    </w:p>
    <w:p w14:paraId="331A1AEF" w14:textId="58A12D7C" w:rsidR="0019789C" w:rsidRPr="002A65B0" w:rsidRDefault="0019789C" w:rsidP="001C2C4A">
      <w:r w:rsidRPr="002A65B0">
        <w:t>In March 2017, the UK government outlined its broad approach to implementing the SDGs both domestically within the UK and also internationally through development programmes</w:t>
      </w:r>
      <w:r w:rsidRPr="002A65B0">
        <w:rPr>
          <w:rStyle w:val="FootnoteReference"/>
        </w:rPr>
        <w:footnoteReference w:id="16"/>
      </w:r>
      <w:r w:rsidRPr="002A65B0">
        <w:t>; and provided more detail in December 2017.</w:t>
      </w:r>
      <w:r w:rsidRPr="002A65B0">
        <w:rPr>
          <w:rStyle w:val="FootnoteReference"/>
        </w:rPr>
        <w:footnoteReference w:id="17"/>
      </w:r>
      <w:r w:rsidRPr="002A65B0">
        <w:t xml:space="preserve"> Particular government </w:t>
      </w:r>
      <w:r w:rsidRPr="002A65B0">
        <w:lastRenderedPageBreak/>
        <w:t>departments have responsibility for taking forward the UK’s work on particular goals. Thus, the Ministry for Communities, Housing and Local Government has responsibility for Goal 11 on Sustainable Cities and Communities which includes Target 11.7 – to ‘provide universal access to safe, inclusive and accessible, green and public spaces, in particular for women and children, older persons and persons with disabilities’. The overall UK approach to the SDGs, however, is coordinated and led by the Department for International Development. According to a recent House of Commons Library report, ‘[t]here has been a widespread view in Parliament and civil society that this should not be the case, given that it is not qualified to do so on the domestic front.’</w:t>
      </w:r>
      <w:r w:rsidRPr="002A65B0">
        <w:rPr>
          <w:rStyle w:val="FootnoteReference"/>
        </w:rPr>
        <w:footnoteReference w:id="18"/>
      </w:r>
      <w:r w:rsidRPr="002A65B0">
        <w:t xml:space="preserve"> </w:t>
      </w:r>
    </w:p>
    <w:p w14:paraId="0B881B78" w14:textId="77777777" w:rsidR="0019789C" w:rsidRPr="002A65B0" w:rsidRDefault="0019789C" w:rsidP="001C2C4A"/>
    <w:p w14:paraId="7F92797F" w14:textId="77777777" w:rsidR="0019789C" w:rsidRPr="002A65B0" w:rsidRDefault="0019789C" w:rsidP="001C2C4A">
      <w:r w:rsidRPr="002A65B0">
        <w:t>In June 2019 the UK government published its Voluntary National Review of its progress toward the SDGs,</w:t>
      </w:r>
      <w:r w:rsidRPr="002A65B0">
        <w:rPr>
          <w:rStyle w:val="FootnoteReference"/>
        </w:rPr>
        <w:footnoteReference w:id="19"/>
      </w:r>
      <w:r w:rsidRPr="002A65B0">
        <w:t xml:space="preserve"> which was presented to the UN High Level Political Forum in July 2019. This sets out ‘key challenges and actionable next steps’ for each goal. In relation to Goal 11, the main challenges were affordable housing, homelessness and inclusive communities, with the latter point focusing on integrated communities and only a brief mention of the effort to ‘create shared and inclusive spaces’ in Northern Ireland.</w:t>
      </w:r>
      <w:r w:rsidRPr="002A65B0">
        <w:rPr>
          <w:rStyle w:val="FootnoteReference"/>
        </w:rPr>
        <w:footnoteReference w:id="20"/>
      </w:r>
    </w:p>
    <w:p w14:paraId="314BF21A" w14:textId="77777777" w:rsidR="0019789C" w:rsidRPr="002A65B0" w:rsidRDefault="0019789C" w:rsidP="001C2C4A"/>
    <w:p w14:paraId="499397C0" w14:textId="1D572E4B" w:rsidR="0019789C" w:rsidRPr="002A65B0" w:rsidRDefault="0019789C" w:rsidP="001C2C4A">
      <w:r w:rsidRPr="002A65B0">
        <w:t xml:space="preserve">The five Goals on which the UN focused in its 2019 reviews of progress were Goal 4 (education); Goal 8 (work and economic growth); Goal 10 (reduced inequalities); Goal 13 (climate action); and Goal 16 (peace and justice). Of these, Goals 10 and 16 have most relevance to issues of making street environments inclusive and establishing effective legal machinery to promote this and enable redress in the case of failure. </w:t>
      </w:r>
    </w:p>
    <w:p w14:paraId="3E318574" w14:textId="77777777" w:rsidR="0019789C" w:rsidRPr="002A65B0" w:rsidRDefault="0019789C" w:rsidP="001C2C4A"/>
    <w:p w14:paraId="0CD991C7" w14:textId="77777777" w:rsidR="0019789C" w:rsidRPr="002A65B0" w:rsidRDefault="0019789C" w:rsidP="001C2C4A">
      <w:r w:rsidRPr="002A65B0">
        <w:t>In the UK’s Voluntary National Review, the challenges and next steps for Goal 10 included ‘tackling prejudices in communities’ and the 2018 establishment of an Inter-Ministerial Group on Disability and Society, intended ‘to drive forward action across government to tackle the barriers disabled people face to full inclusion.’</w:t>
      </w:r>
      <w:r w:rsidRPr="002A65B0">
        <w:rPr>
          <w:rStyle w:val="FootnoteReference"/>
        </w:rPr>
        <w:footnoteReference w:id="21"/>
      </w:r>
      <w:r w:rsidRPr="002A65B0">
        <w:t xml:space="preserve"> Disability was also mentioned in the aim of ‘addressing intersectionality between inequalities, namely doing more to connect LGBT and gender equality actions with work being done to reduce </w:t>
      </w:r>
      <w:r w:rsidRPr="002A65B0">
        <w:lastRenderedPageBreak/>
        <w:t>disparities for other groups, such as disabled persons.</w:t>
      </w:r>
      <w:r w:rsidRPr="002A65B0">
        <w:rPr>
          <w:rStyle w:val="FootnoteReference"/>
        </w:rPr>
        <w:footnoteReference w:id="22"/>
      </w:r>
      <w:r w:rsidRPr="002A65B0">
        <w:t xml:space="preserve"> Lastly, the government noted its investment in access to services and opportunities for the ‘most vulnerable’, supporting ‘disaggregated data and increased research and evidence about the causes and consequences of extreme poverty, exclusion, violence and discrimination.’</w:t>
      </w:r>
      <w:r w:rsidRPr="002A65B0">
        <w:rPr>
          <w:rStyle w:val="FootnoteReference"/>
        </w:rPr>
        <w:footnoteReference w:id="23"/>
      </w:r>
    </w:p>
    <w:p w14:paraId="11BA4295" w14:textId="77777777" w:rsidR="0019789C" w:rsidRPr="002A65B0" w:rsidRDefault="0019789C" w:rsidP="001C2C4A"/>
    <w:p w14:paraId="5686217A" w14:textId="6622FA27" w:rsidR="0019789C" w:rsidRPr="002A65B0" w:rsidRDefault="0019789C" w:rsidP="00AF50CC">
      <w:r w:rsidRPr="002A65B0">
        <w:t>In relation to Goal 16, the UK’s Voluntary National Review included reflection on ‘Leave No One Behind’, a core principle of the Goals, which involves ensuring that: ‘every person has a fair opportunity in life no matter who or where they are; people who are furthest behind, who have least opportunity, and who are the most excluded are prioritised; and every person counts and will be counted.’</w:t>
      </w:r>
      <w:r w:rsidRPr="002A65B0">
        <w:rPr>
          <w:rStyle w:val="FootnoteReference"/>
        </w:rPr>
        <w:footnoteReference w:id="24"/>
      </w:r>
      <w:r w:rsidRPr="002A65B0">
        <w:t xml:space="preserve"> Unfortunately, delivering the promise to ‘Leave No One Behind’ remains a key challenge – particularly for disabled people, who often still face stigma and experience discrimination.</w:t>
      </w:r>
      <w:r w:rsidRPr="002A65B0">
        <w:rPr>
          <w:rStyle w:val="FootnoteReference"/>
        </w:rPr>
        <w:footnoteReference w:id="25"/>
      </w:r>
      <w:r w:rsidRPr="002A65B0">
        <w:t xml:space="preserve"> As evidence of steps taken, the report referenced the increase in funding in 2018 to expand the reach of the Disability Catalyst Programme, which supports disabled people and DPOs in advocating for their rights. For development issues, the VNR mentions that the 2018 Disability Summit led to a set of ambitious commitments from governments and organisations to use development initiatives to give disabled people greater rights.</w:t>
      </w:r>
      <w:r w:rsidRPr="002A65B0">
        <w:rPr>
          <w:rStyle w:val="FootnoteReference"/>
        </w:rPr>
        <w:footnoteReference w:id="26"/>
      </w:r>
    </w:p>
    <w:p w14:paraId="67767BA3" w14:textId="6FD7F39A" w:rsidR="0019789C" w:rsidRPr="002A65B0" w:rsidRDefault="0019789C" w:rsidP="001C2C4A"/>
    <w:p w14:paraId="4AA9498A" w14:textId="77777777" w:rsidR="0019789C" w:rsidRPr="002A65B0" w:rsidRDefault="0019789C" w:rsidP="001C2C4A"/>
    <w:p w14:paraId="2D768764" w14:textId="77D3F44E" w:rsidR="0019789C" w:rsidRPr="002A65B0" w:rsidRDefault="0019789C" w:rsidP="00F03B31">
      <w:pPr>
        <w:pStyle w:val="Heading2"/>
      </w:pPr>
      <w:r w:rsidRPr="002A65B0">
        <w:t xml:space="preserve">A3 Multinational Law and Policy </w:t>
      </w:r>
    </w:p>
    <w:p w14:paraId="7EBB2DD0" w14:textId="19503EBD" w:rsidR="0019789C" w:rsidRPr="002A65B0" w:rsidRDefault="0019789C" w:rsidP="00F03B31">
      <w:pPr>
        <w:pStyle w:val="Heading3"/>
      </w:pPr>
      <w:r w:rsidRPr="002A65B0">
        <w:t xml:space="preserve">A3.1 European Union </w:t>
      </w:r>
    </w:p>
    <w:p w14:paraId="4BA1F224" w14:textId="54EC6CD3" w:rsidR="0019789C" w:rsidRPr="002A65B0" w:rsidRDefault="0019789C" w:rsidP="00AF7E47">
      <w:pPr>
        <w:pStyle w:val="Heading4"/>
      </w:pPr>
      <w:bookmarkStart w:id="2" w:name="_Hlk37415870"/>
      <w:r w:rsidRPr="002A65B0">
        <w:t>A3.1.1</w:t>
      </w:r>
      <w:r>
        <w:t xml:space="preserve"> </w:t>
      </w:r>
      <w:r w:rsidRPr="002A65B0">
        <w:t>Strategies and Action Plans</w:t>
      </w:r>
    </w:p>
    <w:bookmarkEnd w:id="2"/>
    <w:p w14:paraId="1ED32DDD" w14:textId="77777777" w:rsidR="0019789C" w:rsidRPr="002A65B0" w:rsidRDefault="0019789C" w:rsidP="001C2C4A">
      <w:r w:rsidRPr="002A65B0">
        <w:t>The overarching EU strategy for 2010-2020 is ‘Europe 2020: A Strategy for Smart, Sustainable and Inclusive Growth’.</w:t>
      </w:r>
      <w:r w:rsidRPr="002A65B0">
        <w:rPr>
          <w:rStyle w:val="FootnoteReference"/>
        </w:rPr>
        <w:footnoteReference w:id="27"/>
      </w:r>
      <w:r w:rsidRPr="002A65B0">
        <w:t xml:space="preserve"> This set out a plan with underpinning targets for reducing poverty and enhancing social cohesion. Particular emphasis is placed on active ageing and the inclusion of disabled people. </w:t>
      </w:r>
    </w:p>
    <w:p w14:paraId="26934882" w14:textId="77777777" w:rsidR="0019789C" w:rsidRPr="002A65B0" w:rsidRDefault="0019789C" w:rsidP="001C2C4A"/>
    <w:p w14:paraId="7B51792B" w14:textId="77777777" w:rsidR="0019789C" w:rsidRPr="002A65B0" w:rsidRDefault="0019789C" w:rsidP="001C2C4A">
      <w:r w:rsidRPr="002A65B0">
        <w:lastRenderedPageBreak/>
        <w:t>On disability, there is a specific strategy – the ‘European Disability Strategy 2010-2020: A Renewed Commitment to a Barrier-Free Europe’.</w:t>
      </w:r>
      <w:bookmarkStart w:id="3" w:name="_Ref94096927"/>
      <w:r w:rsidRPr="002A65B0">
        <w:rPr>
          <w:rStyle w:val="FootnoteReference"/>
        </w:rPr>
        <w:footnoteReference w:id="28"/>
      </w:r>
      <w:bookmarkEnd w:id="3"/>
      <w:r w:rsidRPr="002A65B0">
        <w:t xml:space="preserve"> This has eight ‘areas for action’, the first of which is accessibility. Under this it is noted that:</w:t>
      </w:r>
    </w:p>
    <w:p w14:paraId="7FA24D92" w14:textId="77777777" w:rsidR="0019789C" w:rsidRPr="002A65B0" w:rsidRDefault="0019789C" w:rsidP="001C2C4A">
      <w:pPr>
        <w:pStyle w:val="Quote"/>
      </w:pPr>
      <w:r w:rsidRPr="002A65B0">
        <w:t>Accessibility is a precondition for participation in society and in the economy, but the EU still has a long way to go in achieving this. The Commission proposes to use legislative and other instruments, such as standardisation, to optimise the accessibility of the built environment, transport and ICT … It will encourage the incorporation of accessibility and ‘design for all’ in educational curricula and training for relevant professions.</w:t>
      </w:r>
    </w:p>
    <w:p w14:paraId="1086CA0F" w14:textId="3E011682" w:rsidR="0019789C" w:rsidRPr="002A65B0" w:rsidRDefault="0019789C" w:rsidP="001C2C4A">
      <w:pPr>
        <w:ind w:firstLine="0"/>
      </w:pPr>
      <w:r w:rsidRPr="002A65B0">
        <w:t>Issues relating to inclusive street environments are also relevant to the ‘participation’ area for action – and the shift from institutional to community-based living.</w:t>
      </w:r>
    </w:p>
    <w:p w14:paraId="4AC943EE" w14:textId="263FDEF9" w:rsidR="0019789C" w:rsidRPr="002A65B0" w:rsidRDefault="0019789C" w:rsidP="001C2C4A">
      <w:pPr>
        <w:ind w:firstLine="0"/>
      </w:pPr>
    </w:p>
    <w:p w14:paraId="6C068B30" w14:textId="7160471A" w:rsidR="0019789C" w:rsidRPr="002A65B0" w:rsidRDefault="0019789C" w:rsidP="00AF50CC">
      <w:r w:rsidRPr="002A65B0">
        <w:t>Active ageing has long been a particular focus of the EU. In 2018, the ‘Silver Economy’ report</w:t>
      </w:r>
      <w:r>
        <w:t xml:space="preserve"> </w:t>
      </w:r>
      <w:r w:rsidRPr="002A65B0">
        <w:t>was published.</w:t>
      </w:r>
      <w:r w:rsidRPr="002A65B0">
        <w:rPr>
          <w:rStyle w:val="FootnoteReference"/>
          <w:rFonts w:cs="Arial"/>
        </w:rPr>
        <w:footnoteReference w:id="29"/>
      </w:r>
      <w:r w:rsidRPr="002A65B0">
        <w:t xml:space="preserve"> Its main objective was to provide the European Commission with key strategic information and a reference framework for the development of a Silver Economy Strategy for Europe, taking full account of the 39% of the total population of the EU aged fifty or over in 2015 – a figure likely to grow in coming years. This report stressed the importance of age-friendly built environment and transport. However, it focused more on housing, smart technologies</w:t>
      </w:r>
      <w:r>
        <w:t xml:space="preserve"> </w:t>
      </w:r>
      <w:r w:rsidRPr="002A65B0">
        <w:t>and driverless cars than on inclusive public space.</w:t>
      </w:r>
    </w:p>
    <w:p w14:paraId="1E026A35" w14:textId="77777777" w:rsidR="0019789C" w:rsidRPr="002A65B0" w:rsidRDefault="0019789C" w:rsidP="001C2C4A"/>
    <w:p w14:paraId="5DB1350A" w14:textId="6940B5D0" w:rsidR="0019789C" w:rsidRPr="002A65B0" w:rsidRDefault="0019789C" w:rsidP="001C2C4A">
      <w:r w:rsidRPr="002A65B0">
        <w:t>In May 2018, the Commission introduced a new approach to road safety and published the Strategic Action Plan on Road Safety 2021-2030.</w:t>
      </w:r>
      <w:r w:rsidRPr="002A65B0">
        <w:rPr>
          <w:rStyle w:val="FootnoteReference"/>
        </w:rPr>
        <w:footnoteReference w:id="30"/>
      </w:r>
      <w:r w:rsidRPr="002A65B0">
        <w:t xml:space="preserve"> In June 2019, it published more details about how this will be implemented.</w:t>
      </w:r>
      <w:r w:rsidRPr="002A65B0">
        <w:rPr>
          <w:rStyle w:val="FootnoteReference"/>
        </w:rPr>
        <w:footnoteReference w:id="31"/>
      </w:r>
      <w:r w:rsidRPr="002A65B0">
        <w:t xml:space="preserve"> Progress will be overseen by the High Level Group on Road Safety, one meeting a year of which will be open to stakeholders.</w:t>
      </w:r>
    </w:p>
    <w:p w14:paraId="724CACE7" w14:textId="77777777" w:rsidR="0019789C" w:rsidRPr="002A65B0" w:rsidRDefault="0019789C" w:rsidP="001C2C4A"/>
    <w:p w14:paraId="36F5EBFB" w14:textId="5D659389" w:rsidR="0019789C" w:rsidRPr="002A65B0" w:rsidRDefault="0019789C" w:rsidP="00AF50CC">
      <w:r w:rsidRPr="002A65B0">
        <w:t>Also noteworthy is the ‘Partnership for Urban Mobility: Final Action Plan’, agreed in November 2018</w:t>
      </w:r>
      <w:r w:rsidRPr="002A65B0">
        <w:rPr>
          <w:rStyle w:val="FootnoteReference"/>
        </w:rPr>
        <w:footnoteReference w:id="32"/>
      </w:r>
      <w:r w:rsidRPr="002A65B0">
        <w:t xml:space="preserve"> – Actions 3, 5, and 6 of which reference pedestrians and also disability. </w:t>
      </w:r>
      <w:r w:rsidRPr="002A65B0">
        <w:lastRenderedPageBreak/>
        <w:t xml:space="preserve">This Action Plan is part of the Urban Agenda for the EU, established by the Pact of Amsterdam 2016. This Agenda introduces a new working method consisting of thematic partnerships, the aim being to harness the growth potential of cities and address social challenges through better cooperation between Cities, Regions, Member States, the European Commission and other stakeholders. The Partnership for Urban Mobility is one of 12 partnerships set up to take forward each of the 12 priority themes identified in the Agenda. Like the other partnerships, it aims to develop an open and transparent multi-level governance approach to maximise the contribution made by urban areas to achieving the objectives of the Union and related national priorities, consistently with subsidiarity and proportionality principles. It is based on the voluntary engagement of interested partners. The Action Plan is thus not a formal Commission plan – it is a non-binding document designed to encourage collaboration and good practice and to enhance the potential of EU policy and initiatives. The EU Urban Agenda engages with three pillars of EU policy making and implementation </w:t>
      </w:r>
      <w:r>
        <w:t>–</w:t>
      </w:r>
      <w:r w:rsidRPr="002A65B0">
        <w:t xml:space="preserve"> better regulation, better funding, and better knowledge.</w:t>
      </w:r>
    </w:p>
    <w:p w14:paraId="67AE0BED" w14:textId="77777777" w:rsidR="0019789C" w:rsidRPr="002A65B0" w:rsidRDefault="0019789C" w:rsidP="001C2C4A"/>
    <w:p w14:paraId="136AD9D9" w14:textId="63C3B617" w:rsidR="0019789C" w:rsidRPr="002A65B0" w:rsidRDefault="0019789C" w:rsidP="00AE3A75">
      <w:pPr>
        <w:pStyle w:val="Heading4"/>
      </w:pPr>
      <w:r w:rsidRPr="002A65B0">
        <w:t>A3.1.2 Treaties and Law</w:t>
      </w:r>
    </w:p>
    <w:p w14:paraId="3CAC964E" w14:textId="77777777" w:rsidR="0019789C" w:rsidRPr="002A65B0" w:rsidRDefault="0019789C" w:rsidP="001C2C4A">
      <w:r w:rsidRPr="002A65B0">
        <w:t>At the level of the EU treaties, Article 19 of the Treaty on the Functioning of the European Union (TFEU) gives the EU the power to take action combating discrimination.</w:t>
      </w:r>
      <w:r w:rsidRPr="002A65B0">
        <w:rPr>
          <w:rStyle w:val="FootnoteReference"/>
        </w:rPr>
        <w:footnoteReference w:id="33"/>
      </w:r>
      <w:r w:rsidRPr="002A65B0">
        <w:t xml:space="preserve"> The Employment Equality Directive,</w:t>
      </w:r>
      <w:r w:rsidRPr="002A65B0">
        <w:rPr>
          <w:rStyle w:val="FootnoteReference"/>
        </w:rPr>
        <w:footnoteReference w:id="34"/>
      </w:r>
      <w:r w:rsidRPr="002A65B0">
        <w:t xml:space="preserve"> which requires Member States to prohibit disability discrimination in employment contexts, was based on the predecessor of this provision – as is the 2008 proposal for a directive prohibiting disability discrimination in other contexts. Other provisions in the TEU concern legislation and collaboration on issues relating to transport.</w:t>
      </w:r>
    </w:p>
    <w:p w14:paraId="440F107E" w14:textId="77777777" w:rsidR="0019789C" w:rsidRPr="002A65B0" w:rsidRDefault="0019789C" w:rsidP="001C2C4A"/>
    <w:p w14:paraId="10F889AB" w14:textId="77777777" w:rsidR="0019789C" w:rsidRPr="002A65B0" w:rsidRDefault="0019789C" w:rsidP="001C2C4A">
      <w:r w:rsidRPr="002A65B0">
        <w:t xml:space="preserve">The Charter of Fundamental Rights, which has had treaty status since the Treaty of Lisbon 2009, has a number of particularly relevant provisions. Article 20 provides that everyone is equal before the law; Article 21 lists disability as one of the grounds on which discrimination is prohibited; and Article 26 concerns the ‘integration of persons with </w:t>
      </w:r>
      <w:r w:rsidRPr="002A65B0">
        <w:lastRenderedPageBreak/>
        <w:t>disabilities’.</w:t>
      </w:r>
      <w:r w:rsidRPr="002A65B0">
        <w:rPr>
          <w:rStyle w:val="FootnoteReference"/>
        </w:rPr>
        <w:footnoteReference w:id="35"/>
      </w:r>
      <w:r w:rsidRPr="002A65B0">
        <w:t xml:space="preserve"> The fact that the Charter has treaty status means that EU institutions and Member States must comply with it when implementing EU law.</w:t>
      </w:r>
      <w:r w:rsidRPr="002A65B0">
        <w:rPr>
          <w:rStyle w:val="FootnoteReference"/>
        </w:rPr>
        <w:footnoteReference w:id="36"/>
      </w:r>
      <w:r w:rsidRPr="002A65B0">
        <w:t xml:space="preserve"> </w:t>
      </w:r>
    </w:p>
    <w:p w14:paraId="29C61B12" w14:textId="77777777" w:rsidR="0019789C" w:rsidRPr="002A65B0" w:rsidRDefault="0019789C" w:rsidP="001C2C4A"/>
    <w:p w14:paraId="300952FD" w14:textId="77777777" w:rsidR="0019789C" w:rsidRPr="002A65B0" w:rsidRDefault="0019789C" w:rsidP="001C2C4A">
      <w:r w:rsidRPr="002A65B0">
        <w:t>In December 2010, the EU ratified the CRPD, meaning that EU institutions are now bound to ensure that the rights of disabled persons are respected, protected and fulfilled. While the CRPD does not have the status of treaty law – or direct effect in EU law</w:t>
      </w:r>
      <w:r w:rsidRPr="002A65B0">
        <w:rPr>
          <w:rStyle w:val="FootnoteReference"/>
        </w:rPr>
        <w:footnoteReference w:id="37"/>
      </w:r>
      <w:r w:rsidRPr="002A65B0">
        <w:t xml:space="preserve"> – it nevertheless plays an important role in guiding EU policy and in interpreting EU secondary law.</w:t>
      </w:r>
    </w:p>
    <w:p w14:paraId="70C17864" w14:textId="77777777" w:rsidR="0019789C" w:rsidRPr="002A65B0" w:rsidRDefault="0019789C" w:rsidP="001C2C4A"/>
    <w:p w14:paraId="49349548" w14:textId="7DA8FDC1" w:rsidR="0019789C" w:rsidRPr="002A65B0" w:rsidRDefault="0019789C" w:rsidP="001C2C4A">
      <w:r w:rsidRPr="002A65B0">
        <w:t>The EU submitted its initial report to the CRPD Committee in 2014, with concluding observations being issued in 2015.</w:t>
      </w:r>
      <w:r w:rsidRPr="002A65B0">
        <w:rPr>
          <w:rStyle w:val="FootnoteReference"/>
        </w:rPr>
        <w:footnoteReference w:id="38"/>
      </w:r>
      <w:r w:rsidRPr="002A65B0">
        <w:t xml:space="preserve"> These contain nothing directly on disabled pedestrians or the inclusiveness of the built environment. However, the CRPD Committee did express concern about access to justice because of the lack of </w:t>
      </w:r>
      <w:r w:rsidRPr="002A65B0">
        <w:lastRenderedPageBreak/>
        <w:t>procedural accommodations made for disabled people in Member States;</w:t>
      </w:r>
      <w:r w:rsidRPr="002A65B0">
        <w:rPr>
          <w:rStyle w:val="FootnoteReference"/>
        </w:rPr>
        <w:footnoteReference w:id="39"/>
      </w:r>
      <w:r w:rsidRPr="002A65B0">
        <w:t xml:space="preserve"> and commented positively on legislative requirements that EU funding be spent in ways consistent with disability inclusion and accessibility.</w:t>
      </w:r>
      <w:r w:rsidRPr="002A65B0">
        <w:rPr>
          <w:rStyle w:val="FootnoteReference"/>
        </w:rPr>
        <w:footnoteReference w:id="40"/>
      </w:r>
    </w:p>
    <w:p w14:paraId="50D4F48F" w14:textId="77777777" w:rsidR="0019789C" w:rsidRPr="002A65B0" w:rsidRDefault="0019789C" w:rsidP="00AF50CC">
      <w:pPr>
        <w:ind w:firstLine="0"/>
      </w:pPr>
    </w:p>
    <w:p w14:paraId="6A00966E" w14:textId="48BEEEDA" w:rsidR="0019789C" w:rsidRPr="002A65B0" w:rsidRDefault="0019789C" w:rsidP="00AE3A75">
      <w:pPr>
        <w:pStyle w:val="Heading4"/>
      </w:pPr>
      <w:bookmarkStart w:id="4" w:name="_Hlk37415984"/>
      <w:r w:rsidRPr="002A65B0">
        <w:t xml:space="preserve">A3.1.3 Standards and Guidance </w:t>
      </w:r>
    </w:p>
    <w:bookmarkEnd w:id="4"/>
    <w:p w14:paraId="66990F15" w14:textId="77777777" w:rsidR="0019789C" w:rsidRPr="002A65B0" w:rsidRDefault="0019789C" w:rsidP="001C2C4A">
      <w:r w:rsidRPr="002A65B0">
        <w:t>The European Commission has instructed the EU standard-setting bodies (CEN and CENELEK) to compile a standard on the accessibility of the built environment, including pedestrian environments – prEN 17210 ‘Accessibility and usability of the built environment – Functional requirements’.</w:t>
      </w:r>
      <w:r w:rsidRPr="002A65B0">
        <w:rPr>
          <w:rStyle w:val="FootnoteReference"/>
        </w:rPr>
        <w:footnoteReference w:id="41"/>
      </w:r>
      <w:r w:rsidRPr="002A65B0">
        <w:t xml:space="preserve"> The aim of this is to draw on principles of universal design to develop a standard that will facilitate equitable and safe access for a wide range of people including disabled and older people. The standard would be relevant to the design, construction, adaptation and maintenance of the built environment.</w:t>
      </w:r>
    </w:p>
    <w:p w14:paraId="18E4978F" w14:textId="77777777" w:rsidR="0019789C" w:rsidRPr="002A65B0" w:rsidRDefault="0019789C" w:rsidP="001C2C4A"/>
    <w:p w14:paraId="0363C4FA" w14:textId="7E1F34EB" w:rsidR="0019789C" w:rsidRPr="002A65B0" w:rsidRDefault="0019789C" w:rsidP="00AF50CC">
      <w:r w:rsidRPr="002A65B0">
        <w:t>This standard is not yet finalised. Even when final, it will not be binding. The European Accessibility Act 2019 has the effect of making accessibility standards within its scope obligatory. However, the built environment does not fall within the scope of this directive – a point that has been criticised by the European Disability Forum.</w:t>
      </w:r>
      <w:r w:rsidRPr="002A65B0">
        <w:rPr>
          <w:rStyle w:val="FootnoteReference"/>
        </w:rPr>
        <w:footnoteReference w:id="42"/>
      </w:r>
    </w:p>
    <w:p w14:paraId="264C411A" w14:textId="77777777" w:rsidR="0019789C" w:rsidRPr="002A65B0" w:rsidRDefault="0019789C" w:rsidP="00AF50CC"/>
    <w:p w14:paraId="25884C51" w14:textId="65D85DD3" w:rsidR="0019789C" w:rsidRPr="002A65B0" w:rsidRDefault="0019789C" w:rsidP="00AE3A75">
      <w:pPr>
        <w:pStyle w:val="Heading4"/>
      </w:pPr>
      <w:bookmarkStart w:id="5" w:name="_Hlk37416547"/>
      <w:r w:rsidRPr="002A65B0">
        <w:t xml:space="preserve">A3.1.4 EU Funding </w:t>
      </w:r>
    </w:p>
    <w:bookmarkEnd w:id="5"/>
    <w:p w14:paraId="70356CC9" w14:textId="07E6CBA7" w:rsidR="0019789C" w:rsidRPr="002A65B0" w:rsidRDefault="0019789C" w:rsidP="001C2C4A">
      <w:r w:rsidRPr="002A65B0">
        <w:t xml:space="preserve">The European Structural and Investment Funds (ESIF) are allocated to a range of different projects within Member States – including those involving alterations to streets in towns and cities. The ESIF Regulations for the 2014-2020 programming period include requirements that money should not be spent in ways that discriminate against disabled people and that do not promote disability equality, inclusion and accessibility. While there has been considerable focus on the use of these Funds in ways that entrench institutional rather than community living, there has been very little on their use in relation to accessibility. There is concern amongst UK NGOs, however, that EU money has been used to fund the development of shared spaces in UK cities – which </w:t>
      </w:r>
      <w:r w:rsidRPr="002A65B0">
        <w:lastRenderedPageBreak/>
        <w:t>entails the removal of controlled crossings and pavements or separate pedestrian space.</w:t>
      </w:r>
      <w:r w:rsidRPr="002A65B0">
        <w:rPr>
          <w:rStyle w:val="FootnoteReference"/>
        </w:rPr>
        <w:footnoteReference w:id="43"/>
      </w:r>
      <w:r w:rsidRPr="002A65B0">
        <w:t xml:space="preserve"> The European Disability Forum (EDF) plays an active role in debates about disability-related monitoring of how the ESIF are being used and also in discussions about embedding similar disability rights protections in ESIF Regulations for the next programming period.</w:t>
      </w:r>
      <w:r w:rsidRPr="002A65B0">
        <w:rPr>
          <w:rStyle w:val="FootnoteReference"/>
        </w:rPr>
        <w:footnoteReference w:id="44"/>
      </w:r>
      <w:r w:rsidRPr="002A65B0">
        <w:t xml:space="preserve"> The inclusiveness of pedestrian space does not appear to have played a prominent role in such debates to date.</w:t>
      </w:r>
    </w:p>
    <w:p w14:paraId="73374629" w14:textId="77777777" w:rsidR="0019789C" w:rsidRPr="002A65B0" w:rsidRDefault="0019789C" w:rsidP="00AF50CC">
      <w:pPr>
        <w:ind w:firstLine="0"/>
      </w:pPr>
    </w:p>
    <w:p w14:paraId="7B52D621" w14:textId="77777777" w:rsidR="0019789C" w:rsidRPr="002A65B0" w:rsidRDefault="0019789C" w:rsidP="001C2C4A">
      <w:pPr>
        <w:pStyle w:val="Heading3"/>
      </w:pPr>
      <w:bookmarkStart w:id="6" w:name="_Hlk37416581"/>
      <w:r w:rsidRPr="002A65B0">
        <w:t xml:space="preserve">A3.2 Council of Europe </w:t>
      </w:r>
    </w:p>
    <w:p w14:paraId="3E5C92B1" w14:textId="0C6DF8C0" w:rsidR="0019789C" w:rsidRPr="002A65B0" w:rsidRDefault="0019789C" w:rsidP="00AE3A75">
      <w:pPr>
        <w:pStyle w:val="Heading4"/>
      </w:pPr>
      <w:bookmarkStart w:id="7" w:name="_Hlk37416609"/>
      <w:bookmarkEnd w:id="6"/>
      <w:r w:rsidRPr="002A65B0">
        <w:t>A3.2.1 Strategies and Frameworks</w:t>
      </w:r>
    </w:p>
    <w:bookmarkEnd w:id="7"/>
    <w:p w14:paraId="0CB9DD05" w14:textId="77777777" w:rsidR="0019789C" w:rsidRPr="002A65B0" w:rsidRDefault="0019789C" w:rsidP="001C2C4A">
      <w:r w:rsidRPr="002A65B0">
        <w:t>The Council of Europe Disability Strategy 2017-2023, identifies five priority areas: equality and non-discrimination, awareness raising, accessibility, equal recognition before the law, and freedom from exploitation, violence and abuse.</w:t>
      </w:r>
      <w:r w:rsidRPr="002A65B0">
        <w:rPr>
          <w:rStyle w:val="FootnoteReference"/>
        </w:rPr>
        <w:footnoteReference w:id="45"/>
      </w:r>
      <w:r w:rsidRPr="002A65B0">
        <w:t xml:space="preserve"> The emphasis on accessibility reiterates how the principle is ‘an enabler for persons with disabilities in all areas of life’, but focuses on access to information, information technologies and the communication sector rather than the built environment.</w:t>
      </w:r>
      <w:r w:rsidRPr="002A65B0">
        <w:rPr>
          <w:rStyle w:val="FootnoteReference"/>
        </w:rPr>
        <w:footnoteReference w:id="46"/>
      </w:r>
      <w:r w:rsidRPr="002A65B0">
        <w:t xml:space="preserve"> Among its ‘cross-cutting themes’, which apply across all priority areas, the Strategy highlights multiple and intersectional forms of discrimination.</w:t>
      </w:r>
      <w:r w:rsidRPr="002A65B0">
        <w:rPr>
          <w:rStyle w:val="FootnoteReference"/>
        </w:rPr>
        <w:footnoteReference w:id="47"/>
      </w:r>
      <w:r w:rsidRPr="002A65B0">
        <w:t xml:space="preserve"> </w:t>
      </w:r>
    </w:p>
    <w:p w14:paraId="5160D0BF" w14:textId="77777777" w:rsidR="0019789C" w:rsidRPr="002A65B0" w:rsidRDefault="0019789C" w:rsidP="001C2C4A"/>
    <w:p w14:paraId="3390EB19" w14:textId="5D8A43A6" w:rsidR="0019789C" w:rsidRPr="002A65B0" w:rsidRDefault="0019789C" w:rsidP="00AF7E47">
      <w:r w:rsidRPr="002A65B0">
        <w:t>Progress on the CoE Disability Strategy was planned to be monitored by biennial reports prepared by the Ad Hoc Committee of Experts on the Rights of Persons with Disabilities, which would then be sent to the Committee of Ministers.</w:t>
      </w:r>
      <w:r w:rsidRPr="002A65B0">
        <w:rPr>
          <w:rStyle w:val="FootnoteReference"/>
        </w:rPr>
        <w:footnoteReference w:id="48"/>
      </w:r>
      <w:r w:rsidRPr="002A65B0">
        <w:t xml:space="preserve"> Some reorganisation, however, has meant that the Committee of Experts on the Rights of Persons with Disabilities no longer exists and the monitoring is therefore carried out by a broader equality-based committee.</w:t>
      </w:r>
    </w:p>
    <w:p w14:paraId="6B3729E5" w14:textId="77777777" w:rsidR="0019789C" w:rsidRPr="002A65B0" w:rsidRDefault="0019789C" w:rsidP="001C2C4A"/>
    <w:p w14:paraId="49323A95" w14:textId="59BB30F3" w:rsidR="0019789C" w:rsidRPr="002A65B0" w:rsidRDefault="0019789C" w:rsidP="00AE3A75">
      <w:pPr>
        <w:pStyle w:val="Heading4"/>
      </w:pPr>
      <w:bookmarkStart w:id="8" w:name="_Hlk37416648"/>
      <w:r w:rsidRPr="002A65B0">
        <w:t>A3.2.2 Treaties and Law</w:t>
      </w:r>
    </w:p>
    <w:p w14:paraId="5997F692" w14:textId="6506AECA" w:rsidR="0019789C" w:rsidRPr="002A65B0" w:rsidRDefault="0019789C" w:rsidP="007A43D1">
      <w:pPr>
        <w:pStyle w:val="Heading5"/>
      </w:pPr>
      <w:bookmarkStart w:id="9" w:name="_Hlk37416681"/>
      <w:bookmarkEnd w:id="8"/>
      <w:r w:rsidRPr="002A65B0">
        <w:t>(a) European Convention on Human Rights</w:t>
      </w:r>
    </w:p>
    <w:bookmarkEnd w:id="9"/>
    <w:p w14:paraId="344FFF24" w14:textId="7910C9C7" w:rsidR="0019789C" w:rsidRPr="002A65B0" w:rsidRDefault="0019789C" w:rsidP="001C2C4A">
      <w:r w:rsidRPr="002A65B0">
        <w:t>The European Convention on Human Rights (ECHR) has been influential over UK law since its ratification in 1950, with its influence increasing significantly in 2000 when the Human Rights Act 1998 (HRA) incorporated it into domestic law. The UK has not ratified Protocol 12, which means that ECHR claims against the UK for discrimination must be based on Article 14, which requires proof of interference with another Convention right.</w:t>
      </w:r>
    </w:p>
    <w:p w14:paraId="7BFBCF8E" w14:textId="77777777" w:rsidR="0019789C" w:rsidRPr="002A65B0" w:rsidRDefault="0019789C" w:rsidP="001C2C4A"/>
    <w:p w14:paraId="065685BB" w14:textId="4B140BBA" w:rsidR="0019789C" w:rsidRPr="002A65B0" w:rsidRDefault="0019789C" w:rsidP="001C2C4A">
      <w:r w:rsidRPr="002A65B0">
        <w:t xml:space="preserve">The right that seems most relevant to pedestrian access to street environments is the Article 8 right to private and family life. The ECtHR has given the concept of private life a wide interpretation. According to </w:t>
      </w:r>
      <w:r w:rsidRPr="002A65B0">
        <w:rPr>
          <w:rStyle w:val="case"/>
        </w:rPr>
        <w:t>Botta v Italy</w:t>
      </w:r>
      <w:r w:rsidRPr="002A65B0">
        <w:t>,</w:t>
      </w:r>
      <w:bookmarkStart w:id="10" w:name="_Ref94102467"/>
      <w:r w:rsidRPr="002A65B0">
        <w:rPr>
          <w:rStyle w:val="FootnoteReference"/>
        </w:rPr>
        <w:footnoteReference w:id="49"/>
      </w:r>
      <w:bookmarkEnd w:id="10"/>
      <w:r w:rsidRPr="002A65B0">
        <w:t xml:space="preserve"> it embraces the ‘physical and psychological integrity’ of an individual and the ‘development, without outside interference, of the personality of each individual in his relations with other human beings’.</w:t>
      </w:r>
      <w:r w:rsidRPr="002A65B0">
        <w:rPr>
          <w:rStyle w:val="FootnoteReference"/>
        </w:rPr>
        <w:footnoteReference w:id="50"/>
      </w:r>
      <w:r w:rsidRPr="002A65B0">
        <w:t xml:space="preserve"> Mr Botta (a wheelchair user) claimed that, in failing adequately to enforce laws requiring private beaches to provide physical access for disabled people, the State had not complied with its obligation to respect his private life and to allow him to develop his personality. The physical barriers to accessing the beaches in question rendered him unable to enjoy a ‘normal social life’ and ‘to participate in the life of the community’.</w:t>
      </w:r>
      <w:r w:rsidRPr="002A65B0">
        <w:rPr>
          <w:rStyle w:val="FootnoteReference"/>
        </w:rPr>
        <w:footnoteReference w:id="51"/>
      </w:r>
      <w:r w:rsidRPr="002A65B0">
        <w:t xml:space="preserve"> The ECtHR accepted that compliance with Article 8 would sometimes require a state to adopt ‘measures designed to secure respect for private life even in the sphere of the relations of individuals between themselves’.</w:t>
      </w:r>
      <w:r w:rsidRPr="002A65B0">
        <w:rPr>
          <w:rStyle w:val="FootnoteReference"/>
        </w:rPr>
        <w:footnoteReference w:id="52"/>
      </w:r>
      <w:r w:rsidRPr="002A65B0">
        <w:t xml:space="preserve"> Such an obligation, however, would arise only where there was a ‘direct and immediate link between the measures sought by an applicant and the latter’s private and/or family life’.</w:t>
      </w:r>
      <w:r w:rsidRPr="002A65B0">
        <w:rPr>
          <w:rStyle w:val="FootnoteReference"/>
        </w:rPr>
        <w:footnoteReference w:id="53"/>
      </w:r>
      <w:r w:rsidRPr="002A65B0">
        <w:t xml:space="preserve"> There was no such direct and immediate link in </w:t>
      </w:r>
      <w:r w:rsidRPr="002A65B0">
        <w:rPr>
          <w:rStyle w:val="case"/>
        </w:rPr>
        <w:t>Botta</w:t>
      </w:r>
      <w:r w:rsidRPr="002A65B0">
        <w:t xml:space="preserve"> – the right claimed there concerning ‘interpersonal relations of such broad and indeterminate scope that there [could] be no conceivable direct link’.</w:t>
      </w:r>
      <w:r w:rsidRPr="002A65B0">
        <w:rPr>
          <w:rStyle w:val="FootnoteReference"/>
        </w:rPr>
        <w:footnoteReference w:id="54"/>
      </w:r>
    </w:p>
    <w:p w14:paraId="40551640" w14:textId="77777777" w:rsidR="0019789C" w:rsidRPr="002A65B0" w:rsidRDefault="0019789C" w:rsidP="001C2C4A">
      <w:r w:rsidRPr="002A65B0">
        <w:t xml:space="preserve"> </w:t>
      </w:r>
    </w:p>
    <w:p w14:paraId="1B435B63" w14:textId="77777777" w:rsidR="0019789C" w:rsidRPr="002A65B0" w:rsidRDefault="0019789C" w:rsidP="001C2C4A">
      <w:r w:rsidRPr="002A65B0">
        <w:lastRenderedPageBreak/>
        <w:t xml:space="preserve">Similar reasoning was applied in </w:t>
      </w:r>
      <w:r w:rsidRPr="002A65B0">
        <w:rPr>
          <w:rStyle w:val="case"/>
        </w:rPr>
        <w:t>Zehnalova and Zehnal v Czech Republic</w:t>
      </w:r>
      <w:r w:rsidRPr="002A65B0">
        <w:t>,</w:t>
      </w:r>
      <w:r w:rsidRPr="002A65B0">
        <w:rPr>
          <w:rStyle w:val="FootnoteReference"/>
        </w:rPr>
        <w:footnoteReference w:id="55"/>
      </w:r>
      <w:r w:rsidRPr="002A65B0">
        <w:t xml:space="preserve"> where a disabled person challenged the failure of the State to enforce laws requiring public buildings (including the post office, swimming pool and police station) to be made accessible. Although the buildings housed essential facilities in the town in which the applicant lived, the ECtHR considered that there was insufficient evidence as to their everyday use by the applicant to establish the necessary direct and immediate link. Failure to take positive steps to make the buildings accessible could not therefore constitute an Article 8 violation.</w:t>
      </w:r>
      <w:r w:rsidRPr="002A65B0">
        <w:rPr>
          <w:rStyle w:val="FootnoteReference"/>
        </w:rPr>
        <w:footnoteReference w:id="56"/>
      </w:r>
    </w:p>
    <w:p w14:paraId="0215990B" w14:textId="77777777" w:rsidR="0019789C" w:rsidRPr="002A65B0" w:rsidRDefault="0019789C" w:rsidP="001C2C4A"/>
    <w:p w14:paraId="2EED0ADC" w14:textId="0441025E" w:rsidR="0019789C" w:rsidRPr="002A65B0" w:rsidRDefault="0019789C" w:rsidP="001C2C4A">
      <w:r w:rsidRPr="002A65B0">
        <w:t>There have, however, been successful ECtHR cases based on lack of accessibility. A number</w:t>
      </w:r>
      <w:r>
        <w:t xml:space="preserve"> </w:t>
      </w:r>
      <w:r w:rsidRPr="002A65B0">
        <w:t xml:space="preserve">concern buildings in which a person is forced to live (eg prison) where the impact on disabled individuals of lack of accessibility has been found to </w:t>
      </w:r>
      <w:r>
        <w:t>constitute</w:t>
      </w:r>
      <w:r w:rsidRPr="002A65B0">
        <w:t xml:space="preserve"> inhuman or degrading treatment contrary to Article 3.</w:t>
      </w:r>
      <w:r w:rsidRPr="002A65B0">
        <w:rPr>
          <w:rStyle w:val="FootnoteReference"/>
        </w:rPr>
        <w:footnoteReference w:id="57"/>
      </w:r>
      <w:r w:rsidRPr="002A65B0">
        <w:t xml:space="preserve"> The case of </w:t>
      </w:r>
      <w:r w:rsidRPr="00962775">
        <w:rPr>
          <w:rStyle w:val="case"/>
        </w:rPr>
        <w:t>Sahin v Turkey</w:t>
      </w:r>
      <w:r w:rsidRPr="002A65B0">
        <w:t>,</w:t>
      </w:r>
      <w:r w:rsidRPr="002A65B0">
        <w:rPr>
          <w:rStyle w:val="FootnoteReference"/>
        </w:rPr>
        <w:footnoteReference w:id="58"/>
      </w:r>
      <w:r w:rsidRPr="002A65B0">
        <w:t xml:space="preserve"> by contrast, concerned the failure of a public university to remove accessibility barriers that prevented a student taking part in their university education. Significant weight was placed on the consensus in international standards represented by the CRPD, with reference being made to a number of CRPD provisions including Article 9. It was held that, despite the existence of relevant legislative accessibility obligations, Turkey was in breach of Article 14 on discrimination, in conjunction with Protocol 2 on the right to education, because of the University’s failure to provide reasonable accommodations responsive to the particular circumstances of the claimant. Cases such as this may herald a greater willingness on the part of the E</w:t>
      </w:r>
      <w:r>
        <w:t>C</w:t>
      </w:r>
      <w:r w:rsidRPr="002A65B0">
        <w:t>tHR to recognise that the consequences of accessibility barriers on disabled individuals may constitute discrimination contrary to Article 14, coupled with other substantive ECHR rights.</w:t>
      </w:r>
    </w:p>
    <w:p w14:paraId="3A031A15" w14:textId="77777777" w:rsidR="0019789C" w:rsidRPr="002A65B0" w:rsidRDefault="0019789C" w:rsidP="00AF50CC">
      <w:pPr>
        <w:ind w:firstLine="0"/>
      </w:pPr>
    </w:p>
    <w:p w14:paraId="4B37166F" w14:textId="6D85F2F6" w:rsidR="0019789C" w:rsidRPr="002A65B0" w:rsidRDefault="0019789C" w:rsidP="007A43D1">
      <w:pPr>
        <w:pStyle w:val="Heading5"/>
      </w:pPr>
      <w:bookmarkStart w:id="11" w:name="_Hlk37416776"/>
      <w:r w:rsidRPr="002A65B0">
        <w:t>(b) European Social Charter</w:t>
      </w:r>
    </w:p>
    <w:bookmarkEnd w:id="11"/>
    <w:p w14:paraId="76BE254D" w14:textId="20EFA5BC" w:rsidR="0019789C" w:rsidRPr="002A65B0" w:rsidRDefault="0019789C" w:rsidP="001C2C4A">
      <w:r w:rsidRPr="002A65B0">
        <w:t>The UK ratified the European Social Charter 1961.</w:t>
      </w:r>
      <w:r w:rsidRPr="002A65B0">
        <w:rPr>
          <w:rStyle w:val="FootnoteReference"/>
        </w:rPr>
        <w:footnoteReference w:id="59"/>
      </w:r>
      <w:r w:rsidRPr="002A65B0">
        <w:t xml:space="preserve"> While it signed the 1996 version of this Charter in November 1997, it has not ratified it. Accordingly, the terms of the original Charter continue to apply in the UK. Neither has the UK ratified the Additional </w:t>
      </w:r>
      <w:r w:rsidRPr="002A65B0">
        <w:lastRenderedPageBreak/>
        <w:t>Collective Complaints Protocol 1995,</w:t>
      </w:r>
      <w:r w:rsidRPr="002A65B0">
        <w:rPr>
          <w:rStyle w:val="FootnoteReference"/>
        </w:rPr>
        <w:footnoteReference w:id="60"/>
      </w:r>
      <w:r w:rsidRPr="002A65B0">
        <w:t xml:space="preserve"> with the result that the Charter cannot found complaints against the UK Government and that implementation is monitored only through periodic reporting to the European Committee of Social Rights. </w:t>
      </w:r>
    </w:p>
    <w:p w14:paraId="77A9EAC3" w14:textId="77777777" w:rsidR="0019789C" w:rsidRPr="002A65B0" w:rsidRDefault="0019789C" w:rsidP="001C2C4A"/>
    <w:p w14:paraId="4CA03B57" w14:textId="77777777" w:rsidR="0019789C" w:rsidRPr="002A65B0" w:rsidRDefault="0019789C" w:rsidP="001C2C4A">
      <w:r w:rsidRPr="002A65B0">
        <w:t>The Charter contains specific rights for disabled people, namely Article 15 (right of persons with disabilities to independence, social integration and participation in the life of the community) and Article E (providing that the rights of the Charter shall be secured without discrimination on any ground). The inclusiveness of pedestrian environments, particularly for older and disabled people, does not appear to have featured prominently in the ESC reviewing process for the UK.</w:t>
      </w:r>
    </w:p>
    <w:p w14:paraId="5FA75605" w14:textId="77777777" w:rsidR="0019789C" w:rsidRPr="002A65B0" w:rsidRDefault="0019789C" w:rsidP="00AF50CC">
      <w:pPr>
        <w:ind w:firstLine="0"/>
      </w:pPr>
    </w:p>
    <w:p w14:paraId="7F9617A6" w14:textId="78C7481A" w:rsidR="0019789C" w:rsidRPr="002A65B0" w:rsidRDefault="0019789C" w:rsidP="00464FA4">
      <w:pPr>
        <w:pStyle w:val="Heading4"/>
      </w:pPr>
      <w:bookmarkStart w:id="12" w:name="_Hlk33605794"/>
      <w:r>
        <w:t xml:space="preserve">A3.2.3 </w:t>
      </w:r>
      <w:r w:rsidRPr="002A65B0">
        <w:t>Standards and Guidance</w:t>
      </w:r>
    </w:p>
    <w:p w14:paraId="32B02557" w14:textId="4D54169B" w:rsidR="0019789C" w:rsidRPr="002A65B0" w:rsidRDefault="0019789C" w:rsidP="00AF50CC">
      <w:r w:rsidRPr="002A65B0">
        <w:rPr>
          <w:rFonts w:cs="Arial"/>
        </w:rPr>
        <w:t>A</w:t>
      </w:r>
      <w:r w:rsidRPr="002A65B0">
        <w:t>ccessibility has been a Council of Europe concern for many years. As early as 1992, its Committee of Ministers urged Member States that ‘[t]he general environment should be made as accessible as possible, including such measures as establishing standards of accessibility for all shops, offices, streets, services, etc. Such provisions should take into account the variety of disabilities and their resulting needs.’ And that ‘[m]easures should also be taken to encourage research on improving accessibility. This involves the need to evaluate the degree of success of proposed solutions by monitoring their use.’</w:t>
      </w:r>
      <w:r w:rsidRPr="002A65B0">
        <w:rPr>
          <w:rStyle w:val="FootnoteReference"/>
        </w:rPr>
        <w:footnoteReference w:id="61"/>
      </w:r>
      <w:r w:rsidRPr="002A65B0">
        <w:t xml:space="preserve"> </w:t>
      </w:r>
    </w:p>
    <w:p w14:paraId="090F9A78" w14:textId="77777777" w:rsidR="0019789C" w:rsidRPr="002A65B0" w:rsidRDefault="0019789C" w:rsidP="00D30090"/>
    <w:p w14:paraId="13D5C8FD" w14:textId="43036E3C" w:rsidR="0019789C" w:rsidRPr="002A65B0" w:rsidRDefault="0019789C" w:rsidP="00D30090">
      <w:r w:rsidRPr="002A65B0">
        <w:t>This was followed, in 1993, by the</w:t>
      </w:r>
      <w:r>
        <w:t xml:space="preserve"> </w:t>
      </w:r>
      <w:r w:rsidRPr="002A65B0">
        <w:t>Committee on the Rehabilitation and Integration of people with disabilities commissioning a study on ‘Accessibility: principles and guidelines - Adaptation of buildings in an accessible built environment’.</w:t>
      </w:r>
      <w:r w:rsidRPr="002A65B0">
        <w:rPr>
          <w:rStyle w:val="FootnoteReference"/>
        </w:rPr>
        <w:footnoteReference w:id="62"/>
      </w:r>
      <w:r w:rsidRPr="002A65B0">
        <w:t xml:space="preserve"> In the following decade, attention was given to universal design. In 2009, for example, the Committee of </w:t>
      </w:r>
      <w:r w:rsidRPr="002A65B0">
        <w:lastRenderedPageBreak/>
        <w:t>Ministers recommended that member States integrate principles of universal design into their policy, legislation and practice.</w:t>
      </w:r>
      <w:bookmarkEnd w:id="12"/>
      <w:r w:rsidRPr="002A65B0">
        <w:rPr>
          <w:rStyle w:val="FootnoteReference"/>
        </w:rPr>
        <w:footnoteReference w:id="63"/>
      </w:r>
      <w:r w:rsidRPr="002A65B0">
        <w:rPr>
          <w:lang w:bidi="en-US"/>
        </w:rPr>
        <w:t xml:space="preserve"> It should also be remembered that the CoE’s Disability Strategy (discussed in A3.2.1 above)operates to set standards and guidance.</w:t>
      </w:r>
    </w:p>
    <w:p w14:paraId="15EA1F35" w14:textId="77777777" w:rsidR="0019789C" w:rsidRPr="002A65B0" w:rsidRDefault="0019789C" w:rsidP="00E46097">
      <w:pPr>
        <w:ind w:firstLine="0"/>
        <w:rPr>
          <w:lang w:bidi="en-US"/>
        </w:rPr>
      </w:pPr>
    </w:p>
    <w:p w14:paraId="3C1641F4" w14:textId="2FE540D1" w:rsidR="0019789C" w:rsidRPr="002A65B0" w:rsidRDefault="0019789C" w:rsidP="00464FA4">
      <w:pPr>
        <w:pStyle w:val="Heading4"/>
      </w:pPr>
      <w:r>
        <w:t xml:space="preserve">A3.2.4 </w:t>
      </w:r>
      <w:r w:rsidRPr="002A65B0">
        <w:t>Funding</w:t>
      </w:r>
    </w:p>
    <w:p w14:paraId="2942DEA1" w14:textId="20FD7F3A" w:rsidR="0019789C" w:rsidRPr="002A65B0" w:rsidRDefault="0019789C" w:rsidP="001C2C4A">
      <w:r w:rsidRPr="002A65B0">
        <w:t>The Council of Europe does not disseminate funds to its Member States.</w:t>
      </w:r>
    </w:p>
    <w:p w14:paraId="313FBC66" w14:textId="186CEC93" w:rsidR="0019789C" w:rsidRPr="002A65B0" w:rsidRDefault="0019789C" w:rsidP="00E46097">
      <w:pPr>
        <w:ind w:firstLine="0"/>
      </w:pPr>
    </w:p>
    <w:p w14:paraId="25BC8F4E" w14:textId="77777777" w:rsidR="0019789C" w:rsidRPr="002A65B0" w:rsidRDefault="0019789C" w:rsidP="00E46097">
      <w:pPr>
        <w:ind w:firstLine="0"/>
      </w:pPr>
    </w:p>
    <w:p w14:paraId="488B8EF2" w14:textId="1C571813" w:rsidR="0019789C" w:rsidRPr="002A65B0" w:rsidRDefault="0019789C" w:rsidP="00E46097">
      <w:pPr>
        <w:pStyle w:val="Heading2"/>
      </w:pPr>
      <w:bookmarkStart w:id="13" w:name="_Hlk37429496"/>
      <w:r w:rsidRPr="002A65B0">
        <w:t xml:space="preserve">A4 United Kingdom Strategy, Law and Policy </w:t>
      </w:r>
    </w:p>
    <w:bookmarkEnd w:id="13"/>
    <w:p w14:paraId="70EA04C6" w14:textId="77777777" w:rsidR="0019789C" w:rsidRPr="002A65B0" w:rsidRDefault="0019789C" w:rsidP="00E97923">
      <w:pPr>
        <w:pStyle w:val="Heading3"/>
      </w:pPr>
      <w:r w:rsidRPr="002A65B0">
        <w:t>A4.1 Equality and Inclusion</w:t>
      </w:r>
    </w:p>
    <w:p w14:paraId="373610D3" w14:textId="77777777" w:rsidR="0019789C" w:rsidRPr="002A65B0" w:rsidRDefault="0019789C" w:rsidP="00E97923">
      <w:pPr>
        <w:pStyle w:val="Heading4"/>
      </w:pPr>
      <w:r w:rsidRPr="002A65B0">
        <w:t>A4.1.1 Equality</w:t>
      </w:r>
    </w:p>
    <w:p w14:paraId="04E2C979" w14:textId="16630BE6" w:rsidR="0019789C" w:rsidRPr="002A65B0" w:rsidRDefault="0019789C" w:rsidP="00E46097">
      <w:r w:rsidRPr="002A65B0">
        <w:t>The UK has no equality strategy as such. However, equality features prominently in governmental and parliamentary structures, and in legislation – the effective implementation of which is supported by the work of the Equality and Human Rights Commission (England, Wales and Scotland) and the Equality Commission Northern Ireland (Northern Ireland). Within the Westminster government, there is the Government Equalities Office. Independent cross-party parliamentary scrutiny of its work, together with that of the Equality and Human Rights Commission, is undertaken by the House of Commons Women and Equalities Committee. There is also a relatively new Equalities Hub within the Cabinet Office, which advises government on issues of strategy.</w:t>
      </w:r>
    </w:p>
    <w:p w14:paraId="70CC436E" w14:textId="77777777" w:rsidR="0019789C" w:rsidRPr="002A65B0" w:rsidRDefault="0019789C" w:rsidP="00E46097"/>
    <w:p w14:paraId="5B6D8471" w14:textId="7D6E786D" w:rsidR="0019789C" w:rsidRPr="002A65B0" w:rsidRDefault="0019789C" w:rsidP="00E46097">
      <w:r w:rsidRPr="002A65B0">
        <w:t xml:space="preserve">Prior to the UK’s departure from the EU and the European Economic Area, EU law on equality has played an important role in entrenching certain minimum standards in UK domestic law because repealing relevant equality rights and systems would be inconsistent with EU requirements. EU law in this regard has thus played a role similar to a constitutional guarantee of equality. A report by the House of Commons Women and Equalities Committee has recommended that additional steps be taken to ensure that equality rights are adequately safeguarded after Brexit, including the development </w:t>
      </w:r>
      <w:r w:rsidRPr="002A65B0">
        <w:lastRenderedPageBreak/>
        <w:t>of a cross-departmental government equality strategy.</w:t>
      </w:r>
      <w:r w:rsidRPr="002A65B0">
        <w:rPr>
          <w:rStyle w:val="FootnoteReference"/>
        </w:rPr>
        <w:footnoteReference w:id="64"/>
      </w:r>
      <w:r w:rsidRPr="002A65B0">
        <w:t xml:space="preserve"> Its main recommendations were as follows:</w:t>
      </w:r>
    </w:p>
    <w:p w14:paraId="14316ECE" w14:textId="3C65E1A5" w:rsidR="0019789C" w:rsidRPr="002A65B0" w:rsidRDefault="0019789C" w:rsidP="00427643">
      <w:pPr>
        <w:pStyle w:val="ListParagraph"/>
        <w:numPr>
          <w:ilvl w:val="0"/>
          <w:numId w:val="12"/>
        </w:numPr>
      </w:pPr>
      <w:r w:rsidRPr="002A65B0">
        <w:t>developing ‘a cross-government equality strategy in order to ensure engagement across government departments and provide a platform for linking with and drawing on the expertise of civil society organisations’;</w:t>
      </w:r>
    </w:p>
    <w:p w14:paraId="4774805F" w14:textId="0C466E6E" w:rsidR="0019789C" w:rsidRPr="002A65B0" w:rsidRDefault="0019789C" w:rsidP="00427643">
      <w:pPr>
        <w:pStyle w:val="ListParagraph"/>
        <w:numPr>
          <w:ilvl w:val="0"/>
          <w:numId w:val="12"/>
        </w:numPr>
      </w:pPr>
      <w:r w:rsidRPr="002A65B0">
        <w:t>introducing ‘an amendment to the Equality Act 2010 to empower Parliament and the courts to declare whether legislation is compatible with UK principles of equality’; and</w:t>
      </w:r>
    </w:p>
    <w:p w14:paraId="13C4A93F" w14:textId="47F0D6D5" w:rsidR="0019789C" w:rsidRPr="002A65B0" w:rsidRDefault="0019789C" w:rsidP="00427643">
      <w:pPr>
        <w:pStyle w:val="ListParagraph"/>
        <w:numPr>
          <w:ilvl w:val="0"/>
          <w:numId w:val="12"/>
        </w:numPr>
      </w:pPr>
      <w:r w:rsidRPr="002A65B0">
        <w:t>including ‘a clause in the Great Repeal Bill that explicitly commits to maintaining the current levels of equality protection when EU law is transposed into UK law’.</w:t>
      </w:r>
      <w:r w:rsidRPr="002A65B0">
        <w:rPr>
          <w:rStyle w:val="FootnoteReference"/>
        </w:rPr>
        <w:footnoteReference w:id="65"/>
      </w:r>
    </w:p>
    <w:p w14:paraId="7A9D925A" w14:textId="77777777" w:rsidR="0019789C" w:rsidRPr="002A65B0" w:rsidRDefault="0019789C" w:rsidP="00AF50CC"/>
    <w:p w14:paraId="0A0476F1" w14:textId="77777777" w:rsidR="0019789C" w:rsidRPr="002A65B0" w:rsidRDefault="0019789C" w:rsidP="00D90FF3">
      <w:pPr>
        <w:rPr>
          <w:szCs w:val="24"/>
        </w:rPr>
      </w:pPr>
      <w:r w:rsidRPr="002A65B0">
        <w:t xml:space="preserve">It should also be noted that the ECHR (discussed in Sections A1 and A3.2.2(a) above), is directly enforceable in UK courts through the Human Rights Act 1998 (HRA). Article 14 of the ECHR sets out rights to equality and non-discrimination in the enjoyment of other Convention rights and there is a growing jurisprudence in which this provision, together with other ECHR articles, has been used to hold government departments and </w:t>
      </w:r>
      <w:r w:rsidRPr="002A65B0">
        <w:rPr>
          <w:szCs w:val="24"/>
        </w:rPr>
        <w:t>other public bodies to account in the UK.</w:t>
      </w:r>
      <w:r w:rsidRPr="002A65B0">
        <w:rPr>
          <w:rStyle w:val="FootnoteReference"/>
          <w:szCs w:val="24"/>
        </w:rPr>
        <w:footnoteReference w:id="66"/>
      </w:r>
      <w:r w:rsidRPr="002A65B0">
        <w:rPr>
          <w:szCs w:val="24"/>
        </w:rPr>
        <w:t xml:space="preserve"> While ECHR law on equality is less developed and less enforceable than EU law on equality, it also plays an important role in providing minimum underpinning standards for equality law in the UK.</w:t>
      </w:r>
    </w:p>
    <w:p w14:paraId="6853B2EC" w14:textId="77777777" w:rsidR="0019789C" w:rsidRPr="002A65B0" w:rsidRDefault="0019789C" w:rsidP="00D90FF3">
      <w:pPr>
        <w:rPr>
          <w:szCs w:val="24"/>
        </w:rPr>
      </w:pPr>
    </w:p>
    <w:p w14:paraId="6E03EA7D" w14:textId="06DA0509" w:rsidR="0019789C" w:rsidRPr="002A65B0" w:rsidRDefault="0019789C" w:rsidP="00D90FF3">
      <w:pPr>
        <w:rPr>
          <w:rFonts w:eastAsia="Arial" w:cs="Arial"/>
          <w:szCs w:val="24"/>
        </w:rPr>
      </w:pPr>
      <w:r w:rsidRPr="002A65B0">
        <w:rPr>
          <w:szCs w:val="24"/>
        </w:rPr>
        <w:t>Turning now to domestic equality legislation, in England Wales and Scotland (Great Britain) previously separate pieces of equality and non-discrimination focusing on different characteristics were replaced by the Equality Act 2010 (EqA), the bulk of which</w:t>
      </w:r>
      <w:r w:rsidRPr="002A65B0">
        <w:rPr>
          <w:rFonts w:eastAsia="Arial" w:cs="Arial"/>
          <w:szCs w:val="24"/>
        </w:rPr>
        <w:t xml:space="preserve"> came into force on 5 April 2011. This prohibits discrimination against disabled people, as well as discrimination on the grounds of age, race, religion or belief, sex, sexual orientation and gender identity. The Equality and Human Rights Commission has the </w:t>
      </w:r>
      <w:r w:rsidRPr="002A65B0">
        <w:rPr>
          <w:rFonts w:eastAsia="Arial" w:cs="Arial"/>
          <w:szCs w:val="24"/>
        </w:rPr>
        <w:lastRenderedPageBreak/>
        <w:t>role of monitoring and promoting the implementation of this Act and has certain enforcement powers. It also has more limited powers in relation to the implementation and enforcement of human rights falling outside the scope of the Equality Act.</w:t>
      </w:r>
      <w:r w:rsidRPr="002A65B0">
        <w:rPr>
          <w:rStyle w:val="FootnoteReference"/>
          <w:rFonts w:eastAsia="Arial" w:cs="Arial"/>
          <w:szCs w:val="24"/>
        </w:rPr>
        <w:footnoteReference w:id="67"/>
      </w:r>
      <w:r w:rsidRPr="002A65B0">
        <w:rPr>
          <w:rFonts w:eastAsia="Arial" w:cs="Arial"/>
          <w:szCs w:val="24"/>
        </w:rPr>
        <w:t xml:space="preserve"> Equality legislation is devolved in Northern Ireland, where different legislation applies, supported by the Equality Commission Northern Ireland.</w:t>
      </w:r>
    </w:p>
    <w:p w14:paraId="02D2695C" w14:textId="77777777" w:rsidR="0019789C" w:rsidRPr="002A65B0" w:rsidRDefault="0019789C" w:rsidP="00AF50CC">
      <w:pPr>
        <w:ind w:firstLine="0"/>
        <w:rPr>
          <w:rFonts w:eastAsia="Arial" w:cs="Arial"/>
          <w:sz w:val="22"/>
        </w:rPr>
      </w:pPr>
    </w:p>
    <w:p w14:paraId="5D20A378" w14:textId="77777777" w:rsidR="0019789C" w:rsidRPr="002A65B0" w:rsidRDefault="0019789C" w:rsidP="00111B04">
      <w:pPr>
        <w:pStyle w:val="Heading4"/>
        <w:rPr>
          <w:rFonts w:eastAsia="Arial"/>
        </w:rPr>
      </w:pPr>
      <w:r w:rsidRPr="002A65B0">
        <w:rPr>
          <w:rFonts w:eastAsia="Arial"/>
        </w:rPr>
        <w:t>A4.1.2 Accessibility</w:t>
      </w:r>
    </w:p>
    <w:p w14:paraId="279321A6" w14:textId="34B3C1CF" w:rsidR="0019789C" w:rsidRPr="002A65B0" w:rsidRDefault="0019789C" w:rsidP="00AF50CC">
      <w:pPr>
        <w:ind w:firstLine="284"/>
        <w:rPr>
          <w:rFonts w:eastAsia="Arial" w:cs="Arial"/>
          <w:szCs w:val="24"/>
        </w:rPr>
      </w:pPr>
      <w:r w:rsidRPr="002A65B0">
        <w:rPr>
          <w:rFonts w:eastAsia="Arial" w:cs="Arial"/>
          <w:szCs w:val="24"/>
        </w:rPr>
        <w:t>The UK has no comprehensive accessibility strategy. In 2017, in its report on Disability and the Built Environment, the House of Commons Women and Equalities Committee recommended that an accessibility strategy be established – at least in connection with the built environment. In its words:</w:t>
      </w:r>
    </w:p>
    <w:p w14:paraId="537EDAEF" w14:textId="0416C1CC" w:rsidR="0019789C" w:rsidRPr="002A65B0" w:rsidRDefault="0019789C" w:rsidP="00E46097">
      <w:pPr>
        <w:pStyle w:val="Quote"/>
      </w:pPr>
      <w:r w:rsidRPr="002A65B0">
        <w:t>The Government has in place a range of levers that can be used to achieve more accessible built environments … We believe that greater coordination and leadership is needed to make this framework effective, and to make it clear that inclusive design is a statutory requirement, not just a ‘nice-to-do’. Our first key conclusion is, therefore, that the Government must act to more visibly lead the charge in improving access and inclusion in the built environment, … showing strategic leadership by bringing together the full range of work on improving access and inclusion in the built environment into a coherent and transparent strategy. The Department for Communities and Local Government should be held responsible for making this happen.</w:t>
      </w:r>
      <w:bookmarkStart w:id="14" w:name="_Ref39490064"/>
      <w:r w:rsidRPr="002A65B0">
        <w:rPr>
          <w:rStyle w:val="FootnoteReference"/>
        </w:rPr>
        <w:footnoteReference w:id="68"/>
      </w:r>
      <w:bookmarkEnd w:id="14"/>
    </w:p>
    <w:p w14:paraId="78155146" w14:textId="77777777" w:rsidR="0019789C" w:rsidRPr="002A65B0" w:rsidRDefault="0019789C" w:rsidP="00E46097"/>
    <w:p w14:paraId="44A1EF3F" w14:textId="77777777" w:rsidR="0019789C" w:rsidRPr="002A65B0" w:rsidRDefault="0019789C" w:rsidP="00596105">
      <w:pPr>
        <w:pStyle w:val="Heading4"/>
      </w:pPr>
      <w:r w:rsidRPr="002A65B0">
        <w:t xml:space="preserve">A4.1.3 Disability </w:t>
      </w:r>
    </w:p>
    <w:p w14:paraId="23F31A80" w14:textId="675E9DF7" w:rsidR="0019789C" w:rsidRPr="002A65B0" w:rsidRDefault="0019789C" w:rsidP="00AF50CC">
      <w:pPr>
        <w:spacing w:before="120" w:after="240"/>
        <w:rPr>
          <w:rFonts w:eastAsia="Arial" w:cs="Arial"/>
          <w:szCs w:val="24"/>
        </w:rPr>
      </w:pPr>
      <w:r w:rsidRPr="002A65B0">
        <w:rPr>
          <w:rFonts w:eastAsia="Arial" w:cs="Arial"/>
          <w:szCs w:val="24"/>
        </w:rPr>
        <w:t>The Westminster Government currently has no national disability strategy. The previous Disability Strategy was published</w:t>
      </w:r>
      <w:r>
        <w:rPr>
          <w:rFonts w:eastAsia="Arial" w:cs="Arial"/>
          <w:szCs w:val="24"/>
        </w:rPr>
        <w:t xml:space="preserve"> </w:t>
      </w:r>
      <w:r w:rsidRPr="002A65B0">
        <w:rPr>
          <w:rFonts w:eastAsia="Arial" w:cs="Arial"/>
          <w:szCs w:val="24"/>
        </w:rPr>
        <w:t>in 2011 under the title 'Fulfilling Potential’.</w:t>
      </w:r>
      <w:r w:rsidRPr="002A65B0">
        <w:rPr>
          <w:rStyle w:val="FootnoteReference"/>
          <w:rFonts w:eastAsia="Arial" w:cs="Arial"/>
          <w:szCs w:val="24"/>
        </w:rPr>
        <w:footnoteReference w:id="69"/>
      </w:r>
      <w:r w:rsidRPr="002A65B0">
        <w:rPr>
          <w:rFonts w:eastAsia="Arial" w:cs="Arial"/>
          <w:szCs w:val="24"/>
        </w:rPr>
        <w:t xml:space="preserve"> This was updated in 2014, and a progress report published in 2015. Its emphasis was on raising awareness and understanding around the themes of 'early intervention, </w:t>
      </w:r>
      <w:r w:rsidRPr="002A65B0">
        <w:rPr>
          <w:rFonts w:eastAsia="Arial" w:cs="Arial"/>
          <w:szCs w:val="24"/>
        </w:rPr>
        <w:lastRenderedPageBreak/>
        <w:t>choice and control and inclusive communities'. There were links to the UN Convention, and its implementation was overseen by the Department for Work and Pensions. The Disability Unit of the Cabinet Office, created in November 2019, has begun working on a new Disability Strategy. In a press release on 2 April 2020, the Unit stated that its objectives for this Strategy are to:</w:t>
      </w:r>
    </w:p>
    <w:p w14:paraId="2BC70D35" w14:textId="7DCC255C" w:rsidR="0019789C" w:rsidRPr="002A65B0" w:rsidRDefault="0019789C" w:rsidP="00427643">
      <w:pPr>
        <w:pStyle w:val="QuoteList"/>
        <w:numPr>
          <w:ilvl w:val="0"/>
          <w:numId w:val="13"/>
        </w:numPr>
        <w:rPr>
          <w:rFonts w:eastAsia="Arial"/>
        </w:rPr>
      </w:pPr>
      <w:r w:rsidRPr="002A65B0">
        <w:rPr>
          <w:rFonts w:eastAsia="Times New Roman"/>
        </w:rPr>
        <w:t>develop a positive and clear vision on disability which is owned right across government</w:t>
      </w:r>
    </w:p>
    <w:p w14:paraId="0E527F01" w14:textId="77777777" w:rsidR="0019789C" w:rsidRPr="002A65B0" w:rsidRDefault="0019789C" w:rsidP="00427643">
      <w:pPr>
        <w:pStyle w:val="QuoteList"/>
        <w:numPr>
          <w:ilvl w:val="0"/>
          <w:numId w:val="13"/>
        </w:numPr>
        <w:rPr>
          <w:rFonts w:eastAsia="Times New Roman"/>
        </w:rPr>
      </w:pPr>
      <w:r w:rsidRPr="002A65B0">
        <w:rPr>
          <w:rFonts w:eastAsia="Times New Roman"/>
        </w:rPr>
        <w:t>make practical changes to policies which strengthen disabled people’s ability to participate fully in society</w:t>
      </w:r>
    </w:p>
    <w:p w14:paraId="0DDEFE31" w14:textId="77777777" w:rsidR="0019789C" w:rsidRPr="002A65B0" w:rsidRDefault="0019789C" w:rsidP="00427643">
      <w:pPr>
        <w:pStyle w:val="QuoteList"/>
        <w:numPr>
          <w:ilvl w:val="0"/>
          <w:numId w:val="13"/>
        </w:numPr>
        <w:rPr>
          <w:rFonts w:eastAsia="Times New Roman"/>
        </w:rPr>
      </w:pPr>
      <w:r w:rsidRPr="002A65B0">
        <w:rPr>
          <w:rFonts w:eastAsia="Times New Roman"/>
        </w:rPr>
        <w:t>ensure lived experience underpins policies by identifying what matters most to disabled people</w:t>
      </w:r>
    </w:p>
    <w:p w14:paraId="3ECA5373" w14:textId="77777777" w:rsidR="0019789C" w:rsidRPr="002A65B0" w:rsidRDefault="0019789C" w:rsidP="00427643">
      <w:pPr>
        <w:pStyle w:val="QuoteList"/>
        <w:numPr>
          <w:ilvl w:val="0"/>
          <w:numId w:val="13"/>
        </w:numPr>
        <w:rPr>
          <w:rFonts w:eastAsia="Times New Roman"/>
        </w:rPr>
      </w:pPr>
      <w:r w:rsidRPr="002A65B0">
        <w:rPr>
          <w:rFonts w:eastAsia="Times New Roman"/>
        </w:rPr>
        <w:t>strengthen the ways in which we listen to disabled people and disabled people’s organisations, using these insights to drive real change</w:t>
      </w:r>
    </w:p>
    <w:p w14:paraId="72F03EB6" w14:textId="0975E1E4" w:rsidR="0019789C" w:rsidRPr="002A65B0" w:rsidRDefault="0019789C" w:rsidP="00427643">
      <w:pPr>
        <w:pStyle w:val="QuoteList"/>
        <w:numPr>
          <w:ilvl w:val="0"/>
          <w:numId w:val="13"/>
        </w:numPr>
        <w:rPr>
          <w:rFonts w:eastAsia="Times New Roman"/>
        </w:rPr>
      </w:pPr>
      <w:r w:rsidRPr="002A65B0">
        <w:rPr>
          <w:rFonts w:eastAsia="Times New Roman"/>
        </w:rPr>
        <w:t>improve the quality of evidence and data and use it to support policies and how we deliver them.</w:t>
      </w:r>
    </w:p>
    <w:p w14:paraId="7ED2601A" w14:textId="775F082D" w:rsidR="0019789C" w:rsidRPr="002A65B0" w:rsidRDefault="0019789C" w:rsidP="00E46097">
      <w:pPr>
        <w:ind w:firstLine="0"/>
        <w:rPr>
          <w:rFonts w:eastAsia="Times New Roman"/>
          <w:lang w:eastAsia="en-GB"/>
        </w:rPr>
      </w:pPr>
      <w:r w:rsidRPr="002A65B0">
        <w:rPr>
          <w:rFonts w:eastAsia="Times New Roman"/>
          <w:lang w:eastAsia="en-GB"/>
        </w:rPr>
        <w:t>It also explained that, due to the difficulty of consulting appropriately caused by the coronavirus crisis, completion of the Strategy would be delayed.</w:t>
      </w:r>
      <w:r w:rsidRPr="002A65B0">
        <w:rPr>
          <w:rStyle w:val="FootnoteReference"/>
          <w:rFonts w:eastAsia="Times New Roman" w:cs="Arial"/>
          <w:szCs w:val="24"/>
          <w:lang w:eastAsia="en-GB"/>
        </w:rPr>
        <w:footnoteReference w:id="70"/>
      </w:r>
    </w:p>
    <w:p w14:paraId="13C99638" w14:textId="77777777" w:rsidR="0019789C" w:rsidRPr="002A65B0" w:rsidRDefault="0019789C" w:rsidP="00E46097">
      <w:pPr>
        <w:rPr>
          <w:rFonts w:eastAsia="Times New Roman"/>
          <w:lang w:eastAsia="en-GB"/>
        </w:rPr>
      </w:pPr>
    </w:p>
    <w:p w14:paraId="67BDBFCD" w14:textId="26F92F92" w:rsidR="0019789C" w:rsidRPr="002A65B0" w:rsidRDefault="0019789C" w:rsidP="00D90FF3">
      <w:pPr>
        <w:pStyle w:val="Heading4"/>
      </w:pPr>
      <w:r w:rsidRPr="002A65B0">
        <w:t>A4.1.4 Older People</w:t>
      </w:r>
    </w:p>
    <w:p w14:paraId="3285221D" w14:textId="1073A5EF" w:rsidR="0019789C" w:rsidRPr="002A65B0" w:rsidRDefault="0019789C" w:rsidP="00962775">
      <w:r w:rsidRPr="002A65B0">
        <w:t>Although there are many local-level older people’s strategies, there is currently no UK or England Older People’s Strategy. Such a strategy was introduced in 2005 by the Department for Work and Pensions – Opportunity Age: Meeting the Challenge of Ageing in the 21st Century</w:t>
      </w:r>
      <w:r w:rsidRPr="002A65B0">
        <w:rPr>
          <w:rStyle w:val="FootnoteReference"/>
        </w:rPr>
        <w:footnoteReference w:id="71"/>
      </w:r>
      <w:r w:rsidRPr="002A65B0">
        <w:t xml:space="preserve"> – but this has now expired and </w:t>
      </w:r>
      <w:r>
        <w:t xml:space="preserve">does </w:t>
      </w:r>
      <w:r w:rsidRPr="002A65B0">
        <w:t xml:space="preserve">not </w:t>
      </w:r>
      <w:r>
        <w:t xml:space="preserve">appear to have </w:t>
      </w:r>
      <w:r w:rsidRPr="002A65B0">
        <w:t xml:space="preserve">been renewed. In 2016, the Government Office for Science stressed the importance of co-ordination across government departments given the interconnectedness of policy areas </w:t>
      </w:r>
      <w:r w:rsidRPr="002A65B0">
        <w:lastRenderedPageBreak/>
        <w:t>relating to older people.</w:t>
      </w:r>
      <w:r w:rsidRPr="002A65B0">
        <w:rPr>
          <w:rStyle w:val="FootnoteReference"/>
        </w:rPr>
        <w:footnoteReference w:id="72"/>
      </w:r>
      <w:r w:rsidRPr="002A65B0">
        <w:t xml:space="preserve"> </w:t>
      </w:r>
      <w:r>
        <w:t xml:space="preserve">This stemmed from the </w:t>
      </w:r>
      <w:r w:rsidRPr="00962775">
        <w:t>'Future of an ageing population' project, which</w:t>
      </w:r>
      <w:r>
        <w:t xml:space="preserve"> ran from 2013 to 2016,</w:t>
      </w:r>
      <w:r w:rsidRPr="00962775">
        <w:t xml:space="preserve"> analysed the challenges and opportunities of an ageing society.</w:t>
      </w:r>
      <w:r>
        <w:rPr>
          <w:rStyle w:val="FootnoteReference"/>
        </w:rPr>
        <w:footnoteReference w:id="73"/>
      </w:r>
      <w:r>
        <w:t xml:space="preserve"> </w:t>
      </w:r>
      <w:r w:rsidRPr="002A65B0">
        <w:t>The need for a focal point within, and co-ordination across, government was also stressed by the Ready for Ageing Alliance in its 2015 Manifesto.</w:t>
      </w:r>
      <w:r w:rsidRPr="002A65B0">
        <w:rPr>
          <w:rStyle w:val="FootnoteReference"/>
        </w:rPr>
        <w:footnoteReference w:id="74"/>
      </w:r>
    </w:p>
    <w:p w14:paraId="4EA7A4B9" w14:textId="5C242D9D" w:rsidR="0019789C" w:rsidRPr="002A65B0" w:rsidRDefault="0019789C" w:rsidP="00E46097"/>
    <w:p w14:paraId="0028E69D" w14:textId="1B662402" w:rsidR="0019789C" w:rsidRPr="002A65B0" w:rsidRDefault="0019789C" w:rsidP="00E46097">
      <w:r w:rsidRPr="002A65B0">
        <w:t>The ‘ageing society’ is specified as one of the four grand challenges underpinning the UK government’s Industrial Strategy 2019</w:t>
      </w:r>
      <w:r w:rsidRPr="002A65B0">
        <w:rPr>
          <w:rStyle w:val="FootnoteReference"/>
        </w:rPr>
        <w:footnoteReference w:id="75"/>
      </w:r>
      <w:r w:rsidRPr="002A65B0">
        <w:t xml:space="preserve"> – as is ‘the future of mobility’. The focus of this Strategy is on enhancing productivity, however, not on enhancing participation, equality and inclusion – although there is obviously important overlap.</w:t>
      </w:r>
    </w:p>
    <w:p w14:paraId="397E5ABD" w14:textId="77777777" w:rsidR="0019789C" w:rsidRPr="002A65B0" w:rsidRDefault="0019789C" w:rsidP="006C4C69">
      <w:pPr>
        <w:ind w:firstLine="0"/>
      </w:pPr>
    </w:p>
    <w:p w14:paraId="0C36B6FE" w14:textId="549B7F15" w:rsidR="0019789C" w:rsidRPr="002A65B0" w:rsidRDefault="0019789C" w:rsidP="00426ED7">
      <w:pPr>
        <w:pStyle w:val="Heading3"/>
      </w:pPr>
      <w:r w:rsidRPr="002A65B0">
        <w:t>A4.2 Transport</w:t>
      </w:r>
    </w:p>
    <w:p w14:paraId="07643BD4" w14:textId="37949D2A" w:rsidR="0019789C" w:rsidRPr="002A65B0" w:rsidRDefault="0019789C" w:rsidP="00E46097">
      <w:pPr>
        <w:rPr>
          <w:lang w:bidi="en-US"/>
        </w:rPr>
      </w:pPr>
      <w:r w:rsidRPr="002A65B0">
        <w:rPr>
          <w:lang w:bidi="en-US"/>
        </w:rPr>
        <w:t>Transport is a devolved matter. Accordingly, there is no single UK level strategy or approach and the position will be dealt with below within the sections on England and Scotland.</w:t>
      </w:r>
    </w:p>
    <w:p w14:paraId="7A317887" w14:textId="3CCBAAB6" w:rsidR="0019789C" w:rsidRPr="002A65B0" w:rsidRDefault="0019789C" w:rsidP="002052FE">
      <w:pPr>
        <w:ind w:firstLine="0"/>
      </w:pPr>
    </w:p>
    <w:p w14:paraId="18228FB8" w14:textId="6309FDB6" w:rsidR="0019789C" w:rsidRPr="002A65B0" w:rsidRDefault="0019789C" w:rsidP="00ED54A7">
      <w:pPr>
        <w:pStyle w:val="Heading3"/>
      </w:pPr>
      <w:r w:rsidRPr="002A65B0">
        <w:t>A4.3 Planning</w:t>
      </w:r>
    </w:p>
    <w:p w14:paraId="03D259E8" w14:textId="15D4C73E" w:rsidR="0019789C" w:rsidRDefault="0019789C" w:rsidP="00EC3B28">
      <w:pPr>
        <w:rPr>
          <w:lang w:bidi="en-US"/>
        </w:rPr>
      </w:pPr>
      <w:r w:rsidRPr="002A65B0">
        <w:rPr>
          <w:lang w:bidi="en-US"/>
        </w:rPr>
        <w:t>Again, this is a devolved matter. Accordingly, the approaches in England and Scotland differ and will be considered separately below.</w:t>
      </w:r>
    </w:p>
    <w:p w14:paraId="6DFE0DFA" w14:textId="77777777" w:rsidR="0019789C" w:rsidRDefault="0019789C" w:rsidP="00E46097">
      <w:pPr>
        <w:ind w:firstLine="0"/>
      </w:pPr>
    </w:p>
    <w:p w14:paraId="4128722D" w14:textId="0A73D824" w:rsidR="0019789C" w:rsidRPr="002A65B0" w:rsidRDefault="0019789C" w:rsidP="000F6B14">
      <w:pPr>
        <w:pStyle w:val="Heading3"/>
      </w:pPr>
      <w:r w:rsidRPr="002A65B0">
        <w:t xml:space="preserve">A4.3 </w:t>
      </w:r>
      <w:r>
        <w:t>Structures for Stakeholder Involvement</w:t>
      </w:r>
    </w:p>
    <w:p w14:paraId="1A8C2BFE" w14:textId="0979BE21" w:rsidR="0019789C" w:rsidRDefault="0019789C" w:rsidP="007812AC">
      <w:r>
        <w:t>Again, this will be discussed in relation to England and Scotland separately below.</w:t>
      </w:r>
    </w:p>
    <w:p w14:paraId="7D78BA15" w14:textId="77777777" w:rsidR="0019789C" w:rsidRDefault="0019789C" w:rsidP="00E46097">
      <w:pPr>
        <w:ind w:firstLine="0"/>
      </w:pPr>
    </w:p>
    <w:p w14:paraId="44BCC20B" w14:textId="77777777" w:rsidR="0019789C" w:rsidRPr="002A65B0" w:rsidRDefault="0019789C" w:rsidP="00E46097">
      <w:pPr>
        <w:ind w:firstLine="0"/>
      </w:pPr>
    </w:p>
    <w:p w14:paraId="58E365C5" w14:textId="0FF95BC5" w:rsidR="0019789C" w:rsidRPr="002A65B0" w:rsidRDefault="0019789C" w:rsidP="00E46097">
      <w:pPr>
        <w:pStyle w:val="Heading2"/>
      </w:pPr>
      <w:r w:rsidRPr="002A65B0">
        <w:t xml:space="preserve">A5 </w:t>
      </w:r>
      <w:r>
        <w:t>State or Provincial</w:t>
      </w:r>
      <w:r w:rsidRPr="002A65B0">
        <w:t xml:space="preserve"> Strategy, Law and Policy</w:t>
      </w:r>
    </w:p>
    <w:p w14:paraId="44DB9CE9" w14:textId="483A1F7A" w:rsidR="0019789C" w:rsidRPr="002A65B0" w:rsidRDefault="0019789C" w:rsidP="00F36FD5">
      <w:pPr>
        <w:pStyle w:val="Heading3"/>
      </w:pPr>
      <w:r w:rsidRPr="002A65B0">
        <w:t xml:space="preserve">A5.1 England </w:t>
      </w:r>
    </w:p>
    <w:p w14:paraId="381F76A1" w14:textId="3929C627" w:rsidR="0019789C" w:rsidRPr="002A65B0" w:rsidRDefault="0019789C" w:rsidP="00AE3A75">
      <w:pPr>
        <w:pStyle w:val="Heading4"/>
      </w:pPr>
      <w:r w:rsidRPr="002A65B0">
        <w:lastRenderedPageBreak/>
        <w:t>A5.1.1 Equality and Inclusion</w:t>
      </w:r>
    </w:p>
    <w:p w14:paraId="0EE9CFFC" w14:textId="7331F89E" w:rsidR="0019789C" w:rsidRPr="002A65B0" w:rsidRDefault="0019789C" w:rsidP="00EC3B28">
      <w:pPr>
        <w:rPr>
          <w:lang w:bidi="en-US"/>
        </w:rPr>
      </w:pPr>
      <w:r w:rsidRPr="002A65B0">
        <w:rPr>
          <w:lang w:bidi="en-US"/>
        </w:rPr>
        <w:t>Please see the text above in Section A4.1 above, discussing</w:t>
      </w:r>
      <w:r>
        <w:rPr>
          <w:lang w:bidi="en-US"/>
        </w:rPr>
        <w:t xml:space="preserve"> </w:t>
      </w:r>
      <w:r w:rsidRPr="002A65B0">
        <w:rPr>
          <w:lang w:bidi="en-US"/>
        </w:rPr>
        <w:t>the UK level. This is applicable to England.</w:t>
      </w:r>
    </w:p>
    <w:p w14:paraId="6610678A" w14:textId="77777777" w:rsidR="0019789C" w:rsidRPr="002A65B0" w:rsidRDefault="0019789C" w:rsidP="00FA70B8">
      <w:pPr>
        <w:rPr>
          <w:lang w:bidi="en-US"/>
        </w:rPr>
      </w:pPr>
    </w:p>
    <w:p w14:paraId="2A16CC1E" w14:textId="11D5EE19" w:rsidR="0019789C" w:rsidRPr="002A65B0" w:rsidRDefault="0019789C" w:rsidP="00F36FD5">
      <w:pPr>
        <w:pStyle w:val="Heading4"/>
      </w:pPr>
      <w:r w:rsidRPr="002A65B0">
        <w:t>A5.1.2 Transport</w:t>
      </w:r>
    </w:p>
    <w:p w14:paraId="70693BE7" w14:textId="0543DC4D" w:rsidR="0019789C" w:rsidRPr="002A65B0" w:rsidRDefault="0019789C" w:rsidP="00E46097">
      <w:r w:rsidRPr="002A65B0">
        <w:rPr>
          <w:rFonts w:eastAsia="Arial"/>
        </w:rPr>
        <w:t xml:space="preserve">The main transport-related strategy relevant to inclusive public space (particularly for older people with reduced mobility) is the </w:t>
      </w:r>
      <w:r w:rsidRPr="002A65B0">
        <w:rPr>
          <w:iCs/>
        </w:rPr>
        <w:t xml:space="preserve">Inclusive Transport Strategy: Achieving Equal Access for Disabled People, published by the Department for Transport </w:t>
      </w:r>
      <w:r w:rsidRPr="002A65B0">
        <w:t>in July 2018.</w:t>
      </w:r>
      <w:bookmarkStart w:id="15" w:name="_Ref39668283"/>
      <w:r w:rsidRPr="002A65B0">
        <w:rPr>
          <w:rStyle w:val="FootnoteReference"/>
          <w:rFonts w:cs="Arial"/>
          <w:szCs w:val="24"/>
        </w:rPr>
        <w:footnoteReference w:id="76"/>
      </w:r>
      <w:bookmarkEnd w:id="15"/>
      <w:r w:rsidRPr="002A65B0">
        <w:rPr>
          <w:rFonts w:eastAsia="Arial"/>
        </w:rPr>
        <w:t xml:space="preserve"> </w:t>
      </w:r>
      <w:r w:rsidRPr="002A65B0">
        <w:t>The stated ambition of this Strategy, which applies to England, is ‘for disabled people to have the same access to transport as everyone else’;</w:t>
      </w:r>
      <w:r w:rsidRPr="002A65B0">
        <w:rPr>
          <w:rStyle w:val="FootnoteReference"/>
          <w:rFonts w:cs="Arial"/>
          <w:szCs w:val="24"/>
        </w:rPr>
        <w:footnoteReference w:id="77"/>
      </w:r>
      <w:r w:rsidRPr="002A65B0">
        <w:t xml:space="preserve"> with the vision that ‘[b]y 2030 we envisage equal access for disabled people using the transport system, with assistance if physical infrastructure remains a barrier’.</w:t>
      </w:r>
      <w:r w:rsidRPr="002A65B0">
        <w:rPr>
          <w:rStyle w:val="FootnoteReference"/>
          <w:rFonts w:cs="Arial"/>
          <w:szCs w:val="24"/>
        </w:rPr>
        <w:footnoteReference w:id="78"/>
      </w:r>
      <w:r w:rsidRPr="002A65B0">
        <w:t xml:space="preserve"> It includes a brief section on the pedestrian environment. This highlights the responsibility of local authorities for the design of streets for which they are responsible and stresses that</w:t>
      </w:r>
      <w:r>
        <w:t xml:space="preserve"> </w:t>
      </w:r>
      <w:r w:rsidRPr="002A65B0">
        <w:t>they must ‘ensure any pedestrian environment scheme, including a shared space, is inclusive and that they meet the requirements of the Equality Act 2010’.</w:t>
      </w:r>
      <w:r w:rsidRPr="002A65B0">
        <w:rPr>
          <w:rStyle w:val="FootnoteReference"/>
          <w:rFonts w:cs="Arial"/>
          <w:szCs w:val="24"/>
        </w:rPr>
        <w:footnoteReference w:id="79"/>
      </w:r>
    </w:p>
    <w:p w14:paraId="7BF613B0" w14:textId="77777777" w:rsidR="0019789C" w:rsidRPr="002A65B0" w:rsidRDefault="0019789C" w:rsidP="00E46097">
      <w:pPr>
        <w:rPr>
          <w:rFonts w:eastAsia="Arial"/>
        </w:rPr>
      </w:pPr>
    </w:p>
    <w:p w14:paraId="0AF19422" w14:textId="51574BE7" w:rsidR="0019789C" w:rsidRPr="002A65B0" w:rsidRDefault="0019789C" w:rsidP="00E46097">
      <w:pPr>
        <w:rPr>
          <w:rFonts w:eastAsia="Arial"/>
        </w:rPr>
      </w:pPr>
      <w:r w:rsidRPr="002A65B0">
        <w:rPr>
          <w:rFonts w:eastAsia="Arial"/>
        </w:rPr>
        <w:t>The Department for Transport, in its Inclusive Transport Strategy,</w:t>
      </w:r>
      <w:r w:rsidRPr="002A65B0">
        <w:rPr>
          <w:rStyle w:val="FootnoteReference"/>
          <w:rFonts w:eastAsia="Arial" w:cs="Arial"/>
          <w:szCs w:val="24"/>
        </w:rPr>
        <w:footnoteReference w:id="80"/>
      </w:r>
      <w:r w:rsidRPr="002A65B0">
        <w:rPr>
          <w:rFonts w:eastAsia="Arial"/>
        </w:rPr>
        <w:t xml:space="preserve"> undertook to review and update two of its key guidance documents on accessibility-related street design - ‘Inclusive Mobility’</w:t>
      </w:r>
      <w:r w:rsidRPr="002A65B0">
        <w:rPr>
          <w:rStyle w:val="FootnoteReference"/>
          <w:rFonts w:eastAsia="Arial" w:cs="Arial"/>
          <w:szCs w:val="24"/>
        </w:rPr>
        <w:footnoteReference w:id="81"/>
      </w:r>
      <w:r w:rsidRPr="002A65B0">
        <w:rPr>
          <w:rFonts w:eastAsia="Arial"/>
        </w:rPr>
        <w:t xml:space="preserve"> and ‘Using Tactile Paving Surfaces’.</w:t>
      </w:r>
      <w:r w:rsidRPr="002A65B0">
        <w:rPr>
          <w:rStyle w:val="FootnoteReference"/>
          <w:rFonts w:eastAsia="Arial" w:cs="Arial"/>
          <w:szCs w:val="24"/>
        </w:rPr>
        <w:footnoteReference w:id="82"/>
      </w:r>
      <w:r w:rsidRPr="002A65B0">
        <w:rPr>
          <w:rFonts w:eastAsia="Arial"/>
        </w:rPr>
        <w:t xml:space="preserve"> To this end, it published an initial review</w:t>
      </w:r>
      <w:r>
        <w:rPr>
          <w:rFonts w:eastAsia="Arial"/>
        </w:rPr>
        <w:t xml:space="preserve"> </w:t>
      </w:r>
      <w:r w:rsidRPr="002A65B0">
        <w:t>in 2018</w:t>
      </w:r>
      <w:r w:rsidRPr="002A65B0">
        <w:rPr>
          <w:rStyle w:val="FootnoteReference"/>
        </w:rPr>
        <w:footnoteReference w:id="83"/>
      </w:r>
      <w:r w:rsidRPr="002A65B0">
        <w:t xml:space="preserve"> and </w:t>
      </w:r>
      <w:r w:rsidRPr="002A65B0">
        <w:rPr>
          <w:rFonts w:eastAsia="Arial"/>
        </w:rPr>
        <w:t>commissioned extensive follow-up research</w:t>
      </w:r>
      <w:r>
        <w:rPr>
          <w:rFonts w:eastAsia="Arial"/>
        </w:rPr>
        <w:t xml:space="preserve"> </w:t>
      </w:r>
      <w:r w:rsidRPr="002A65B0">
        <w:rPr>
          <w:rFonts w:eastAsia="Arial"/>
        </w:rPr>
        <w:t>which was published in 2020.</w:t>
      </w:r>
      <w:r w:rsidRPr="002A65B0">
        <w:rPr>
          <w:rStyle w:val="FootnoteReference"/>
          <w:rFonts w:eastAsia="Arial" w:cs="Arial"/>
          <w:szCs w:val="24"/>
        </w:rPr>
        <w:footnoteReference w:id="84"/>
      </w:r>
      <w:r w:rsidRPr="002A65B0">
        <w:rPr>
          <w:rFonts w:eastAsia="Arial"/>
        </w:rPr>
        <w:t xml:space="preserve"> This research identifies a number of themes relating to the design of the public realm</w:t>
      </w:r>
      <w:r>
        <w:rPr>
          <w:rFonts w:eastAsia="Arial"/>
        </w:rPr>
        <w:t xml:space="preserve"> </w:t>
      </w:r>
      <w:r w:rsidRPr="002A65B0">
        <w:rPr>
          <w:rFonts w:eastAsia="Arial"/>
        </w:rPr>
        <w:t>on which additional</w:t>
      </w:r>
      <w:r>
        <w:rPr>
          <w:rFonts w:eastAsia="Arial"/>
        </w:rPr>
        <w:t xml:space="preserve"> </w:t>
      </w:r>
      <w:r w:rsidRPr="002A65B0">
        <w:rPr>
          <w:rFonts w:eastAsia="Arial"/>
        </w:rPr>
        <w:t xml:space="preserve">research was needed before the </w:t>
      </w:r>
      <w:r w:rsidRPr="002A65B0">
        <w:rPr>
          <w:rFonts w:eastAsia="Arial"/>
        </w:rPr>
        <w:lastRenderedPageBreak/>
        <w:t>guidance could be updated. Many of these themes are highly relevant to the IPS project, and will therefore be mentioned here.</w:t>
      </w:r>
    </w:p>
    <w:p w14:paraId="33B8781C" w14:textId="46E494A7" w:rsidR="0019789C" w:rsidRPr="002A65B0" w:rsidRDefault="0019789C" w:rsidP="00683C8B">
      <w:pPr>
        <w:ind w:firstLine="360"/>
        <w:rPr>
          <w:rFonts w:eastAsia="Arial" w:cs="Arial"/>
          <w:szCs w:val="24"/>
        </w:rPr>
      </w:pPr>
    </w:p>
    <w:p w14:paraId="53230692" w14:textId="4CC718F7" w:rsidR="0019789C" w:rsidRPr="002A65B0" w:rsidRDefault="0019789C" w:rsidP="00371D17">
      <w:pPr>
        <w:ind w:firstLine="360"/>
        <w:rPr>
          <w:rFonts w:cs="Arial"/>
          <w:szCs w:val="24"/>
        </w:rPr>
      </w:pPr>
      <w:r w:rsidRPr="002A65B0">
        <w:rPr>
          <w:rFonts w:cs="Arial"/>
          <w:szCs w:val="24"/>
        </w:rPr>
        <w:t>First, on the question of reviewing the guidance on tactile paving, the report authors recommended that guidance should prompt</w:t>
      </w:r>
      <w:r>
        <w:rPr>
          <w:rFonts w:cs="Arial"/>
          <w:szCs w:val="24"/>
        </w:rPr>
        <w:t xml:space="preserve"> </w:t>
      </w:r>
      <w:r w:rsidRPr="002A65B0">
        <w:rPr>
          <w:rFonts w:cs="Arial"/>
          <w:szCs w:val="24"/>
        </w:rPr>
        <w:t>‘a design process that considers the needs of blind and partially sighted people from the outset of a scheme, within an integrated and genuinely inclusive design process, reflecting the public sector obligations under the Equalities Act.’</w:t>
      </w:r>
      <w:r w:rsidRPr="002A65B0">
        <w:rPr>
          <w:rStyle w:val="FootnoteReference"/>
          <w:rFonts w:cs="Arial"/>
          <w:szCs w:val="24"/>
        </w:rPr>
        <w:footnoteReference w:id="85"/>
      </w:r>
      <w:r w:rsidRPr="002A65B0">
        <w:rPr>
          <w:rFonts w:cs="Arial"/>
          <w:szCs w:val="24"/>
        </w:rPr>
        <w:t xml:space="preserve"> </w:t>
      </w:r>
    </w:p>
    <w:p w14:paraId="3D9D2BA6" w14:textId="77777777" w:rsidR="0019789C" w:rsidRPr="002A65B0" w:rsidRDefault="0019789C" w:rsidP="00371D17">
      <w:pPr>
        <w:ind w:firstLine="360"/>
        <w:rPr>
          <w:rFonts w:cs="Arial"/>
          <w:szCs w:val="24"/>
        </w:rPr>
      </w:pPr>
    </w:p>
    <w:p w14:paraId="1009718E" w14:textId="7F345706" w:rsidR="0019789C" w:rsidRPr="002A65B0" w:rsidRDefault="0019789C" w:rsidP="00242511">
      <w:pPr>
        <w:ind w:firstLine="360"/>
        <w:rPr>
          <w:rFonts w:cs="Arial"/>
          <w:szCs w:val="24"/>
        </w:rPr>
      </w:pPr>
      <w:r w:rsidRPr="002A65B0">
        <w:rPr>
          <w:rFonts w:cs="Arial"/>
          <w:szCs w:val="24"/>
        </w:rPr>
        <w:t>Second, on the issue of ageing, dementia, and non-visible disabilities, it was noted that much of the research on road safety has been focused on older drivers rather than older pedestrians, and that there was very limited</w:t>
      </w:r>
      <w:r>
        <w:rPr>
          <w:rFonts w:cs="Arial"/>
          <w:szCs w:val="24"/>
        </w:rPr>
        <w:t xml:space="preserve"> </w:t>
      </w:r>
      <w:r w:rsidRPr="002A65B0">
        <w:rPr>
          <w:rFonts w:cs="Arial"/>
          <w:szCs w:val="24"/>
        </w:rPr>
        <w:t>research on older pedestrians, pedestrians</w:t>
      </w:r>
      <w:r>
        <w:rPr>
          <w:rFonts w:cs="Arial"/>
          <w:szCs w:val="24"/>
        </w:rPr>
        <w:t xml:space="preserve"> </w:t>
      </w:r>
      <w:r w:rsidRPr="002A65B0">
        <w:rPr>
          <w:rFonts w:cs="Arial"/>
          <w:szCs w:val="24"/>
        </w:rPr>
        <w:t>with dementia and other ‘non-visible disabilities’.</w:t>
      </w:r>
      <w:r w:rsidRPr="002A65B0">
        <w:rPr>
          <w:rStyle w:val="FootnoteReference"/>
          <w:rFonts w:eastAsia="Times New Roman" w:cs="Arial"/>
          <w:szCs w:val="24"/>
        </w:rPr>
        <w:footnoteReference w:id="86"/>
      </w:r>
      <w:r w:rsidRPr="002A65B0">
        <w:rPr>
          <w:rFonts w:cs="Arial"/>
          <w:szCs w:val="24"/>
        </w:rPr>
        <w:t xml:space="preserve"> Recommendations focused on increasing colour contrast; avoiding shared space and complex interactive environments in favour of simpler walkways with clear signage and pedestrian crossings; creating more rest points and accessible toilets; and training to increase travel confidence.</w:t>
      </w:r>
      <w:r w:rsidRPr="002A65B0">
        <w:rPr>
          <w:rStyle w:val="FootnoteReference"/>
          <w:rFonts w:cs="Arial"/>
          <w:szCs w:val="24"/>
        </w:rPr>
        <w:footnoteReference w:id="87"/>
      </w:r>
      <w:r w:rsidRPr="002A65B0">
        <w:rPr>
          <w:rFonts w:cs="Arial"/>
          <w:szCs w:val="24"/>
        </w:rPr>
        <w:t xml:space="preserve"> In addition,</w:t>
      </w:r>
      <w:r>
        <w:rPr>
          <w:rFonts w:cs="Arial"/>
          <w:szCs w:val="24"/>
        </w:rPr>
        <w:t xml:space="preserve"> </w:t>
      </w:r>
      <w:r w:rsidRPr="002A65B0">
        <w:rPr>
          <w:rFonts w:cs="Arial"/>
          <w:szCs w:val="24"/>
        </w:rPr>
        <w:t>guidance needed to be updated regularly given the increasing complexity of traffic and ever-changing demographics of the population,</w:t>
      </w:r>
      <w:r>
        <w:rPr>
          <w:rFonts w:cs="Arial"/>
          <w:szCs w:val="24"/>
        </w:rPr>
        <w:t xml:space="preserve"> </w:t>
      </w:r>
      <w:r w:rsidRPr="002A65B0">
        <w:rPr>
          <w:rFonts w:cs="Arial"/>
          <w:szCs w:val="24"/>
        </w:rPr>
        <w:t>it was stressed that the guidance would need to be comprehensive and consistent which could be easily adapted to specific situations and environments.</w:t>
      </w:r>
      <w:r w:rsidRPr="002A65B0">
        <w:rPr>
          <w:rStyle w:val="FootnoteReference"/>
          <w:rFonts w:cs="Arial"/>
          <w:szCs w:val="24"/>
        </w:rPr>
        <w:footnoteReference w:id="88"/>
      </w:r>
      <w:r w:rsidRPr="002A65B0">
        <w:rPr>
          <w:rFonts w:cs="Arial"/>
          <w:szCs w:val="24"/>
        </w:rPr>
        <w:t xml:space="preserve"> Further research, it noted, was need on issues such as:</w:t>
      </w:r>
    </w:p>
    <w:p w14:paraId="55560D15" w14:textId="77777777" w:rsidR="0019789C" w:rsidRPr="002A65B0" w:rsidRDefault="0019789C" w:rsidP="00427643">
      <w:pPr>
        <w:pStyle w:val="ListParagraph"/>
        <w:numPr>
          <w:ilvl w:val="0"/>
          <w:numId w:val="10"/>
        </w:numPr>
      </w:pPr>
      <w:r w:rsidRPr="002A65B0">
        <w:rPr>
          <w:rFonts w:eastAsia="Times New Roman"/>
        </w:rPr>
        <w:t>Improving understanding of specific aspects of the pedestrian environment that discourage people from walking;</w:t>
      </w:r>
    </w:p>
    <w:p w14:paraId="6140B6D1" w14:textId="57787A40" w:rsidR="0019789C" w:rsidRPr="002A65B0" w:rsidRDefault="0019789C" w:rsidP="00427643">
      <w:pPr>
        <w:pStyle w:val="ListParagraph"/>
        <w:numPr>
          <w:ilvl w:val="0"/>
          <w:numId w:val="10"/>
        </w:numPr>
      </w:pPr>
      <w:r w:rsidRPr="002A65B0">
        <w:rPr>
          <w:rFonts w:eastAsia="Times New Roman"/>
        </w:rPr>
        <w:t>Exploring the extent of the issues faced by individuals when navigating the pedestrian environment; and</w:t>
      </w:r>
    </w:p>
    <w:p w14:paraId="0AB2681D" w14:textId="77777777" w:rsidR="0019789C" w:rsidRPr="002A65B0" w:rsidRDefault="0019789C" w:rsidP="00427643">
      <w:pPr>
        <w:pStyle w:val="ListParagraph"/>
        <w:numPr>
          <w:ilvl w:val="0"/>
          <w:numId w:val="10"/>
        </w:numPr>
      </w:pPr>
      <w:r w:rsidRPr="002A65B0">
        <w:rPr>
          <w:rFonts w:eastAsia="Times New Roman"/>
        </w:rPr>
        <w:t>Identifying key differences or similarities between specific requirements of each demographic when navigating the pedestrian environment.</w:t>
      </w:r>
      <w:r w:rsidRPr="002A65B0">
        <w:rPr>
          <w:rStyle w:val="FootnoteReference"/>
          <w:rFonts w:eastAsia="Times New Roman"/>
        </w:rPr>
        <w:footnoteReference w:id="89"/>
      </w:r>
    </w:p>
    <w:p w14:paraId="7950E17F" w14:textId="77777777" w:rsidR="0019789C" w:rsidRPr="002A65B0" w:rsidRDefault="0019789C" w:rsidP="00143462"/>
    <w:p w14:paraId="26FF0D0A" w14:textId="05B67161" w:rsidR="0019789C" w:rsidRPr="002A65B0" w:rsidRDefault="0019789C" w:rsidP="00143462">
      <w:r w:rsidRPr="002A65B0">
        <w:lastRenderedPageBreak/>
        <w:t>Third, in relation to mental health and travel, the report identified factors which</w:t>
      </w:r>
      <w:r>
        <w:t xml:space="preserve"> </w:t>
      </w:r>
      <w:r w:rsidRPr="002A65B0">
        <w:t xml:space="preserve">negatively affected the mental health of pedestrians </w:t>
      </w:r>
      <w:r>
        <w:t>–</w:t>
      </w:r>
      <w:r w:rsidRPr="002A65B0">
        <w:t xml:space="preserve"> including issues relating to infrastructure design and maintenance (eg confined spaces, artificial environments, obstructed walkways); atmosphere (eg noise, air quality, congested roads, artificial lighting); route navigation and planning (eg unfamiliar routes/environments and navigation difficulties); and other people (eg unpredictable/ unsafe behaviour, lack of travel companion, busy environments).</w:t>
      </w:r>
      <w:r w:rsidRPr="002A65B0">
        <w:rPr>
          <w:rStyle w:val="FootnoteReference"/>
          <w:szCs w:val="24"/>
        </w:rPr>
        <w:footnoteReference w:id="90"/>
      </w:r>
      <w:r w:rsidRPr="002A65B0">
        <w:t xml:space="preserve"> It recommended that</w:t>
      </w:r>
      <w:r>
        <w:t xml:space="preserve"> </w:t>
      </w:r>
      <w:r w:rsidRPr="002A65B0">
        <w:t>Inclusive Mobility</w:t>
      </w:r>
      <w:r>
        <w:t xml:space="preserve"> </w:t>
      </w:r>
      <w:r w:rsidRPr="002A65B0">
        <w:t>should include guidance on meeting the needs of people with mental health conditions.</w:t>
      </w:r>
      <w:r w:rsidRPr="002A65B0">
        <w:rPr>
          <w:rStyle w:val="FootnoteReference"/>
          <w:szCs w:val="24"/>
        </w:rPr>
        <w:footnoteReference w:id="91"/>
      </w:r>
      <w:r w:rsidRPr="002A65B0">
        <w:t xml:space="preserve"> It also recommended improved pedestrian footpaths; increased number of pedestrian crossings and the inclusion of traffic lights where possible; removing/reducing the use of underpasses and enclosed walkways; and improved signage.</w:t>
      </w:r>
      <w:r w:rsidRPr="002A65B0">
        <w:rPr>
          <w:rStyle w:val="FootnoteReference"/>
          <w:rFonts w:cs="Times New Roman"/>
          <w:szCs w:val="24"/>
        </w:rPr>
        <w:footnoteReference w:id="92"/>
      </w:r>
    </w:p>
    <w:p w14:paraId="0079A65C" w14:textId="77777777" w:rsidR="0019789C" w:rsidRPr="002A65B0" w:rsidRDefault="0019789C" w:rsidP="00143462"/>
    <w:p w14:paraId="25C9AAA5" w14:textId="74CDC884" w:rsidR="0019789C" w:rsidRPr="002A65B0" w:rsidRDefault="0019789C" w:rsidP="00143462">
      <w:pPr>
        <w:rPr>
          <w:rFonts w:eastAsia="Arial"/>
        </w:rPr>
      </w:pPr>
      <w:r w:rsidRPr="002A65B0">
        <w:rPr>
          <w:rFonts w:eastAsia="Arial"/>
        </w:rPr>
        <w:t>G</w:t>
      </w:r>
      <w:r w:rsidRPr="002A65B0">
        <w:t>uidance on accessibility issues, drawing on accessibility-specific documents such as</w:t>
      </w:r>
      <w:r>
        <w:t xml:space="preserve"> </w:t>
      </w:r>
      <w:r w:rsidRPr="002A65B0">
        <w:t>Inclusive Mobility and Using Tactile Paving Surfaces, is included in the Department for Transport’s comprehen</w:t>
      </w:r>
      <w:r>
        <w:t>sive guidance on street design –</w:t>
      </w:r>
      <w:r w:rsidRPr="002A65B0">
        <w:t xml:space="preserve"> ‘Manual for Streets’ (2007)</w:t>
      </w:r>
      <w:bookmarkStart w:id="16" w:name="_Ref39594734"/>
      <w:r w:rsidRPr="002A65B0">
        <w:rPr>
          <w:rStyle w:val="FootnoteReference"/>
          <w:rFonts w:cs="Arial"/>
          <w:szCs w:val="24"/>
        </w:rPr>
        <w:footnoteReference w:id="93"/>
      </w:r>
      <w:bookmarkEnd w:id="16"/>
      <w:r w:rsidRPr="002A65B0">
        <w:t xml:space="preserve"> and its ‘Manual for Streets 2’ (2010).</w:t>
      </w:r>
      <w:r w:rsidRPr="002A65B0">
        <w:rPr>
          <w:rStyle w:val="FootnoteReference"/>
          <w:rFonts w:cs="Arial"/>
          <w:szCs w:val="24"/>
        </w:rPr>
        <w:footnoteReference w:id="94"/>
      </w:r>
      <w:r w:rsidRPr="002A65B0">
        <w:t xml:space="preserve"> The 2007 Manual provides guidance on the design, construction, adoption and maintenance of new and existing residential streets. Of particular interest is its ‘user hierarchy’, in which it suggests that pedestrians should be considered first in the design process, followed by cyclists, public transport users, specialist service vehicles (eg emergency services, waste, etc.), with all ‘other motor traffic’ being considered last.</w:t>
      </w:r>
      <w:r w:rsidRPr="002A65B0">
        <w:rPr>
          <w:rStyle w:val="FootnoteReference"/>
          <w:rFonts w:cs="Arial"/>
          <w:szCs w:val="24"/>
        </w:rPr>
        <w:footnoteReference w:id="95"/>
      </w:r>
      <w:r w:rsidRPr="002A65B0">
        <w:t xml:space="preserve"> The 2010 Manual</w:t>
      </w:r>
      <w:r>
        <w:t xml:space="preserve"> </w:t>
      </w:r>
      <w:r w:rsidRPr="002A65B0">
        <w:t>explains how the principles in the 2007 Manual can be applied more widely, to encompass both urban and rural situations. In the 2018 Inclusive Transport Strategy, the Department for Transport acknowledges that, whilst guidance on street accessibility is included in these Manuals, ‘</w:t>
      </w:r>
      <w:r w:rsidRPr="002A65B0">
        <w:rPr>
          <w:rFonts w:eastAsia="Arial"/>
        </w:rPr>
        <w:t>there is a need to go further to ensure guidance is up-to-date and relevant, and that practitioners have the skills to use it effectively’.</w:t>
      </w:r>
      <w:r w:rsidRPr="002A65B0">
        <w:rPr>
          <w:rStyle w:val="FootnoteReference"/>
          <w:rFonts w:eastAsia="Arial" w:cs="Arial"/>
          <w:szCs w:val="24"/>
        </w:rPr>
        <w:footnoteReference w:id="96"/>
      </w:r>
      <w:r w:rsidRPr="002A65B0">
        <w:rPr>
          <w:rFonts w:eastAsia="Arial"/>
        </w:rPr>
        <w:t xml:space="preserve"> </w:t>
      </w:r>
    </w:p>
    <w:p w14:paraId="688257CD" w14:textId="77777777" w:rsidR="0019789C" w:rsidRPr="002A65B0" w:rsidRDefault="0019789C" w:rsidP="00143462">
      <w:pPr>
        <w:rPr>
          <w:rFonts w:eastAsia="Arial"/>
        </w:rPr>
      </w:pPr>
    </w:p>
    <w:p w14:paraId="44A448AB" w14:textId="7ADB5CA3" w:rsidR="0019789C" w:rsidRPr="002A65B0" w:rsidRDefault="0019789C" w:rsidP="00143462">
      <w:r w:rsidRPr="002A65B0">
        <w:t>In an attempt to highlight and clarify particular issues for local authorities, the Department for Transport has issued Local Transport Notes. These Notes are on a range of issues – including the reduced use of street furniture, road signs and markings in street design;</w:t>
      </w:r>
      <w:r w:rsidRPr="002A65B0">
        <w:rPr>
          <w:rStyle w:val="FootnoteReference"/>
        </w:rPr>
        <w:footnoteReference w:id="97"/>
      </w:r>
      <w:r w:rsidRPr="002A65B0">
        <w:t xml:space="preserve"> the development of streets that can be safely used for multiple purposes and by diverse users</w:t>
      </w:r>
      <w:r w:rsidRPr="002A65B0">
        <w:rPr>
          <w:rStyle w:val="FootnoteReference"/>
        </w:rPr>
        <w:footnoteReference w:id="98"/>
      </w:r>
      <w:r w:rsidRPr="002A65B0">
        <w:t>; the use of railings to protect pedestrians and prevent them stepping into or crossing roads in inappropriate places</w:t>
      </w:r>
      <w:r w:rsidRPr="002A65B0">
        <w:rPr>
          <w:rStyle w:val="FootnoteReference"/>
        </w:rPr>
        <w:footnoteReference w:id="99"/>
      </w:r>
      <w:r w:rsidRPr="002A65B0">
        <w:t>; and the design and planning of routes to be shared by pedestrians and cyclists.</w:t>
      </w:r>
      <w:r w:rsidRPr="002A65B0">
        <w:rPr>
          <w:rStyle w:val="FootnoteReference"/>
        </w:rPr>
        <w:footnoteReference w:id="100"/>
      </w:r>
      <w:r w:rsidRPr="002A65B0">
        <w:t xml:space="preserve"> The most significant of these, for current purposes, is Local Transport Note 1/11, on ‘using shared space to improve high streets for pedestrians’.</w:t>
      </w:r>
      <w:bookmarkStart w:id="17" w:name="_Ref94101954"/>
      <w:r w:rsidRPr="002A65B0">
        <w:rPr>
          <w:rStyle w:val="FootnoteReference"/>
          <w:rFonts w:cs="Arial"/>
        </w:rPr>
        <w:footnoteReference w:id="101"/>
      </w:r>
      <w:bookmarkEnd w:id="17"/>
      <w:r w:rsidRPr="002A65B0">
        <w:t xml:space="preserve"> This was intended to assist local councils in designing and preparing street improvement and management schemes. However, it attracted serious criticism for failing adequately to take account of the negative impact of shared space schemes on disabled people.</w:t>
      </w:r>
      <w:bookmarkStart w:id="18" w:name="_Ref94102021"/>
      <w:r w:rsidRPr="002A65B0">
        <w:rPr>
          <w:rStyle w:val="FootnoteReference"/>
          <w:rFonts w:cs="Arial"/>
        </w:rPr>
        <w:footnoteReference w:id="102"/>
      </w:r>
      <w:bookmarkEnd w:id="18"/>
      <w:r w:rsidRPr="002A65B0">
        <w:t xml:space="preserve"> Thus, a 2015 report by Lord Holmes called for a moratorium on new shared space schemes and a review of the 2011 Note.</w:t>
      </w:r>
      <w:r w:rsidRPr="002A65B0">
        <w:rPr>
          <w:rStyle w:val="FootnoteReference"/>
        </w:rPr>
        <w:footnoteReference w:id="103"/>
      </w:r>
      <w:r w:rsidRPr="002A65B0">
        <w:t xml:space="preserve"> A House of Lords Committee which reviewed the impact of the</w:t>
      </w:r>
      <w:r>
        <w:t xml:space="preserve"> </w:t>
      </w:r>
      <w:r w:rsidRPr="002A65B0">
        <w:t>Equality Act 2010 on disabled people</w:t>
      </w:r>
      <w:bookmarkStart w:id="19" w:name="_Ref39667842"/>
      <w:r w:rsidRPr="002A65B0">
        <w:rPr>
          <w:rStyle w:val="FootnoteReference"/>
        </w:rPr>
        <w:footnoteReference w:id="104"/>
      </w:r>
      <w:bookmarkEnd w:id="19"/>
      <w:r w:rsidRPr="002A65B0">
        <w:t xml:space="preserve"> was concerned about the lack of central government guidance on this issue, stating that</w:t>
      </w:r>
      <w:r>
        <w:t xml:space="preserve"> </w:t>
      </w:r>
      <w:r w:rsidRPr="002A65B0">
        <w:t>local authorities ‘should not be acting independently without any central guidance’.</w:t>
      </w:r>
      <w:r w:rsidRPr="002A65B0">
        <w:rPr>
          <w:rStyle w:val="FootnoteReference"/>
        </w:rPr>
        <w:footnoteReference w:id="105"/>
      </w:r>
      <w:r w:rsidRPr="002A65B0">
        <w:t xml:space="preserve"> It commented that Note 1/11 contains ‘only a brief reference to the Equality Act, and where the problems of disabled people are dealt with, there is little specific guidance’</w:t>
      </w:r>
      <w:r>
        <w:t>;</w:t>
      </w:r>
      <w:r w:rsidRPr="002A65B0">
        <w:rPr>
          <w:rStyle w:val="FootnoteReference"/>
        </w:rPr>
        <w:footnoteReference w:id="106"/>
      </w:r>
      <w:r w:rsidRPr="002A65B0">
        <w:t xml:space="preserve"> and recommended that the </w:t>
      </w:r>
      <w:r>
        <w:t>Department for Transport</w:t>
      </w:r>
      <w:r w:rsidRPr="002A65B0">
        <w:t xml:space="preserve"> should </w:t>
      </w:r>
      <w:r w:rsidRPr="002A65B0">
        <w:lastRenderedPageBreak/>
        <w:t>update the Note and ensure that it offered ‘guidance to local authorities on how shared spaces schemes can best cater for the needs of disabled people’ and that local authorities should review existing shared space schemes in light of that new guidance, making changes where necessary and practicable.</w:t>
      </w:r>
      <w:r w:rsidRPr="002A65B0">
        <w:rPr>
          <w:rStyle w:val="FootnoteReference"/>
        </w:rPr>
        <w:footnoteReference w:id="107"/>
      </w:r>
      <w:r w:rsidRPr="002A65B0">
        <w:t xml:space="preserve"> These recommendations were rejected by the government, which stressed that</w:t>
      </w:r>
      <w:r>
        <w:t>,</w:t>
      </w:r>
      <w:r w:rsidRPr="002A65B0">
        <w:t xml:space="preserve"> i</w:t>
      </w:r>
      <w:r>
        <w:t>n general, i</w:t>
      </w:r>
      <w:r w:rsidRPr="002A65B0">
        <w:t>t was for local authorities (and not central government) to make decisions about the design of streets in their areas.</w:t>
      </w:r>
      <w:r w:rsidRPr="002A65B0">
        <w:rPr>
          <w:rStyle w:val="FootnoteReference"/>
        </w:rPr>
        <w:footnoteReference w:id="108"/>
      </w:r>
      <w:r w:rsidRPr="002A65B0">
        <w:t xml:space="preserve"> It did, however, suggest that a review of shared space then being carried out by the independent Chartered Institute for Highways and Transportation would result in guidance which</w:t>
      </w:r>
      <w:r>
        <w:t xml:space="preserve"> </w:t>
      </w:r>
      <w:r w:rsidRPr="002A65B0">
        <w:t>might resolve the problem.</w:t>
      </w:r>
      <w:r>
        <w:rPr>
          <w:rStyle w:val="FootnoteReference"/>
        </w:rPr>
        <w:footnoteReference w:id="109"/>
      </w:r>
      <w:r w:rsidRPr="002A65B0">
        <w:t xml:space="preserve"> That report, however, ultimately</w:t>
      </w:r>
      <w:r>
        <w:t xml:space="preserve"> </w:t>
      </w:r>
      <w:r w:rsidRPr="002A65B0">
        <w:t>declined to provide guidance, recommending that further evidence was needed.</w:t>
      </w:r>
      <w:r w:rsidRPr="002A65B0">
        <w:rPr>
          <w:rStyle w:val="FootnoteReference"/>
        </w:rPr>
        <w:footnoteReference w:id="110"/>
      </w:r>
    </w:p>
    <w:p w14:paraId="6D84A1F5" w14:textId="77777777" w:rsidR="0019789C" w:rsidRPr="002A65B0" w:rsidRDefault="0019789C" w:rsidP="00143462"/>
    <w:p w14:paraId="14462C0B" w14:textId="500D3D5B" w:rsidR="0019789C" w:rsidRPr="002A65B0" w:rsidRDefault="0019789C" w:rsidP="001203C1">
      <w:r w:rsidRPr="002A65B0">
        <w:t>In 2017,</w:t>
      </w:r>
      <w:r>
        <w:t xml:space="preserve"> </w:t>
      </w:r>
      <w:r w:rsidRPr="002A65B0">
        <w:t>the House of Commons Women and Equalities Committee took the view that there was an urgent need for central government to take leadership on this issue. It recommended that it ‘require local authorities to call a halt to the use of shared space schemes, pending clear national guidance that explicitly addresses the needs of disabled people’ and that</w:t>
      </w:r>
      <w:r>
        <w:t xml:space="preserve"> </w:t>
      </w:r>
      <w:r w:rsidRPr="002A65B0">
        <w:t>such guidance should ‘instruct local authorities that controlled crossings and regular height kerbs are to be retained and that they should undertake an urgent review of existing schemes, working with disabled people in their area to identify the changes that are necessary and practicable.</w:t>
      </w:r>
      <w:r w:rsidRPr="002A65B0">
        <w:rPr>
          <w:rStyle w:val="FootnoteReference"/>
        </w:rPr>
        <w:footnoteReference w:id="111"/>
      </w:r>
      <w:r w:rsidRPr="002A65B0">
        <w:t xml:space="preserve"> It also made a range of other recommendations, including ones relating to the operation of the Equality Act’s anticipatory reasonable adjustment duty and Public Sector Equality Duty in this context.</w:t>
      </w:r>
      <w:r w:rsidRPr="002A65B0">
        <w:rPr>
          <w:rStyle w:val="FootnoteReference"/>
        </w:rPr>
        <w:footnoteReference w:id="112"/>
      </w:r>
      <w:r w:rsidRPr="002A65B0">
        <w:t xml:space="preserve"> The Disabled Persons Transport Advisory Committee, referring favourably to the recommendations of the Women and Equalities Committee, described Note 1/11 as not fit for purpose and emphasised the urgent need for new central government guidance.</w:t>
      </w:r>
      <w:r w:rsidRPr="002A65B0">
        <w:rPr>
          <w:rStyle w:val="FootnoteReference"/>
        </w:rPr>
        <w:footnoteReference w:id="113"/>
      </w:r>
      <w:r w:rsidRPr="002A65B0">
        <w:t xml:space="preserve"> In its Inclusive Transport Strategy in 2018, in light of these criticisms and concerns, the Department for Transport recommended that local authorities pause the </w:t>
      </w:r>
      <w:r w:rsidRPr="002A65B0">
        <w:lastRenderedPageBreak/>
        <w:t>introduction of new shared space schemes and announced that it was withdrawing Note 1/11 in order to allow time ‘to carry out research and produce updated guidance’.</w:t>
      </w:r>
      <w:r w:rsidRPr="002A65B0">
        <w:rPr>
          <w:rStyle w:val="FootnoteReference"/>
          <w:rFonts w:cs="Arial"/>
        </w:rPr>
        <w:footnoteReference w:id="114"/>
      </w:r>
      <w:r w:rsidRPr="002A65B0">
        <w:t xml:space="preserve"> </w:t>
      </w:r>
    </w:p>
    <w:p w14:paraId="6314552C" w14:textId="77777777" w:rsidR="0019789C" w:rsidRPr="002A65B0" w:rsidRDefault="0019789C" w:rsidP="001203C1"/>
    <w:p w14:paraId="640439AA" w14:textId="77777777" w:rsidR="0019789C" w:rsidRDefault="0019789C" w:rsidP="001203C1">
      <w:pPr>
        <w:rPr>
          <w:rFonts w:cs="Arial"/>
          <w:szCs w:val="24"/>
        </w:rPr>
      </w:pPr>
      <w:r w:rsidRPr="002A65B0">
        <w:rPr>
          <w:rFonts w:cs="Arial"/>
          <w:szCs w:val="24"/>
        </w:rPr>
        <w:t xml:space="preserve">Two other issues with significant potential impact for pedestrians with reduced mobility were identified in the Inclusive Transport Strategy and also featured in responses submitted to the House of Commons Women and Equalities inquiry on Building for Equality. </w:t>
      </w:r>
    </w:p>
    <w:p w14:paraId="5593BE12" w14:textId="77777777" w:rsidR="0019789C" w:rsidRDefault="0019789C" w:rsidP="001203C1">
      <w:pPr>
        <w:rPr>
          <w:rFonts w:cs="Arial"/>
          <w:szCs w:val="24"/>
        </w:rPr>
      </w:pPr>
    </w:p>
    <w:p w14:paraId="22B597F9" w14:textId="606784F1" w:rsidR="0019789C" w:rsidRPr="00417F08" w:rsidRDefault="0019789C" w:rsidP="00AF12BD">
      <w:pPr>
        <w:rPr>
          <w:rFonts w:cs="Arial"/>
          <w:szCs w:val="24"/>
        </w:rPr>
      </w:pPr>
      <w:r w:rsidRPr="002A65B0">
        <w:rPr>
          <w:rFonts w:cs="Arial"/>
          <w:szCs w:val="24"/>
        </w:rPr>
        <w:t xml:space="preserve">First, pavement parking and the potential problems this creates for disabled and older people for whom there is insufficient room left on the pavement was mentioned. </w:t>
      </w:r>
      <w:r>
        <w:t xml:space="preserve">Despite campaigning by stakeholders to introduce a complete ban on pavement parking in England, and to make it a civil offence enforceable by local authorities, efforts have been unsuccessful. The most recent initiative – </w:t>
      </w:r>
      <w:r w:rsidRPr="00EC3B2A">
        <w:t>Pavement Parking (Protection of Vulnerable Pedestrians) Bill 2015-16</w:t>
      </w:r>
      <w:r>
        <w:t xml:space="preserve"> – was debated in the House of Commons in December 2015 and subsequently withdrawn after commitments were made by the government to progress some of the issues raised.</w:t>
      </w:r>
      <w:bookmarkStart w:id="20" w:name="_Ref39668381"/>
      <w:r>
        <w:rPr>
          <w:rStyle w:val="FootnoteReference"/>
        </w:rPr>
        <w:footnoteReference w:id="115"/>
      </w:r>
      <w:bookmarkEnd w:id="20"/>
      <w:r>
        <w:t xml:space="preserve"> The </w:t>
      </w:r>
      <w:r w:rsidRPr="002A65B0">
        <w:rPr>
          <w:rFonts w:cs="Arial"/>
          <w:szCs w:val="24"/>
        </w:rPr>
        <w:t>House of Commons inquiry on Building for Equality</w:t>
      </w:r>
      <w:r>
        <w:rPr>
          <w:rFonts w:cs="Arial"/>
          <w:szCs w:val="24"/>
        </w:rPr>
        <w:t xml:space="preserve"> made a</w:t>
      </w:r>
      <w:r w:rsidRPr="002A65B0">
        <w:rPr>
          <w:rFonts w:cs="Arial"/>
          <w:szCs w:val="24"/>
        </w:rPr>
        <w:t xml:space="preserve"> commitment to ‘a wider review of pavement parking laws and potential options beyond implementing changes to Traffic Regulation Order (TRO) procedures’, and to learning from a consultation on this issue carried out by the Scottish Government.</w:t>
      </w:r>
      <w:r w:rsidRPr="002A65B0">
        <w:rPr>
          <w:rStyle w:val="FootnoteReference"/>
          <w:rFonts w:cs="Arial"/>
          <w:szCs w:val="24"/>
        </w:rPr>
        <w:footnoteReference w:id="116"/>
      </w:r>
      <w:r w:rsidRPr="002A65B0">
        <w:rPr>
          <w:rFonts w:cs="Arial"/>
          <w:szCs w:val="24"/>
        </w:rPr>
        <w:t xml:space="preserve"> </w:t>
      </w:r>
      <w:r>
        <w:t>In 2019, the</w:t>
      </w:r>
      <w:r w:rsidRPr="00417F08">
        <w:rPr>
          <w:rFonts w:cs="Arial"/>
          <w:szCs w:val="24"/>
        </w:rPr>
        <w:t xml:space="preserve"> </w:t>
      </w:r>
      <w:r w:rsidRPr="002A65B0">
        <w:rPr>
          <w:rFonts w:cs="Arial"/>
          <w:szCs w:val="24"/>
        </w:rPr>
        <w:t>House of Commons</w:t>
      </w:r>
      <w:r>
        <w:t xml:space="preserve"> Transport Select Committee launched an inquiry into pavement parking, publishing its report later that year.</w:t>
      </w:r>
      <w:r w:rsidRPr="00417F08">
        <w:rPr>
          <w:rFonts w:cs="Arial"/>
          <w:szCs w:val="24"/>
        </w:rPr>
        <w:t xml:space="preserve"> </w:t>
      </w:r>
      <w:r>
        <w:rPr>
          <w:rFonts w:cs="Arial"/>
          <w:szCs w:val="24"/>
        </w:rPr>
        <w:t>It</w:t>
      </w:r>
      <w:r w:rsidRPr="002A65B0">
        <w:rPr>
          <w:rFonts w:cs="Arial"/>
          <w:szCs w:val="24"/>
        </w:rPr>
        <w:t xml:space="preserve"> expressed concern that the government had failed to take action sooner on this issue and recommended urgent action to make it easier for local authorities to criminalise pavement parking and take effective enforcement action.</w:t>
      </w:r>
      <w:r w:rsidRPr="002A65B0">
        <w:rPr>
          <w:rStyle w:val="FootnoteReference"/>
          <w:rFonts w:cs="Arial"/>
          <w:szCs w:val="24"/>
        </w:rPr>
        <w:footnoteReference w:id="117"/>
      </w:r>
      <w:r>
        <w:t xml:space="preserve"> The Committee ultimately recommended that the government legislate for </w:t>
      </w:r>
      <w:r w:rsidRPr="00EC3B2A">
        <w:rPr>
          <w:rFonts w:eastAsia="Times New Roman"/>
          <w:lang w:val="en-US" w:eastAsia="en-US"/>
        </w:rPr>
        <w:t>a nationwide ban on pavement parking across England</w:t>
      </w:r>
      <w:r>
        <w:rPr>
          <w:rFonts w:eastAsia="Times New Roman"/>
          <w:lang w:val="en-US" w:eastAsia="en-US"/>
        </w:rPr>
        <w:t>, and that</w:t>
      </w:r>
      <w:r>
        <w:t xml:space="preserve"> the relevant legislation give the Secretary of State for Transport powers to issue secondary legislation setting out exemptions that local authorities can use to opt out from a nationwide ban.</w:t>
      </w:r>
      <w:r>
        <w:rPr>
          <w:rStyle w:val="FootnoteReference"/>
          <w:rFonts w:eastAsia="Times New Roman"/>
          <w:lang w:val="en-US" w:eastAsia="en-US"/>
        </w:rPr>
        <w:footnoteReference w:id="118"/>
      </w:r>
      <w:r>
        <w:t xml:space="preserve"> </w:t>
      </w:r>
      <w:r>
        <w:rPr>
          <w:rFonts w:eastAsia="Times New Roman"/>
          <w:shd w:val="clear" w:color="auto" w:fill="FFFFFF"/>
          <w:lang w:val="en-US" w:eastAsia="en-US"/>
        </w:rPr>
        <w:t>A</w:t>
      </w:r>
      <w:r w:rsidRPr="00273022">
        <w:rPr>
          <w:rFonts w:eastAsia="Times New Roman"/>
          <w:shd w:val="clear" w:color="auto" w:fill="FFFFFF"/>
          <w:lang w:val="en-US" w:eastAsia="en-US"/>
        </w:rPr>
        <w:t xml:space="preserve"> </w:t>
      </w:r>
      <w:r>
        <w:rPr>
          <w:rFonts w:eastAsia="Times New Roman"/>
          <w:shd w:val="clear" w:color="auto" w:fill="FFFFFF"/>
          <w:lang w:val="en-US" w:eastAsia="en-US"/>
        </w:rPr>
        <w:t>g</w:t>
      </w:r>
      <w:r w:rsidRPr="00273022">
        <w:rPr>
          <w:rFonts w:eastAsia="Times New Roman"/>
          <w:shd w:val="clear" w:color="auto" w:fill="FFFFFF"/>
          <w:lang w:val="en-US" w:eastAsia="en-US"/>
        </w:rPr>
        <w:t>overnment response</w:t>
      </w:r>
      <w:r>
        <w:rPr>
          <w:rFonts w:eastAsia="Times New Roman"/>
          <w:shd w:val="clear" w:color="auto" w:fill="FFFFFF"/>
          <w:lang w:val="en-US" w:eastAsia="en-US"/>
        </w:rPr>
        <w:t xml:space="preserve"> to the inquiry has not yet been</w:t>
      </w:r>
      <w:r w:rsidRPr="00273022">
        <w:rPr>
          <w:rFonts w:eastAsia="Times New Roman"/>
          <w:shd w:val="clear" w:color="auto" w:fill="FFFFFF"/>
          <w:lang w:val="en-US" w:eastAsia="en-US"/>
        </w:rPr>
        <w:t xml:space="preserve"> received.</w:t>
      </w:r>
      <w:r>
        <w:rPr>
          <w:rFonts w:eastAsia="Times New Roman"/>
          <w:shd w:val="clear" w:color="auto" w:fill="FFFFFF"/>
          <w:lang w:val="en-US" w:eastAsia="en-US"/>
        </w:rPr>
        <w:t xml:space="preserve"> A public consultation was launched and concluded in autumn 2020. It proposed three options to address the problem: 1)</w:t>
      </w:r>
      <w:r w:rsidRPr="00EC3B28">
        <w:rPr>
          <w:rFonts w:eastAsia="Times New Roman"/>
          <w:shd w:val="clear" w:color="auto" w:fill="FFFFFF"/>
          <w:lang w:val="en-US" w:eastAsia="en-US"/>
        </w:rPr>
        <w:t xml:space="preserve"> to rely on improvements to the </w:t>
      </w:r>
      <w:r w:rsidRPr="00EC3B28">
        <w:rPr>
          <w:rFonts w:eastAsia="Times New Roman"/>
          <w:shd w:val="clear" w:color="auto" w:fill="FFFFFF"/>
          <w:lang w:val="en-US" w:eastAsia="en-US"/>
        </w:rPr>
        <w:lastRenderedPageBreak/>
        <w:t>existing TRO system</w:t>
      </w:r>
      <w:r>
        <w:rPr>
          <w:rFonts w:eastAsia="Times New Roman"/>
          <w:shd w:val="clear" w:color="auto" w:fill="FFFFFF"/>
          <w:lang w:val="en-US" w:eastAsia="en-US"/>
        </w:rPr>
        <w:t>; 2)</w:t>
      </w:r>
      <w:r w:rsidRPr="00EC3B28">
        <w:t xml:space="preserve"> </w:t>
      </w:r>
      <w:r w:rsidRPr="00EC3B28">
        <w:rPr>
          <w:rFonts w:eastAsia="Times New Roman"/>
          <w:shd w:val="clear" w:color="auto" w:fill="FFFFFF"/>
          <w:lang w:val="en-US" w:eastAsia="en-US"/>
        </w:rPr>
        <w:t>to allow local authorities with CPE powers to enforce against ‘Unnecessary obstruction of the pavement’</w:t>
      </w:r>
      <w:r>
        <w:rPr>
          <w:rFonts w:eastAsia="Times New Roman"/>
          <w:shd w:val="clear" w:color="auto" w:fill="FFFFFF"/>
          <w:lang w:val="en-US" w:eastAsia="en-US"/>
        </w:rPr>
        <w:t xml:space="preserve">; 3) </w:t>
      </w:r>
      <w:r w:rsidRPr="00EC3B28">
        <w:rPr>
          <w:rFonts w:eastAsia="Times New Roman"/>
          <w:shd w:val="clear" w:color="auto" w:fill="FFFFFF"/>
          <w:lang w:val="en-US" w:eastAsia="en-US"/>
        </w:rPr>
        <w:t>a national pavement parking prohibition</w:t>
      </w:r>
      <w:r>
        <w:rPr>
          <w:rFonts w:eastAsia="Times New Roman"/>
          <w:shd w:val="clear" w:color="auto" w:fill="FFFFFF"/>
          <w:lang w:val="en-US" w:eastAsia="en-US"/>
        </w:rPr>
        <w:t>.</w:t>
      </w:r>
      <w:r>
        <w:rPr>
          <w:rStyle w:val="FootnoteReference"/>
          <w:rFonts w:eastAsia="Times New Roman"/>
          <w:shd w:val="clear" w:color="auto" w:fill="FFFFFF"/>
          <w:lang w:val="en-US" w:eastAsia="en-US"/>
        </w:rPr>
        <w:footnoteReference w:id="119"/>
      </w:r>
    </w:p>
    <w:p w14:paraId="6FE4419A" w14:textId="77777777" w:rsidR="0019789C" w:rsidRDefault="0019789C" w:rsidP="00AF12BD">
      <w:pPr>
        <w:ind w:firstLine="0"/>
        <w:rPr>
          <w:rFonts w:cs="Arial"/>
          <w:szCs w:val="24"/>
        </w:rPr>
      </w:pPr>
    </w:p>
    <w:p w14:paraId="75AB7A27" w14:textId="77777777" w:rsidR="0019789C" w:rsidRDefault="0019789C" w:rsidP="009B6B10">
      <w:pPr>
        <w:rPr>
          <w:rFonts w:cs="Arial"/>
          <w:szCs w:val="24"/>
        </w:rPr>
      </w:pPr>
      <w:r w:rsidRPr="002A65B0">
        <w:rPr>
          <w:rFonts w:cs="Arial"/>
          <w:szCs w:val="24"/>
        </w:rPr>
        <w:t>Second, it was noted that responses to the public consultation preceding the Inclusive Transport Strategy had raised concerns about mobility scooters driving on pavements, and the potential risks this posed for pedestrians.</w:t>
      </w:r>
      <w:r w:rsidRPr="002A65B0">
        <w:rPr>
          <w:rStyle w:val="FootnoteReference"/>
          <w:rFonts w:cs="Arial"/>
          <w:szCs w:val="24"/>
        </w:rPr>
        <w:footnoteReference w:id="120"/>
      </w:r>
      <w:r w:rsidRPr="002A65B0">
        <w:rPr>
          <w:rFonts w:cs="Arial"/>
          <w:szCs w:val="24"/>
        </w:rPr>
        <w:t xml:space="preserve"> It was suggested that this issue would be addressed in the review of guidance in the Inclusive Mobility and Tactile Paving documents.</w:t>
      </w:r>
      <w:r w:rsidRPr="002A65B0">
        <w:rPr>
          <w:rStyle w:val="FootnoteReference"/>
          <w:rFonts w:cs="Arial"/>
          <w:szCs w:val="24"/>
        </w:rPr>
        <w:footnoteReference w:id="121"/>
      </w:r>
      <w:r>
        <w:rPr>
          <w:rFonts w:cs="Arial"/>
          <w:szCs w:val="24"/>
        </w:rPr>
        <w:t xml:space="preserve"> </w:t>
      </w:r>
    </w:p>
    <w:p w14:paraId="3B8B005E" w14:textId="77777777" w:rsidR="0019789C" w:rsidRDefault="0019789C" w:rsidP="009B6B10">
      <w:pPr>
        <w:rPr>
          <w:rFonts w:cs="Arial"/>
          <w:szCs w:val="24"/>
        </w:rPr>
      </w:pPr>
    </w:p>
    <w:p w14:paraId="0D135652" w14:textId="4E7A0E7F" w:rsidR="0019789C" w:rsidRPr="002A65B0" w:rsidRDefault="0019789C" w:rsidP="009B6B10">
      <w:pPr>
        <w:rPr>
          <w:rFonts w:cs="Arial"/>
          <w:szCs w:val="24"/>
        </w:rPr>
      </w:pPr>
      <w:r w:rsidRPr="002A65B0">
        <w:rPr>
          <w:rFonts w:cs="Arial"/>
          <w:szCs w:val="24"/>
        </w:rPr>
        <w:t xml:space="preserve">The interaction between pedestrians and users of micromobility vehicles such as electric scooters has not to date been a concern. This is largely because using e-scooters or a similar device on a public road or pavement would generally be illegal. Because they are classified as </w:t>
      </w:r>
      <w:r w:rsidRPr="002A65B0">
        <w:rPr>
          <w:rFonts w:eastAsia="Times New Roman" w:cs="Arial"/>
          <w:szCs w:val="24"/>
          <w:lang w:eastAsia="en-GB"/>
        </w:rPr>
        <w:t>motor vehicles, their use on public roads is subject to the same safety and other regulatory requirements as cars – requirements which they cannot satisfy. Because they are motorised, their use on pavements is also prohibited.</w:t>
      </w:r>
      <w:r w:rsidRPr="002A65B0">
        <w:rPr>
          <w:rStyle w:val="FootnoteReference"/>
          <w:rFonts w:eastAsia="Times New Roman" w:cs="Arial"/>
          <w:szCs w:val="24"/>
          <w:lang w:eastAsia="en-GB"/>
        </w:rPr>
        <w:footnoteReference w:id="122"/>
      </w:r>
      <w:r w:rsidRPr="002A65B0">
        <w:rPr>
          <w:rFonts w:eastAsia="Times New Roman" w:cs="Arial"/>
          <w:szCs w:val="24"/>
          <w:lang w:eastAsia="en-GB"/>
        </w:rPr>
        <w:t xml:space="preserve"> Questions about their regulation and legalisation, however, are included in the government’s ‘Future of Transport’ consultation, March-May 2020.</w:t>
      </w:r>
      <w:bookmarkStart w:id="21" w:name="_Ref94097376"/>
      <w:r w:rsidRPr="002A65B0">
        <w:rPr>
          <w:rStyle w:val="FootnoteReference"/>
          <w:rFonts w:eastAsia="Times New Roman" w:cs="Arial"/>
          <w:szCs w:val="24"/>
          <w:lang w:eastAsia="en-GB"/>
        </w:rPr>
        <w:footnoteReference w:id="123"/>
      </w:r>
      <w:bookmarkEnd w:id="21"/>
    </w:p>
    <w:p w14:paraId="066AAA08" w14:textId="77777777" w:rsidR="0019789C" w:rsidRPr="002A65B0" w:rsidRDefault="0019789C" w:rsidP="001203C1">
      <w:pPr>
        <w:rPr>
          <w:rFonts w:cs="Arial"/>
          <w:szCs w:val="24"/>
        </w:rPr>
      </w:pPr>
    </w:p>
    <w:p w14:paraId="39E32E27" w14:textId="190C42C8" w:rsidR="0019789C" w:rsidRPr="002A65B0" w:rsidRDefault="0019789C" w:rsidP="001203C1">
      <w:pPr>
        <w:rPr>
          <w:rFonts w:cs="Arial"/>
          <w:szCs w:val="24"/>
        </w:rPr>
      </w:pPr>
      <w:r w:rsidRPr="002A65B0">
        <w:rPr>
          <w:rFonts w:cs="Arial"/>
          <w:szCs w:val="24"/>
        </w:rPr>
        <w:t>Alongside a strategic focus on accessible and inclusive transport and mobility, there are also Department for Transport initiatives to encourage more cycling and walking as modes of transport. Accordingly, in 2017 the Department for Transport published its ‘Cycling and Walking Investment Strategy’.</w:t>
      </w:r>
      <w:bookmarkStart w:id="22" w:name="_Ref39673997"/>
      <w:r w:rsidRPr="002A65B0">
        <w:rPr>
          <w:rStyle w:val="FootnoteReference"/>
          <w:rFonts w:cs="Arial"/>
          <w:szCs w:val="24"/>
        </w:rPr>
        <w:footnoteReference w:id="124"/>
      </w:r>
      <w:bookmarkEnd w:id="22"/>
      <w:r w:rsidRPr="002A65B0">
        <w:rPr>
          <w:rFonts w:cs="Arial"/>
          <w:szCs w:val="24"/>
        </w:rPr>
        <w:t xml:space="preserve"> This promotes the government’s ambition ‘to make cycling and walking the natural choices for shorter journeys, or as part of a longer journey’.</w:t>
      </w:r>
      <w:r w:rsidRPr="002A65B0">
        <w:rPr>
          <w:rStyle w:val="FootnoteReference"/>
          <w:rFonts w:cs="Arial"/>
          <w:szCs w:val="24"/>
        </w:rPr>
        <w:footnoteReference w:id="125"/>
      </w:r>
      <w:r w:rsidRPr="002A65B0">
        <w:rPr>
          <w:rFonts w:cs="Arial"/>
          <w:szCs w:val="24"/>
        </w:rPr>
        <w:t xml:space="preserve"> According to the Department for Transport, in order to ‘build a society </w:t>
      </w:r>
      <w:r w:rsidRPr="002A65B0">
        <w:rPr>
          <w:rFonts w:cs="Arial"/>
          <w:szCs w:val="24"/>
        </w:rPr>
        <w:lastRenderedPageBreak/>
        <w:t>that works for all, we want more people to have access to safe, attractive routes for cycling and walking by 2040’.</w:t>
      </w:r>
      <w:r w:rsidRPr="002A65B0">
        <w:rPr>
          <w:rStyle w:val="FootnoteReference"/>
          <w:rFonts w:cs="Arial"/>
          <w:szCs w:val="24"/>
        </w:rPr>
        <w:footnoteReference w:id="126"/>
      </w:r>
    </w:p>
    <w:p w14:paraId="5B6E6801" w14:textId="77777777" w:rsidR="0019789C" w:rsidRPr="002A65B0" w:rsidRDefault="0019789C" w:rsidP="001203C1">
      <w:pPr>
        <w:rPr>
          <w:rFonts w:cs="Arial"/>
          <w:szCs w:val="24"/>
        </w:rPr>
      </w:pPr>
    </w:p>
    <w:p w14:paraId="3598E666" w14:textId="1E3C9A36" w:rsidR="0019789C" w:rsidRPr="002A65B0" w:rsidRDefault="0019789C" w:rsidP="001203C1">
      <w:pPr>
        <w:rPr>
          <w:rFonts w:cs="Arial"/>
          <w:szCs w:val="24"/>
        </w:rPr>
      </w:pPr>
      <w:r w:rsidRPr="002A65B0">
        <w:rPr>
          <w:rFonts w:cs="Arial"/>
          <w:szCs w:val="24"/>
        </w:rPr>
        <w:t>Finally, mention should be made of a strategic initiative of the College of Policing relating to policing roads.</w:t>
      </w:r>
      <w:r w:rsidRPr="002A65B0">
        <w:rPr>
          <w:rStyle w:val="FootnoteReference"/>
          <w:rFonts w:eastAsia="Times New Roman" w:cs="Arial"/>
          <w:szCs w:val="24"/>
          <w:lang w:eastAsia="en-US"/>
        </w:rPr>
        <w:footnoteReference w:id="127"/>
      </w:r>
      <w:r w:rsidRPr="002A65B0">
        <w:rPr>
          <w:rFonts w:cs="Arial"/>
          <w:szCs w:val="24"/>
        </w:rPr>
        <w:t xml:space="preserve"> Also noteworthy is the guidance into investigations of fatalities in road accidents set out by the </w:t>
      </w:r>
      <w:r w:rsidRPr="002A65B0">
        <w:rPr>
          <w:rFonts w:eastAsia="Times New Roman" w:cs="Arial"/>
          <w:szCs w:val="24"/>
        </w:rPr>
        <w:t>Association of Chief Police Officers/ National Policing Improvement Agency in the ‘Road Death Investigation Manual (2007). Its purpose</w:t>
      </w:r>
      <w:r w:rsidRPr="002A65B0">
        <w:rPr>
          <w:rFonts w:cs="Arial"/>
          <w:szCs w:val="24"/>
        </w:rPr>
        <w:t xml:space="preserve"> is to assist forces to develop policies and business processes to ensure that deaths on the road are investigated professionally.</w:t>
      </w:r>
    </w:p>
    <w:p w14:paraId="7587A990" w14:textId="77777777" w:rsidR="0019789C" w:rsidRPr="002A65B0" w:rsidRDefault="0019789C" w:rsidP="009238DD">
      <w:pPr>
        <w:rPr>
          <w:rFonts w:cs="Arial"/>
          <w:szCs w:val="24"/>
          <w:lang w:bidi="en-US"/>
        </w:rPr>
      </w:pPr>
    </w:p>
    <w:p w14:paraId="47A15544" w14:textId="567C275C" w:rsidR="0019789C" w:rsidRPr="002A65B0" w:rsidRDefault="0019789C" w:rsidP="00377E0F">
      <w:pPr>
        <w:pStyle w:val="Heading4"/>
      </w:pPr>
      <w:r w:rsidRPr="002A65B0">
        <w:t>A5.1.3 Planning</w:t>
      </w:r>
    </w:p>
    <w:p w14:paraId="55E61EEC" w14:textId="045F68D8" w:rsidR="0019789C" w:rsidRPr="002A65B0" w:rsidRDefault="0019789C" w:rsidP="007A43D1">
      <w:pPr>
        <w:rPr>
          <w:rFonts w:cs="Arial"/>
          <w:szCs w:val="24"/>
          <w:lang w:bidi="en-US"/>
        </w:rPr>
      </w:pPr>
      <w:r w:rsidRPr="002A65B0">
        <w:rPr>
          <w:rFonts w:cs="Arial"/>
          <w:szCs w:val="24"/>
          <w:lang w:bidi="en-US"/>
        </w:rPr>
        <w:t>Since the Town and Country Planning Act 1947, any new ‘development’ requires planning permission. Applications for planning permission are made to the Local Planning Authority covering the area in which the development would take place.</w:t>
      </w:r>
      <w:r>
        <w:rPr>
          <w:rFonts w:cs="Arial"/>
          <w:szCs w:val="24"/>
          <w:lang w:bidi="en-US"/>
        </w:rPr>
        <w:t xml:space="preserve"> </w:t>
      </w:r>
      <w:r w:rsidRPr="002A65B0">
        <w:rPr>
          <w:rFonts w:cs="Arial"/>
          <w:szCs w:val="24"/>
          <w:lang w:bidi="en-US"/>
        </w:rPr>
        <w:t>Planning permission can be granted subject to ‘planning conditions’, which specify that a particular thing is or is not done by the developer. All applications must be decided in accordance with the policy laid down in the relevant local development plan. These plans must be drawn up in accordance with national planning policy, which is set out in the National Planning Policy Framework (NPPF). It is one of the roles of the Planning Inspectorate to approve local plans and ensure they are consistent with the NPPF.</w:t>
      </w:r>
    </w:p>
    <w:p w14:paraId="0613CBC2" w14:textId="77777777" w:rsidR="0019789C" w:rsidRPr="002A65B0" w:rsidRDefault="0019789C" w:rsidP="007A43D1">
      <w:pPr>
        <w:rPr>
          <w:rFonts w:cs="Arial"/>
          <w:szCs w:val="24"/>
          <w:lang w:bidi="en-US"/>
        </w:rPr>
      </w:pPr>
    </w:p>
    <w:p w14:paraId="30D6256E" w14:textId="78E3D294" w:rsidR="0019789C" w:rsidRPr="002A65B0" w:rsidRDefault="0019789C" w:rsidP="007A43D1">
      <w:pPr>
        <w:rPr>
          <w:rFonts w:cs="Arial"/>
          <w:szCs w:val="24"/>
        </w:rPr>
      </w:pPr>
      <w:r w:rsidRPr="002A65B0">
        <w:rPr>
          <w:rFonts w:cs="Arial"/>
          <w:iCs/>
          <w:szCs w:val="24"/>
        </w:rPr>
        <w:t xml:space="preserve">The most recent version of the </w:t>
      </w:r>
      <w:r w:rsidRPr="002A65B0">
        <w:rPr>
          <w:rFonts w:cs="Arial"/>
          <w:szCs w:val="24"/>
        </w:rPr>
        <w:t>NP</w:t>
      </w:r>
      <w:r>
        <w:rPr>
          <w:rFonts w:cs="Arial"/>
          <w:szCs w:val="24"/>
        </w:rPr>
        <w:t>P</w:t>
      </w:r>
      <w:r w:rsidRPr="002A65B0">
        <w:rPr>
          <w:rFonts w:cs="Arial"/>
          <w:szCs w:val="24"/>
        </w:rPr>
        <w:t xml:space="preserve">F was issued in 2019. Chapter 8 (Promoting healthy and safe communities) states that </w:t>
      </w:r>
    </w:p>
    <w:p w14:paraId="42EEB2F3" w14:textId="77777777" w:rsidR="0019789C" w:rsidRPr="002A65B0" w:rsidRDefault="0019789C" w:rsidP="009B24B4">
      <w:pPr>
        <w:pStyle w:val="Quote"/>
        <w:rPr>
          <w:rFonts w:cs="Arial"/>
          <w:szCs w:val="24"/>
        </w:rPr>
      </w:pPr>
      <w:r w:rsidRPr="002A65B0">
        <w:rPr>
          <w:rFonts w:cs="Arial"/>
          <w:szCs w:val="24"/>
        </w:rPr>
        <w:t xml:space="preserve">Planning policies and decisions should aim to achieve healthy, inclusive and safe places which … are safe and accessible, so that crime and disorder, and the fear of crime, do not undermine the quality of life or community cohesion – for example through the use of clear and legible pedestrian routes, and high </w:t>
      </w:r>
      <w:r w:rsidRPr="002A65B0">
        <w:rPr>
          <w:rFonts w:cs="Arial"/>
          <w:szCs w:val="24"/>
        </w:rPr>
        <w:lastRenderedPageBreak/>
        <w:t>quality public space, which encourage the active and continual use of public areas.</w:t>
      </w:r>
      <w:r w:rsidRPr="002A65B0">
        <w:rPr>
          <w:rStyle w:val="FootnoteReference"/>
          <w:rFonts w:cs="Arial"/>
          <w:szCs w:val="24"/>
        </w:rPr>
        <w:footnoteReference w:id="128"/>
      </w:r>
      <w:r w:rsidRPr="002A65B0">
        <w:rPr>
          <w:rFonts w:cs="Arial"/>
          <w:szCs w:val="24"/>
        </w:rPr>
        <w:t xml:space="preserve"> </w:t>
      </w:r>
    </w:p>
    <w:p w14:paraId="60530D09" w14:textId="77777777" w:rsidR="0019789C" w:rsidRPr="002A65B0" w:rsidRDefault="0019789C" w:rsidP="00143462"/>
    <w:p w14:paraId="1888ECDB" w14:textId="2281C22F" w:rsidR="0019789C" w:rsidRPr="002A65B0" w:rsidRDefault="0019789C" w:rsidP="00143462">
      <w:r w:rsidRPr="002A65B0">
        <w:t xml:space="preserve">A number of concerns have been expressed about the NPPF and its implementation. </w:t>
      </w:r>
      <w:r w:rsidRPr="002A65B0">
        <w:rPr>
          <w:rFonts w:cs="Arial"/>
          <w:szCs w:val="24"/>
        </w:rPr>
        <w:t>First, its implications and effect have been the subject of inconsistent judicial interpretation. Commentators have claimed that this has resulted in unhelpful complexity</w:t>
      </w:r>
      <w:r>
        <w:rPr>
          <w:rFonts w:cs="Arial"/>
          <w:szCs w:val="24"/>
        </w:rPr>
        <w:t xml:space="preserve"> </w:t>
      </w:r>
      <w:r w:rsidRPr="002A65B0">
        <w:rPr>
          <w:rFonts w:cs="Arial"/>
          <w:szCs w:val="24"/>
        </w:rPr>
        <w:t>and ‘excessive legalism’ in planning policy.</w:t>
      </w:r>
      <w:r w:rsidRPr="002A65B0">
        <w:rPr>
          <w:rStyle w:val="FootnoteReference"/>
          <w:rFonts w:cs="Arial"/>
          <w:szCs w:val="24"/>
        </w:rPr>
        <w:footnoteReference w:id="129"/>
      </w:r>
      <w:r w:rsidRPr="002A65B0">
        <w:t xml:space="preserve"> </w:t>
      </w:r>
    </w:p>
    <w:p w14:paraId="29A86CBA" w14:textId="77777777" w:rsidR="0019789C" w:rsidRPr="002A65B0" w:rsidRDefault="0019789C" w:rsidP="00143462"/>
    <w:p w14:paraId="45697455" w14:textId="57F33E43" w:rsidR="0019789C" w:rsidRPr="002A65B0" w:rsidRDefault="0019789C" w:rsidP="00143462">
      <w:r w:rsidRPr="002A65B0">
        <w:rPr>
          <w:rFonts w:cs="Arial"/>
          <w:szCs w:val="24"/>
        </w:rPr>
        <w:t>Second, there is a concern that the Framework does not sufficiently embed and prioritise principles of accessibility and inclusive design. The 2019 NPPF does not specifically mention the principle of inclusive design</w:t>
      </w:r>
      <w:bookmarkStart w:id="23" w:name="_Ref32912815"/>
      <w:r w:rsidRPr="002A65B0">
        <w:rPr>
          <w:rStyle w:val="FootnoteReference"/>
          <w:rFonts w:cs="Arial"/>
          <w:szCs w:val="24"/>
        </w:rPr>
        <w:footnoteReference w:id="130"/>
      </w:r>
      <w:bookmarkEnd w:id="23"/>
      <w:r w:rsidRPr="002A65B0">
        <w:rPr>
          <w:rFonts w:cs="Arial"/>
          <w:szCs w:val="24"/>
        </w:rPr>
        <w:t xml:space="preserve"> - although the accompanying practical guidance does refer to it, explaining that an ‘inclusive environment is one that can be accessed and used by everyone’ which ‘recognises and accommodates differences in the way people use the built environment’.</w:t>
      </w:r>
      <w:r w:rsidRPr="002A65B0">
        <w:rPr>
          <w:rStyle w:val="FootnoteReference"/>
          <w:rFonts w:cs="Arial"/>
          <w:szCs w:val="24"/>
        </w:rPr>
        <w:footnoteReference w:id="131"/>
      </w:r>
      <w:r w:rsidRPr="002A65B0">
        <w:rPr>
          <w:rFonts w:cs="Arial"/>
          <w:szCs w:val="24"/>
        </w:rPr>
        <w:t xml:space="preserve"> The Women and Equalities Committee had urged the government to give inclusive design and accessibility a much higher profile in the planning framework, so that Local Planning Authorities would be made aware of the importance of taking accessibility into account when making planning decisions and emphasising that failure to do so could contravene the Equality Act’s Public Sector Equality Duty and anticipatory reasonable adjustment duty.</w:t>
      </w:r>
      <w:r w:rsidRPr="002A65B0">
        <w:rPr>
          <w:rStyle w:val="FootnoteReference"/>
          <w:rFonts w:cs="Arial"/>
          <w:szCs w:val="24"/>
        </w:rPr>
        <w:footnoteReference w:id="132"/>
      </w:r>
      <w:r w:rsidRPr="002A65B0">
        <w:rPr>
          <w:rFonts w:cs="Arial"/>
          <w:szCs w:val="24"/>
        </w:rPr>
        <w:t xml:space="preserve"> </w:t>
      </w:r>
    </w:p>
    <w:p w14:paraId="241CCE0E" w14:textId="4EEF9AC5" w:rsidR="0019789C" w:rsidRPr="002A65B0" w:rsidRDefault="0019789C" w:rsidP="003249A5">
      <w:pPr>
        <w:ind w:firstLine="0"/>
        <w:rPr>
          <w:rFonts w:cs="Arial"/>
          <w:szCs w:val="24"/>
        </w:rPr>
      </w:pPr>
    </w:p>
    <w:p w14:paraId="251FF147" w14:textId="01A5EA83" w:rsidR="0019789C" w:rsidRPr="002A65B0" w:rsidRDefault="0019789C" w:rsidP="00143462">
      <w:pPr>
        <w:rPr>
          <w:rFonts w:cs="Arial"/>
          <w:szCs w:val="24"/>
        </w:rPr>
      </w:pPr>
      <w:r w:rsidRPr="002A65B0">
        <w:rPr>
          <w:rFonts w:cs="Arial"/>
          <w:szCs w:val="24"/>
        </w:rPr>
        <w:t xml:space="preserve">The importance of embedding accessibility considerations into local plans and the planning process was also stressed in a recent report of the Chartered Institute of </w:t>
      </w:r>
      <w:r w:rsidRPr="002A65B0">
        <w:rPr>
          <w:rFonts w:cs="Arial"/>
          <w:szCs w:val="24"/>
        </w:rPr>
        <w:lastRenderedPageBreak/>
        <w:t>Highways and Transportation on ‘Better planning, better transport, better places’.</w:t>
      </w:r>
      <w:bookmarkStart w:id="24" w:name="_Ref39674022"/>
      <w:r w:rsidRPr="002A65B0">
        <w:rPr>
          <w:rStyle w:val="FootnoteReference"/>
          <w:rFonts w:cs="Arial"/>
          <w:szCs w:val="24"/>
        </w:rPr>
        <w:footnoteReference w:id="133"/>
      </w:r>
      <w:bookmarkEnd w:id="24"/>
      <w:r w:rsidRPr="002A65B0">
        <w:rPr>
          <w:rFonts w:cs="Arial"/>
          <w:szCs w:val="24"/>
        </w:rPr>
        <w:t xml:space="preserve"> However, it is unclear how the term ‘accessibility’ is being used in this report – context suggests that it refers here to</w:t>
      </w:r>
      <w:r>
        <w:rPr>
          <w:rFonts w:cs="Arial"/>
          <w:szCs w:val="24"/>
        </w:rPr>
        <w:t xml:space="preserve"> </w:t>
      </w:r>
      <w:r w:rsidRPr="002A65B0">
        <w:rPr>
          <w:rFonts w:cs="Arial"/>
          <w:szCs w:val="24"/>
        </w:rPr>
        <w:t xml:space="preserve">granting access to different modes of transport rather than to ensuring that those modes of transport are useable by all people, including those with reduced mobility. </w:t>
      </w:r>
    </w:p>
    <w:p w14:paraId="73A81ACC" w14:textId="77777777" w:rsidR="0019789C" w:rsidRPr="002A65B0" w:rsidRDefault="0019789C" w:rsidP="00143462">
      <w:pPr>
        <w:rPr>
          <w:rFonts w:cs="Arial"/>
          <w:szCs w:val="24"/>
        </w:rPr>
      </w:pPr>
    </w:p>
    <w:p w14:paraId="1840A3ED" w14:textId="1F876EF7" w:rsidR="0019789C" w:rsidRPr="002A65B0" w:rsidRDefault="0019789C" w:rsidP="00900CAA">
      <w:pPr>
        <w:rPr>
          <w:rFonts w:cs="Arial"/>
          <w:szCs w:val="24"/>
        </w:rPr>
      </w:pPr>
      <w:r w:rsidRPr="002A65B0">
        <w:rPr>
          <w:rFonts w:cs="Arial"/>
          <w:szCs w:val="24"/>
        </w:rPr>
        <w:t>Third, the Women and Equalities Committee also expressed concern that evidence suggested the Planning Inspectorate was operating in a way that gave insufficient emphasis to accessibility and inclusive design. It recommended that the Planning Inspectorate should not approve Local Plans unless there was</w:t>
      </w:r>
      <w:r>
        <w:rPr>
          <w:rFonts w:cs="Arial"/>
          <w:szCs w:val="24"/>
        </w:rPr>
        <w:t xml:space="preserve"> </w:t>
      </w:r>
      <w:r w:rsidRPr="002A65B0">
        <w:rPr>
          <w:rFonts w:cs="Arial"/>
          <w:szCs w:val="24"/>
        </w:rPr>
        <w:t>evidence that they adequately addressed access for disabled people, including as regards public spaces.</w:t>
      </w:r>
      <w:r w:rsidRPr="002A65B0">
        <w:rPr>
          <w:rStyle w:val="FootnoteReference"/>
          <w:rFonts w:cs="Arial"/>
          <w:szCs w:val="24"/>
        </w:rPr>
        <w:footnoteReference w:id="134"/>
      </w:r>
    </w:p>
    <w:p w14:paraId="511B10FE" w14:textId="77777777" w:rsidR="0019789C" w:rsidRPr="002A65B0" w:rsidRDefault="0019789C" w:rsidP="007A43D1">
      <w:pPr>
        <w:rPr>
          <w:lang w:bidi="en-US"/>
        </w:rPr>
      </w:pPr>
    </w:p>
    <w:p w14:paraId="1350FEA7" w14:textId="7482687A" w:rsidR="0019789C" w:rsidRPr="002A65B0" w:rsidRDefault="0019789C" w:rsidP="00AE3A75">
      <w:pPr>
        <w:pStyle w:val="Heading4"/>
      </w:pPr>
      <w:r w:rsidRPr="002A65B0">
        <w:t>A5.1.4 Structures for Stakeholder Involvement</w:t>
      </w:r>
    </w:p>
    <w:p w14:paraId="09C69DC5" w14:textId="1CCD86B2" w:rsidR="0019789C" w:rsidRPr="002A65B0" w:rsidRDefault="0019789C" w:rsidP="00707CFA">
      <w:pPr>
        <w:rPr>
          <w:lang w:bidi="en-US"/>
        </w:rPr>
      </w:pPr>
      <w:r w:rsidRPr="002A65B0">
        <w:rPr>
          <w:lang w:bidi="en-US"/>
        </w:rPr>
        <w:t>There are a number of different mechanisms designed to ensure stakeholder involvement in the types of policy discussed above.</w:t>
      </w:r>
    </w:p>
    <w:p w14:paraId="100D1E05" w14:textId="77777777" w:rsidR="0019789C" w:rsidRPr="002A65B0" w:rsidRDefault="0019789C" w:rsidP="00707CFA">
      <w:pPr>
        <w:rPr>
          <w:lang w:bidi="en-US"/>
        </w:rPr>
      </w:pPr>
    </w:p>
    <w:p w14:paraId="0AB0076C" w14:textId="3B6DB5BC" w:rsidR="0019789C" w:rsidRPr="002A65B0" w:rsidRDefault="0019789C" w:rsidP="00707CFA">
      <w:pPr>
        <w:rPr>
          <w:lang w:bidi="en-US"/>
        </w:rPr>
      </w:pPr>
      <w:r w:rsidRPr="002A65B0">
        <w:rPr>
          <w:lang w:bidi="en-US"/>
        </w:rPr>
        <w:t xml:space="preserve"> The Equality and Human Rights Commission has been supported and informed, in relation to its disability-related work, by the Disability Advisory Committee since 2018. This consists of fourteen members, all of whom are disabled people, with a range of different expertise, networks and impairments. It meets at least four times a year.</w:t>
      </w:r>
      <w:r w:rsidRPr="002A65B0">
        <w:rPr>
          <w:rStyle w:val="FootnoteReference"/>
          <w:lang w:bidi="en-US"/>
        </w:rPr>
        <w:footnoteReference w:id="135"/>
      </w:r>
      <w:r w:rsidRPr="002A65B0">
        <w:rPr>
          <w:lang w:bidi="en-US"/>
        </w:rPr>
        <w:t xml:space="preserve"> It replaces the Disability Committee, required to exist by statute in the early years of the EHRC. The work of the EHRC, and therefore that of the Disability Committee, covers England and Scotland and Wales.</w:t>
      </w:r>
    </w:p>
    <w:p w14:paraId="3DE9F942" w14:textId="540C2481" w:rsidR="0019789C" w:rsidRPr="002A65B0" w:rsidRDefault="0019789C" w:rsidP="00707CFA">
      <w:pPr>
        <w:rPr>
          <w:lang w:bidi="en-US"/>
        </w:rPr>
      </w:pPr>
    </w:p>
    <w:p w14:paraId="70E1464C" w14:textId="5247CC5D" w:rsidR="0019789C" w:rsidRPr="002A65B0" w:rsidRDefault="0019789C" w:rsidP="00707CFA">
      <w:pPr>
        <w:rPr>
          <w:lang w:bidi="en-US"/>
        </w:rPr>
      </w:pPr>
      <w:r w:rsidRPr="002A65B0">
        <w:rPr>
          <w:lang w:bidi="en-US"/>
        </w:rPr>
        <w:t xml:space="preserve">In December 2018, the government announced that it would be establishing a Disability Regional Stakeholder Network to inform the priorities and work of </w:t>
      </w:r>
      <w:r w:rsidRPr="002A65B0">
        <w:rPr>
          <w:lang w:bidi="en-US"/>
        </w:rPr>
        <w:lastRenderedPageBreak/>
        <w:t>government.</w:t>
      </w:r>
      <w:r w:rsidRPr="002A65B0">
        <w:rPr>
          <w:rStyle w:val="FootnoteReference"/>
          <w:lang w:bidi="en-US"/>
        </w:rPr>
        <w:footnoteReference w:id="136"/>
      </w:r>
      <w:r w:rsidRPr="002A65B0">
        <w:rPr>
          <w:lang w:bidi="en-US"/>
        </w:rPr>
        <w:t>This has nine regional groups across England. Previous initiatives to ensure government was adequately informed by the lived experience of disabled people have existed.</w:t>
      </w:r>
    </w:p>
    <w:p w14:paraId="4E2FCE79" w14:textId="1B10CBCE" w:rsidR="0019789C" w:rsidRPr="002A65B0" w:rsidRDefault="0019789C" w:rsidP="00900CAA">
      <w:pPr>
        <w:rPr>
          <w:lang w:bidi="en-US"/>
        </w:rPr>
      </w:pPr>
    </w:p>
    <w:p w14:paraId="01BD9F92" w14:textId="7E8BDB94" w:rsidR="0019789C" w:rsidRPr="002A65B0" w:rsidRDefault="0019789C" w:rsidP="00900CAA">
      <w:pPr>
        <w:rPr>
          <w:lang w:bidi="en-US"/>
        </w:rPr>
      </w:pPr>
      <w:r w:rsidRPr="002A65B0">
        <w:t>In relation to transport specifically, the Disabled Persons Transport Advisory Committee (DIPTAC) is an independent body established by the Transport Act 1985 to advise the Department for Transport on the transport needs of disabled people. Its role</w:t>
      </w:r>
      <w:r w:rsidRPr="002A65B0">
        <w:rPr>
          <w:rFonts w:eastAsia="Times New Roman"/>
        </w:rPr>
        <w:t xml:space="preserve"> is to give advice on transport legislation, regulations and guidance. </w:t>
      </w:r>
      <w:r w:rsidRPr="002A65B0">
        <w:rPr>
          <w:lang w:bidi="en-US"/>
        </w:rPr>
        <w:t>The Pan-disability Transport Advisory Group (PTAG) was set up to provide external advice and support to the Department for Transport in rolling out the actions in the Inclusive Transport Strategy.</w:t>
      </w:r>
    </w:p>
    <w:p w14:paraId="1E7C6E47" w14:textId="77777777" w:rsidR="0019789C" w:rsidRPr="002A65B0" w:rsidRDefault="0019789C" w:rsidP="00900CAA"/>
    <w:p w14:paraId="648A889F" w14:textId="30D8038B" w:rsidR="0019789C" w:rsidRPr="002A65B0" w:rsidRDefault="0019789C" w:rsidP="00936D29">
      <w:r w:rsidRPr="002A65B0">
        <w:rPr>
          <w:lang w:bidi="en-US"/>
        </w:rPr>
        <w:t>In relation to age, after the 2009 report ‘Empowering Engagement: A Stronger Voice for Older People’, the UK government established the UK Advisory Forum on Ageing. This aimed to</w:t>
      </w:r>
      <w:r w:rsidRPr="002A65B0">
        <w:t xml:space="preserve"> ensure that the views of older people on issues such as new policies and services affecting them were heard and responded to by government. Members included representatives of organisations working with and for older people, regional representatives from older people groups, representatives of devolved nations and government offices, and individual older people. The Forum closed in 2015, with the government stating that it would continue to engage with older people through well-established channels.</w:t>
      </w:r>
      <w:r w:rsidRPr="002A65B0">
        <w:rPr>
          <w:rStyle w:val="FootnoteReference"/>
        </w:rPr>
        <w:footnoteReference w:id="137"/>
      </w:r>
    </w:p>
    <w:p w14:paraId="492FD7A9" w14:textId="0D90F2EE" w:rsidR="0019789C" w:rsidRPr="002A65B0" w:rsidRDefault="0019789C" w:rsidP="00976644">
      <w:pPr>
        <w:ind w:firstLine="0"/>
      </w:pPr>
    </w:p>
    <w:p w14:paraId="5F5B5105" w14:textId="4347DCD0" w:rsidR="0019789C" w:rsidRPr="002A65B0" w:rsidRDefault="0019789C" w:rsidP="00F36FD5">
      <w:pPr>
        <w:pStyle w:val="Heading3"/>
      </w:pPr>
      <w:r w:rsidRPr="002A65B0">
        <w:t>A5.2 Scotland</w:t>
      </w:r>
    </w:p>
    <w:p w14:paraId="4D400F46" w14:textId="24BBC547" w:rsidR="0019789C" w:rsidRPr="002A65B0" w:rsidRDefault="0019789C" w:rsidP="009027AB">
      <w:pPr>
        <w:pStyle w:val="Heading4"/>
        <w:ind w:left="851" w:firstLine="0"/>
      </w:pPr>
      <w:r w:rsidRPr="002A65B0">
        <w:t>A5.2.1 Equality and Inclusion</w:t>
      </w:r>
    </w:p>
    <w:p w14:paraId="6000A6B5" w14:textId="2E3E80FE" w:rsidR="0019789C" w:rsidRPr="002A65B0" w:rsidRDefault="0019789C" w:rsidP="00936D29">
      <w:pPr>
        <w:pStyle w:val="Heading5"/>
      </w:pPr>
      <w:r w:rsidRPr="002A65B0">
        <w:t>(a) Equality</w:t>
      </w:r>
    </w:p>
    <w:p w14:paraId="255F9A71" w14:textId="77777777" w:rsidR="0019789C" w:rsidRPr="002A65B0" w:rsidRDefault="0019789C" w:rsidP="009027AB">
      <w:pPr>
        <w:rPr>
          <w:lang w:bidi="en-US"/>
        </w:rPr>
      </w:pPr>
      <w:r w:rsidRPr="002A65B0">
        <w:rPr>
          <w:lang w:bidi="en-US"/>
        </w:rPr>
        <w:t>Please see Section A4.1 above. It should be noted, however, that Scotland has introduced a number of relevant initiatives which go beyond what is mentioned there.</w:t>
      </w:r>
    </w:p>
    <w:p w14:paraId="31D4A120" w14:textId="77777777" w:rsidR="0019789C" w:rsidRPr="002A65B0" w:rsidRDefault="0019789C" w:rsidP="009027AB">
      <w:pPr>
        <w:rPr>
          <w:lang w:bidi="en-US"/>
        </w:rPr>
      </w:pPr>
    </w:p>
    <w:p w14:paraId="4C3A8086" w14:textId="77777777" w:rsidR="0019789C" w:rsidRPr="002A65B0" w:rsidRDefault="0019789C" w:rsidP="00900CAA">
      <w:r w:rsidRPr="002A65B0">
        <w:rPr>
          <w:lang w:bidi="en-US"/>
        </w:rPr>
        <w:lastRenderedPageBreak/>
        <w:t>First, in 2016 the Scottish government adopted the ‘Fairer Scotland Action Plan’.</w:t>
      </w:r>
      <w:r w:rsidRPr="002A65B0">
        <w:rPr>
          <w:rStyle w:val="FootnoteReference"/>
          <w:lang w:bidi="en-US"/>
        </w:rPr>
        <w:footnoteReference w:id="138"/>
      </w:r>
      <w:r w:rsidRPr="002A65B0">
        <w:rPr>
          <w:lang w:bidi="en-US"/>
        </w:rPr>
        <w:t xml:space="preserve"> While not describing itself as an equality strategy, its focus is fairness and inclusion and it is therefore very much concerned with equality issues. By 2030, it aims to generate</w:t>
      </w:r>
      <w:r w:rsidRPr="002A65B0">
        <w:t xml:space="preserve"> ‘a fair, smart, inclusive Scotland, where everyone can feel at home, where fair work helps businesses to thrive and create jobs, where poverty rates are amongst the lowest in Europe, and where there is genuinely equal opportunity for all’.</w:t>
      </w:r>
      <w:r w:rsidRPr="002A65B0">
        <w:rPr>
          <w:rStyle w:val="FootnoteReference"/>
        </w:rPr>
        <w:footnoteReference w:id="139"/>
      </w:r>
      <w:r w:rsidRPr="002A65B0">
        <w:t xml:space="preserve"> The link between this strategy and the subsequent strategies for disabled people and for older people discussed below are emphasised by the fact they too include ‘Fairer Scotland’ in their titles.</w:t>
      </w:r>
    </w:p>
    <w:p w14:paraId="668B96F3" w14:textId="77777777" w:rsidR="0019789C" w:rsidRPr="002A65B0" w:rsidRDefault="0019789C" w:rsidP="00900CAA"/>
    <w:p w14:paraId="18648091" w14:textId="7B618080" w:rsidR="0019789C" w:rsidRPr="002A65B0" w:rsidRDefault="0019789C" w:rsidP="00900CAA">
      <w:r w:rsidRPr="002A65B0">
        <w:rPr>
          <w:lang w:bidi="en-US"/>
        </w:rPr>
        <w:t>Second, the Scottish government has introduced a number of instruments relating to equality law that depart from the approach taken in England. It has, for instance, introduced statutory instruments which create different ‘specific duties’ under the Public Sector Equality Act from those introduced in England. Under the Equality Act 2010 (Specific Duties) (Scotland) Regulations 2012,</w:t>
      </w:r>
      <w:r w:rsidRPr="002A65B0">
        <w:rPr>
          <w:rStyle w:val="FootnoteReference"/>
          <w:lang w:bidi="en-US"/>
        </w:rPr>
        <w:footnoteReference w:id="140"/>
      </w:r>
      <w:r w:rsidRPr="002A65B0">
        <w:rPr>
          <w:lang w:bidi="en-US"/>
        </w:rPr>
        <w:t xml:space="preserve"> unlike the equivalent regulations applicable in England,</w:t>
      </w:r>
      <w:r w:rsidRPr="002A65B0">
        <w:rPr>
          <w:rStyle w:val="FootnoteReference"/>
          <w:lang w:bidi="en-US"/>
        </w:rPr>
        <w:footnoteReference w:id="141"/>
      </w:r>
      <w:r w:rsidRPr="002A65B0">
        <w:rPr>
          <w:lang w:bidi="en-US"/>
        </w:rPr>
        <w:t xml:space="preserve"> there is an obligation to take reasonable steps to involve relevant equality groups in the identification of ‘equality outcomes’.</w:t>
      </w:r>
      <w:r w:rsidRPr="002A65B0">
        <w:rPr>
          <w:rStyle w:val="FootnoteReference"/>
          <w:lang w:bidi="en-US"/>
        </w:rPr>
        <w:footnoteReference w:id="142"/>
      </w:r>
      <w:r w:rsidRPr="002A65B0">
        <w:rPr>
          <w:lang w:bidi="en-US"/>
        </w:rPr>
        <w:t xml:space="preserve"> Further, whilst the duty to have ‘due regard’ to socio economic disadvantage (set out in s 1 of the Equality Act 2010) has not been brought into force, a duty to that effect (termed the ‘Fairer Scotland Duty’) was brought into force in Scotland in April 2018.</w:t>
      </w:r>
    </w:p>
    <w:p w14:paraId="2FBCFAE8" w14:textId="77777777" w:rsidR="0019789C" w:rsidRPr="002A65B0" w:rsidRDefault="0019789C" w:rsidP="009027AB">
      <w:pPr>
        <w:rPr>
          <w:lang w:bidi="en-US"/>
        </w:rPr>
      </w:pPr>
    </w:p>
    <w:p w14:paraId="6E81A69E" w14:textId="28517604" w:rsidR="0019789C" w:rsidRPr="002A65B0" w:rsidRDefault="0019789C" w:rsidP="00781BA0">
      <w:pPr>
        <w:pStyle w:val="Heading5"/>
      </w:pPr>
      <w:r w:rsidRPr="002A65B0">
        <w:t>(b) Accessibility</w:t>
      </w:r>
    </w:p>
    <w:p w14:paraId="3D308EEA" w14:textId="5E3BCDAB" w:rsidR="0019789C" w:rsidRPr="002A65B0" w:rsidRDefault="0019789C" w:rsidP="009027AB">
      <w:pPr>
        <w:rPr>
          <w:lang w:bidi="en-US"/>
        </w:rPr>
      </w:pPr>
      <w:r w:rsidRPr="002A65B0">
        <w:rPr>
          <w:lang w:bidi="en-US"/>
        </w:rPr>
        <w:t>There is no specific comprehensive accessibility strategy in Scotland. However, accessibility features in other strategies considered in this section.</w:t>
      </w:r>
    </w:p>
    <w:p w14:paraId="46D89D3C" w14:textId="7F14DC83" w:rsidR="0019789C" w:rsidRPr="002A65B0" w:rsidRDefault="0019789C" w:rsidP="00900CAA">
      <w:pPr>
        <w:ind w:firstLine="0"/>
        <w:rPr>
          <w:lang w:bidi="en-US"/>
        </w:rPr>
      </w:pPr>
    </w:p>
    <w:p w14:paraId="5E5C8600" w14:textId="60751934" w:rsidR="0019789C" w:rsidRPr="002A65B0" w:rsidRDefault="0019789C" w:rsidP="00781BA0">
      <w:pPr>
        <w:pStyle w:val="Heading5"/>
      </w:pPr>
      <w:r w:rsidRPr="002A65B0">
        <w:t>(c) Disabled People</w:t>
      </w:r>
    </w:p>
    <w:p w14:paraId="67C0BABE" w14:textId="3EAE6FDC" w:rsidR="0019789C" w:rsidRPr="002A65B0" w:rsidRDefault="0019789C" w:rsidP="00900CAA">
      <w:pPr>
        <w:rPr>
          <w:lang w:bidi="en-US"/>
        </w:rPr>
      </w:pPr>
      <w:r w:rsidRPr="002A65B0">
        <w:rPr>
          <w:lang w:bidi="en-US"/>
        </w:rPr>
        <w:lastRenderedPageBreak/>
        <w:t>In 2016, the Scottish Government adopted a five-year disability strategy - ‘A Fairer Scotland for Disabled People: Delivery Plan’.</w:t>
      </w:r>
      <w:bookmarkStart w:id="25" w:name="_Ref94097768"/>
      <w:r w:rsidRPr="002A65B0">
        <w:rPr>
          <w:rStyle w:val="FootnoteReference"/>
          <w:lang w:bidi="en-US"/>
        </w:rPr>
        <w:footnoteReference w:id="143"/>
      </w:r>
      <w:bookmarkEnd w:id="25"/>
      <w:r w:rsidRPr="002A65B0">
        <w:rPr>
          <w:lang w:bidi="en-US"/>
        </w:rPr>
        <w:t xml:space="preserve"> This strategy, or plan, aims to deliver the CRPD in Scotland. It emerged from extensive consultation with disabled people, disabled people’s organisations being funded to reach out and seek views from disabled individuals. The Plan includes major commitments to making places accessible and to enabling active participation.</w:t>
      </w:r>
    </w:p>
    <w:p w14:paraId="69AB3BF5" w14:textId="77777777" w:rsidR="0019789C" w:rsidRPr="002A65B0" w:rsidRDefault="0019789C" w:rsidP="009027AB">
      <w:pPr>
        <w:rPr>
          <w:lang w:bidi="en-US"/>
        </w:rPr>
      </w:pPr>
    </w:p>
    <w:p w14:paraId="08CEF1F6" w14:textId="2A737C6C" w:rsidR="0019789C" w:rsidRPr="002A65B0" w:rsidRDefault="0019789C" w:rsidP="00781BA0">
      <w:pPr>
        <w:pStyle w:val="Heading5"/>
      </w:pPr>
      <w:r w:rsidRPr="002A65B0">
        <w:t>(d) Older People</w:t>
      </w:r>
    </w:p>
    <w:p w14:paraId="510A97AB" w14:textId="2CCDC89F" w:rsidR="0019789C" w:rsidRPr="002A65B0" w:rsidRDefault="0019789C" w:rsidP="00900CAA">
      <w:pPr>
        <w:rPr>
          <w:lang w:bidi="en-US"/>
        </w:rPr>
      </w:pPr>
      <w:r w:rsidRPr="002A65B0">
        <w:rPr>
          <w:lang w:bidi="en-US"/>
        </w:rPr>
        <w:t>In 2019, the Scottish Government published its older people strategy – ‘A Fairer Scotland for Older People: A Framework for Action’.</w:t>
      </w:r>
      <w:bookmarkStart w:id="26" w:name="_Ref94097857"/>
      <w:r w:rsidRPr="002A65B0">
        <w:rPr>
          <w:rStyle w:val="FootnoteReference"/>
          <w:lang w:bidi="en-US"/>
        </w:rPr>
        <w:footnoteReference w:id="144"/>
      </w:r>
      <w:bookmarkEnd w:id="26"/>
      <w:r w:rsidRPr="002A65B0">
        <w:rPr>
          <w:lang w:bidi="en-US"/>
        </w:rPr>
        <w:t xml:space="preserve"> This adopts a rights and equality-based approach. According to the Minister for Older People and Equalities:</w:t>
      </w:r>
    </w:p>
    <w:p w14:paraId="7E4C87CE" w14:textId="489C3C9A" w:rsidR="0019789C" w:rsidRPr="002A65B0" w:rsidRDefault="0019789C" w:rsidP="00900CAA">
      <w:pPr>
        <w:pStyle w:val="Quote"/>
      </w:pPr>
      <w:r w:rsidRPr="002A65B0">
        <w:t>The framework provides a platform from which we can reframe our thinking about older people, to move from what can be a negative, problem-focused perspective to a positive and cohesive recognition of older people as a vital part of Scotland’s potential for success and improvement in the 21st century.</w:t>
      </w:r>
      <w:r w:rsidRPr="002A65B0">
        <w:rPr>
          <w:rStyle w:val="FootnoteReference"/>
        </w:rPr>
        <w:footnoteReference w:id="145"/>
      </w:r>
    </w:p>
    <w:p w14:paraId="214212CB" w14:textId="0907ECC1" w:rsidR="0019789C" w:rsidRPr="002A65B0" w:rsidRDefault="0019789C" w:rsidP="00900CAA">
      <w:pPr>
        <w:ind w:firstLine="0"/>
        <w:rPr>
          <w:lang w:bidi="en-US"/>
        </w:rPr>
      </w:pPr>
      <w:r w:rsidRPr="002A65B0">
        <w:rPr>
          <w:lang w:bidi="en-US"/>
        </w:rPr>
        <w:t>For purposes of this strategy, an older person is somebody over the age of 50. A range of actions and issues are identified, with commitments made by the Government to prioritise, monitor and build upon them. These include issues relating to the built environment and transport.</w:t>
      </w:r>
    </w:p>
    <w:p w14:paraId="517F5CE7" w14:textId="77777777" w:rsidR="0019789C" w:rsidRPr="002A65B0" w:rsidRDefault="0019789C" w:rsidP="00705797">
      <w:pPr>
        <w:ind w:firstLine="0"/>
        <w:rPr>
          <w:lang w:bidi="en-US"/>
        </w:rPr>
      </w:pPr>
    </w:p>
    <w:p w14:paraId="18BF394E" w14:textId="40A2B527" w:rsidR="0019789C" w:rsidRPr="002A65B0" w:rsidRDefault="0019789C" w:rsidP="003A03E2">
      <w:pPr>
        <w:pStyle w:val="Heading4"/>
      </w:pPr>
      <w:r w:rsidRPr="002A65B0">
        <w:t xml:space="preserve">A5.2.2 Transport </w:t>
      </w:r>
    </w:p>
    <w:p w14:paraId="5948C1DA" w14:textId="4651ACAE" w:rsidR="0019789C" w:rsidRPr="002A65B0" w:rsidRDefault="0019789C" w:rsidP="007A43D1">
      <w:pPr>
        <w:rPr>
          <w:rFonts w:cs="Arial"/>
        </w:rPr>
      </w:pPr>
    </w:p>
    <w:p w14:paraId="06DF827B" w14:textId="6D7FCB19" w:rsidR="0019789C" w:rsidRPr="002A65B0" w:rsidRDefault="0019789C" w:rsidP="00900CAA">
      <w:r w:rsidRPr="002A65B0">
        <w:t>Scotland’s strategic commitment to accessible travel features in many plans and policy documents. The leading one, however, is Going Further: Scotland’s Accessible Travel Framework 2016.</w:t>
      </w:r>
      <w:r w:rsidRPr="002A65B0">
        <w:rPr>
          <w:rStyle w:val="FootnoteReference"/>
        </w:rPr>
        <w:footnoteReference w:id="146"/>
      </w:r>
      <w:r w:rsidRPr="002A65B0">
        <w:t xml:space="preserve"> This Framework was compiled by the National Transport </w:t>
      </w:r>
      <w:r w:rsidRPr="002A65B0">
        <w:lastRenderedPageBreak/>
        <w:t>Accessibility Steering Group which includes organisations of and for disabled people, transport service providers, local government and Transport Scotland. The Framework is grounded in a commitment to the CRPD but, according to the Ministerial Foreword, reflects a commitment to ‘going further’ than legal obligations require, because: ‘We want a Scotland where “All disabled people can travel with the same freedom, choice, dignity and opportunity as other citizens" and I believe this Framework is a major step towards making that vision a reality.’</w:t>
      </w:r>
      <w:r w:rsidRPr="002A65B0">
        <w:rPr>
          <w:rStyle w:val="FootnoteReference"/>
        </w:rPr>
        <w:footnoteReference w:id="147"/>
      </w:r>
      <w:r w:rsidRPr="002A65B0">
        <w:t xml:space="preserve"> The term ‘travel’ is used deliberately in preference to ‘transport’ to indicate that it addresses issues often regarded as going beyond ‘transport’ – such as the accessibility of information about transport, getting to and switching between modes of transport, facilities connected with transport and people’s attitudes.</w:t>
      </w:r>
      <w:r w:rsidRPr="002A65B0">
        <w:rPr>
          <w:rStyle w:val="FootnoteReference"/>
        </w:rPr>
        <w:footnoteReference w:id="148"/>
      </w:r>
    </w:p>
    <w:p w14:paraId="497EC136" w14:textId="1EC71A4C" w:rsidR="0019789C" w:rsidRPr="002A65B0" w:rsidRDefault="0019789C" w:rsidP="00F71652"/>
    <w:p w14:paraId="5459EF35" w14:textId="1C666276" w:rsidR="0019789C" w:rsidRPr="002A65B0" w:rsidRDefault="0019789C" w:rsidP="00534F08">
      <w:r w:rsidRPr="002A65B0">
        <w:t>Commitments are made to accessible travel in the Scottish Disability Delivery Plan. These include a commitment to tackling pavement parking.</w:t>
      </w:r>
      <w:r w:rsidRPr="002A65B0">
        <w:rPr>
          <w:rStyle w:val="FootnoteReference"/>
        </w:rPr>
        <w:footnoteReference w:id="149"/>
      </w:r>
      <w:r w:rsidRPr="002A65B0">
        <w:t xml:space="preserve"> Accordingly, in October 2019, Scotland became the first UK nation to ban pavement parking, subject to certain exceptions.</w:t>
      </w:r>
      <w:r w:rsidRPr="002A65B0">
        <w:rPr>
          <w:rStyle w:val="FootnoteReference"/>
        </w:rPr>
        <w:footnoteReference w:id="150"/>
      </w:r>
      <w:r w:rsidRPr="002A65B0">
        <w:t xml:space="preserve"> </w:t>
      </w:r>
    </w:p>
    <w:p w14:paraId="7FD57E92" w14:textId="77777777" w:rsidR="0019789C" w:rsidRPr="002A65B0" w:rsidRDefault="0019789C" w:rsidP="008A1E0D"/>
    <w:p w14:paraId="5B62D55A" w14:textId="309F7079" w:rsidR="0019789C" w:rsidRPr="002A65B0" w:rsidRDefault="0019789C" w:rsidP="008A1E0D">
      <w:r w:rsidRPr="002A65B0">
        <w:t>Accessibility and inclusive design feature prominently in other strategic documents relating to transport. For instance, the overarching Scottish National Transport Strategy,</w:t>
      </w:r>
      <w:r w:rsidRPr="002A65B0">
        <w:rPr>
          <w:rStyle w:val="FootnoteReference"/>
        </w:rPr>
        <w:footnoteReference w:id="151"/>
      </w:r>
      <w:r w:rsidRPr="002A65B0">
        <w:t xml:space="preserve"> adopted in 2019, aims to bring about</w:t>
      </w:r>
      <w:r>
        <w:t xml:space="preserve"> </w:t>
      </w:r>
      <w:r w:rsidRPr="002A65B0">
        <w:t>‘a sustainable, inclusive and accessible transport system’.</w:t>
      </w:r>
      <w:r w:rsidRPr="002A65B0">
        <w:rPr>
          <w:rStyle w:val="FootnoteReference"/>
        </w:rPr>
        <w:footnoteReference w:id="152"/>
      </w:r>
      <w:r w:rsidRPr="002A65B0">
        <w:t xml:space="preserve"> The importance of accessible, connected and walkable places is thus recognised. Emphasis is also given to environmental sustainability and active travel. The Strategy embeds what it terms the ‘sustainable travel hierarchy’ within decision-making – with the result that walking, wheeling,</w:t>
      </w:r>
      <w:r w:rsidRPr="002A65B0">
        <w:rPr>
          <w:rStyle w:val="FootnoteReference"/>
        </w:rPr>
        <w:footnoteReference w:id="153"/>
      </w:r>
      <w:r w:rsidRPr="002A65B0">
        <w:t xml:space="preserve"> cycling, public transport and shared transport are prioritised.</w:t>
      </w:r>
      <w:r w:rsidRPr="002A65B0">
        <w:rPr>
          <w:rStyle w:val="FootnoteReference"/>
        </w:rPr>
        <w:footnoteReference w:id="154"/>
      </w:r>
      <w:r w:rsidRPr="002A65B0">
        <w:t xml:space="preserve"> </w:t>
      </w:r>
    </w:p>
    <w:p w14:paraId="20AC297D" w14:textId="056BF388" w:rsidR="0019789C" w:rsidRPr="002A65B0" w:rsidRDefault="0019789C" w:rsidP="003A03E2"/>
    <w:p w14:paraId="07C072C3" w14:textId="60BFBD30" w:rsidR="0019789C" w:rsidRPr="002A65B0" w:rsidRDefault="0019789C" w:rsidP="00324F97">
      <w:r w:rsidRPr="002A65B0">
        <w:lastRenderedPageBreak/>
        <w:t>In relation to active travel, The Scottish Government’s 2014 document, ‘Long-Term Vision for Active Travel in Scotland’,</w:t>
      </w:r>
      <w:r w:rsidRPr="002A65B0">
        <w:rPr>
          <w:rStyle w:val="FootnoteReference"/>
        </w:rPr>
        <w:footnoteReference w:id="155"/>
      </w:r>
      <w:r w:rsidRPr="002A65B0">
        <w:t xml:space="preserve"> notes that local streets should be accessible to all. It views accessible streets as multifunctional spaces that are important for supporting local economies, sustainability</w:t>
      </w:r>
      <w:r w:rsidRPr="002A65B0">
        <w:rPr>
          <w:rStyle w:val="FootnoteReference"/>
        </w:rPr>
        <w:footnoteReference w:id="156"/>
      </w:r>
      <w:r w:rsidRPr="002A65B0">
        <w:t xml:space="preserve"> and reducing inequalities (eg access to social services and labour market), especially for disabled people and older people.</w:t>
      </w:r>
      <w:r w:rsidRPr="002A65B0">
        <w:rPr>
          <w:rStyle w:val="FootnoteReference"/>
        </w:rPr>
        <w:footnoteReference w:id="157"/>
      </w:r>
    </w:p>
    <w:p w14:paraId="36C9C583" w14:textId="77777777" w:rsidR="0019789C" w:rsidRPr="002A65B0" w:rsidRDefault="0019789C" w:rsidP="00324F97"/>
    <w:p w14:paraId="51E39A55" w14:textId="00F249C5" w:rsidR="0019789C" w:rsidRPr="002A65B0" w:rsidRDefault="0019789C" w:rsidP="003A03E2">
      <w:r w:rsidRPr="002A65B0">
        <w:t>In addition, the Active Travel Task Force Delivery Plan 2019 addresses options for improving ‘delivery of the ambitious and inclusive walking and cycling projects in Scotland that will help to create high quality places and communities that support health and wellbeing’.</w:t>
      </w:r>
      <w:r w:rsidRPr="002A65B0">
        <w:rPr>
          <w:rStyle w:val="FootnoteReference"/>
        </w:rPr>
        <w:footnoteReference w:id="158"/>
      </w:r>
      <w:r w:rsidRPr="002A65B0">
        <w:t xml:space="preserve"> An important avenue for achieving this goal is funding allocation for behaviour change. Thus, Recommendation 1.1 requires criteria for funding for walking projects to position behaviour change programmes as an integral part of infrastructure projects and processes.</w:t>
      </w:r>
      <w:r w:rsidRPr="002A65B0">
        <w:rPr>
          <w:rStyle w:val="FootnoteReference"/>
        </w:rPr>
        <w:footnoteReference w:id="159"/>
      </w:r>
      <w:r w:rsidRPr="002A65B0">
        <w:t xml:space="preserve"> Transport Scotland has allocated £6.2 million per annum for behaviour change programmes with an additional £5 million to local authorities for sustainable travel programmes. While the aim is to deliver a network of continuous and safe walking and cycling infrastructure routes</w:t>
      </w:r>
      <w:r w:rsidRPr="002A65B0">
        <w:rPr>
          <w:rStyle w:val="FootnoteReference"/>
        </w:rPr>
        <w:footnoteReference w:id="160"/>
      </w:r>
      <w:r w:rsidRPr="002A65B0">
        <w:t xml:space="preserve"> for all pedestrians, there is an obligation on Transport Scotland to develop guidance that would ensure that the needs and requirements of minority groups, including</w:t>
      </w:r>
      <w:r>
        <w:t xml:space="preserve"> </w:t>
      </w:r>
      <w:r w:rsidRPr="002A65B0">
        <w:t>people who have one or more of the nine protected characteristics covered by the Equality Act 2010, are considered in the delivery of active travel plans.</w:t>
      </w:r>
      <w:r w:rsidRPr="002A65B0">
        <w:rPr>
          <w:rStyle w:val="FootnoteReference"/>
        </w:rPr>
        <w:footnoteReference w:id="161"/>
      </w:r>
    </w:p>
    <w:p w14:paraId="4F52B1E6" w14:textId="5D9F33C3" w:rsidR="0019789C" w:rsidRPr="002A65B0" w:rsidRDefault="0019789C" w:rsidP="003A03E2">
      <w:r w:rsidRPr="002A65B0">
        <w:t xml:space="preserve"> </w:t>
      </w:r>
    </w:p>
    <w:p w14:paraId="6FAB3748" w14:textId="51C50BA3" w:rsidR="0019789C" w:rsidRPr="002A65B0" w:rsidRDefault="0019789C" w:rsidP="003A03E2">
      <w:r w:rsidRPr="002A65B0">
        <w:t>Designing Streets 2010 provides guidance on street design.</w:t>
      </w:r>
      <w:r w:rsidRPr="002A65B0">
        <w:rPr>
          <w:rStyle w:val="FootnoteReference"/>
        </w:rPr>
        <w:footnoteReference w:id="162"/>
      </w:r>
      <w:r w:rsidRPr="002A65B0">
        <w:t xml:space="preserve"> It contains policies and guidance on the design of new or existing streets and their construction, adoption and maintenance. It positions inclusive design as the first principle in street design.</w:t>
      </w:r>
      <w:r w:rsidRPr="002A65B0">
        <w:rPr>
          <w:rStyle w:val="FootnoteReference"/>
        </w:rPr>
        <w:footnoteReference w:id="163"/>
      </w:r>
      <w:r w:rsidRPr="002A65B0">
        <w:t xml:space="preserve"> While</w:t>
      </w:r>
      <w:r>
        <w:t xml:space="preserve"> </w:t>
      </w:r>
      <w:r w:rsidRPr="002A65B0">
        <w:lastRenderedPageBreak/>
        <w:t>aimed mainly at architects, engineers, planners, developers, politicians and local authorities, it emphasises the importance of including community members, and especially those who may experience problems when using streets, in the design and development process. It also acknowledges that shared space schemes are likely to prove challenging for some disabled pedestrians and encourages the consideration of less problematic alternatives.</w:t>
      </w:r>
    </w:p>
    <w:p w14:paraId="173915CB" w14:textId="0A61A02F" w:rsidR="0019789C" w:rsidRPr="002A65B0" w:rsidRDefault="0019789C" w:rsidP="00900CAA">
      <w:pPr>
        <w:ind w:firstLine="0"/>
      </w:pPr>
    </w:p>
    <w:p w14:paraId="3FE4E08C" w14:textId="153C89F0" w:rsidR="0019789C" w:rsidRPr="002A65B0" w:rsidRDefault="0019789C" w:rsidP="0096765F">
      <w:pPr>
        <w:pStyle w:val="Heading4"/>
      </w:pPr>
      <w:r w:rsidRPr="002A65B0">
        <w:t>A5.2.3 Planning</w:t>
      </w:r>
    </w:p>
    <w:p w14:paraId="0717AE00" w14:textId="00B161F0" w:rsidR="0019789C" w:rsidRPr="002A65B0" w:rsidRDefault="0019789C" w:rsidP="00A044F7">
      <w:r w:rsidRPr="002A65B0">
        <w:t>The overall planning system in Scotland is very similar to that in England. Like England’s National Planning Policy Framework (NPPF), the Scottish Planning Policy (SPP)</w:t>
      </w:r>
      <w:r w:rsidRPr="002A65B0">
        <w:rPr>
          <w:rStyle w:val="FootnoteReference"/>
        </w:rPr>
        <w:footnoteReference w:id="164"/>
      </w:r>
      <w:r w:rsidRPr="002A65B0">
        <w:t xml:space="preserve"> sets out national planning policy for Scotland. Decisions on individual applications for planning permission are judged against local development plans, which themselves have to be consistent with the SPP.</w:t>
      </w:r>
    </w:p>
    <w:p w14:paraId="3006D1EF" w14:textId="10B09BF0" w:rsidR="0019789C" w:rsidRPr="002A65B0" w:rsidRDefault="0019789C" w:rsidP="00A044F7"/>
    <w:p w14:paraId="625B0A8F" w14:textId="61548021" w:rsidR="0019789C" w:rsidRPr="002A65B0" w:rsidRDefault="0019789C" w:rsidP="00A044F7">
      <w:r w:rsidRPr="002A65B0">
        <w:t>In 2006, the Scottish Government published a Planning and Building Standards Advice Note about inclusive design and the equality-related legal obligations of</w:t>
      </w:r>
      <w:r>
        <w:t xml:space="preserve"> </w:t>
      </w:r>
      <w:r w:rsidRPr="002A65B0">
        <w:t>those involved in planning and construction.</w:t>
      </w:r>
      <w:r w:rsidRPr="002A65B0">
        <w:rPr>
          <w:rStyle w:val="FootnoteReference"/>
        </w:rPr>
        <w:footnoteReference w:id="165"/>
      </w:r>
      <w:r w:rsidRPr="002A65B0">
        <w:t xml:space="preserve"> This responded to the Disability Discrimination Act 2005, which introduced the fore-runner of the Public Sector Equality Duty – the Disability Equality Duty. Since 2009, it has been compulsory for developers to include a ‘design and access statement’ with applications for planning permission for national or major developments.</w:t>
      </w:r>
      <w:r w:rsidRPr="002A65B0">
        <w:rPr>
          <w:rStyle w:val="FootnoteReference"/>
        </w:rPr>
        <w:footnoteReference w:id="166"/>
      </w:r>
      <w:r w:rsidRPr="002A65B0">
        <w:t xml:space="preserve"> These must address how the development would ensure access to everybody, particularly disabled people.</w:t>
      </w:r>
    </w:p>
    <w:p w14:paraId="6841DACC" w14:textId="1ED9E267" w:rsidR="0019789C" w:rsidRPr="002A65B0" w:rsidRDefault="0019789C" w:rsidP="003A03E2"/>
    <w:p w14:paraId="3560A433" w14:textId="588F1986" w:rsidR="0019789C" w:rsidRPr="002A65B0" w:rsidRDefault="0019789C" w:rsidP="006673DC">
      <w:pPr>
        <w:pStyle w:val="Heading4"/>
      </w:pPr>
      <w:r w:rsidRPr="002A65B0">
        <w:t>A5.2.4 Structures for Stakeholder Involvement</w:t>
      </w:r>
    </w:p>
    <w:p w14:paraId="2BA96EDD" w14:textId="3F5FC82C" w:rsidR="0019789C" w:rsidRPr="002A65B0" w:rsidRDefault="0019789C" w:rsidP="00707CFA">
      <w:pPr>
        <w:rPr>
          <w:lang w:bidi="en-US"/>
        </w:rPr>
      </w:pPr>
      <w:r w:rsidRPr="002A65B0">
        <w:rPr>
          <w:lang w:bidi="en-US"/>
        </w:rPr>
        <w:t>First, it should be noted, as mentioned above, that the Disability Advisory Committee of the Equality and Human Rights Commission extends to Scotland.</w:t>
      </w:r>
    </w:p>
    <w:p w14:paraId="3B3C19AF" w14:textId="77777777" w:rsidR="0019789C" w:rsidRPr="002A65B0" w:rsidRDefault="0019789C" w:rsidP="00707CFA">
      <w:pPr>
        <w:rPr>
          <w:lang w:bidi="en-US"/>
        </w:rPr>
      </w:pPr>
    </w:p>
    <w:p w14:paraId="6EF9CE5B" w14:textId="29EBEE10" w:rsidR="0019789C" w:rsidRPr="002A65B0" w:rsidRDefault="0019789C" w:rsidP="00707CFA">
      <w:pPr>
        <w:rPr>
          <w:lang w:bidi="en-US"/>
        </w:rPr>
      </w:pPr>
      <w:r w:rsidRPr="002A65B0">
        <w:rPr>
          <w:lang w:bidi="en-US"/>
        </w:rPr>
        <w:t xml:space="preserve">The Scottish Disability Delivery Plan 2016-2021 does not identify one single committee or framework for stakeholder engagement. Instead, it commits to the </w:t>
      </w:r>
      <w:r w:rsidRPr="002A65B0">
        <w:rPr>
          <w:lang w:bidi="en-US"/>
        </w:rPr>
        <w:lastRenderedPageBreak/>
        <w:t>following actions in order to ensure that disabled people and their organisations are able to engage with the ongoing imple</w:t>
      </w:r>
      <w:r>
        <w:rPr>
          <w:lang w:bidi="en-US"/>
        </w:rPr>
        <w:t>mentation of the Delivery Plan:</w:t>
      </w:r>
    </w:p>
    <w:p w14:paraId="3A3DAF6D" w14:textId="21827367" w:rsidR="0019789C" w:rsidRPr="002A65B0" w:rsidRDefault="0019789C" w:rsidP="00427643">
      <w:pPr>
        <w:pStyle w:val="ListParagraph"/>
        <w:numPr>
          <w:ilvl w:val="0"/>
          <w:numId w:val="11"/>
        </w:numPr>
        <w:jc w:val="left"/>
        <w:rPr>
          <w:lang w:bidi="en-US"/>
        </w:rPr>
      </w:pPr>
      <w:r w:rsidRPr="002A65B0">
        <w:rPr>
          <w:lang w:bidi="en-US"/>
        </w:rPr>
        <w:t>Establishing disabled people’s panels covering each of the ambitions in early 2017. These will provide expert advice from disabled people and the organisations that represent them to inform implementation of key actions, and to agree how progress will be measured.</w:t>
      </w:r>
    </w:p>
    <w:p w14:paraId="1D8CE8CC" w14:textId="67B32602" w:rsidR="0019789C" w:rsidRPr="002A65B0" w:rsidRDefault="0019789C" w:rsidP="00427643">
      <w:pPr>
        <w:pStyle w:val="ListParagraph"/>
        <w:numPr>
          <w:ilvl w:val="0"/>
          <w:numId w:val="11"/>
        </w:numPr>
        <w:jc w:val="left"/>
        <w:rPr>
          <w:lang w:bidi="en-US"/>
        </w:rPr>
      </w:pPr>
      <w:r w:rsidRPr="002A65B0">
        <w:rPr>
          <w:lang w:bidi="en-US"/>
        </w:rPr>
        <w:t>A survey of disabled people in mid-2018 to gather evidence of the impact of our actions.</w:t>
      </w:r>
    </w:p>
    <w:p w14:paraId="41CB8C16" w14:textId="7FEE619D" w:rsidR="0019789C" w:rsidRPr="002A65B0" w:rsidRDefault="0019789C" w:rsidP="00427643">
      <w:pPr>
        <w:pStyle w:val="ListParagraph"/>
        <w:numPr>
          <w:ilvl w:val="0"/>
          <w:numId w:val="11"/>
        </w:numPr>
        <w:jc w:val="left"/>
        <w:rPr>
          <w:lang w:bidi="en-US"/>
        </w:rPr>
      </w:pPr>
      <w:r w:rsidRPr="002A65B0">
        <w:rPr>
          <w:lang w:bidi="en-US"/>
        </w:rPr>
        <w:t>Annual Disability Summits, to look at progress.</w:t>
      </w:r>
    </w:p>
    <w:p w14:paraId="39982FD6" w14:textId="6180A447" w:rsidR="0019789C" w:rsidRPr="002A65B0" w:rsidRDefault="0019789C" w:rsidP="00427643">
      <w:pPr>
        <w:pStyle w:val="ListParagraph"/>
        <w:numPr>
          <w:ilvl w:val="0"/>
          <w:numId w:val="11"/>
        </w:numPr>
        <w:jc w:val="left"/>
        <w:rPr>
          <w:lang w:bidi="en-US"/>
        </w:rPr>
      </w:pPr>
      <w:r w:rsidRPr="002A65B0">
        <w:rPr>
          <w:lang w:bidi="en-US"/>
        </w:rPr>
        <w:t>A Major Disability Summit to be held in 2020 which will look ahead to the next parliamentary session.</w:t>
      </w:r>
    </w:p>
    <w:p w14:paraId="16B5856F" w14:textId="03E63F0D" w:rsidR="0019789C" w:rsidRPr="002A65B0" w:rsidRDefault="0019789C" w:rsidP="00427643">
      <w:pPr>
        <w:pStyle w:val="ListParagraph"/>
        <w:numPr>
          <w:ilvl w:val="0"/>
          <w:numId w:val="11"/>
        </w:numPr>
        <w:jc w:val="left"/>
        <w:rPr>
          <w:lang w:bidi="en-US"/>
        </w:rPr>
      </w:pPr>
      <w:r w:rsidRPr="002A65B0">
        <w:rPr>
          <w:lang w:bidi="en-US"/>
        </w:rPr>
        <w:t>The panels, survey and results of the Disability Summit will feed into a progress report to be laid before Parliament in early 2021 to determine where we need to focus our efforts in the 2021-2026 parliamentary session. We will work closely with disabled people and the organisations that represent them to develop the detail of our approach to measuring progress, including the design and delivery of the survey, the panels and the summit.</w:t>
      </w:r>
      <w:r w:rsidRPr="002A65B0">
        <w:rPr>
          <w:rStyle w:val="FootnoteReference"/>
          <w:lang w:bidi="en-US"/>
        </w:rPr>
        <w:footnoteReference w:id="167"/>
      </w:r>
    </w:p>
    <w:p w14:paraId="3C321D37" w14:textId="77777777" w:rsidR="0019789C" w:rsidRPr="002A65B0" w:rsidRDefault="0019789C" w:rsidP="00DF1FF7"/>
    <w:p w14:paraId="4053079B" w14:textId="699799C6" w:rsidR="0019789C" w:rsidRPr="002A65B0" w:rsidRDefault="0019789C" w:rsidP="00DF1FF7">
      <w:pPr>
        <w:rPr>
          <w:rFonts w:cs="Arial"/>
        </w:rPr>
      </w:pPr>
      <w:r w:rsidRPr="002A65B0">
        <w:rPr>
          <w:rFonts w:cs="Arial"/>
        </w:rPr>
        <w:t>In its Framework for Action on older people, the Scottish Government undertakes to engage with stakeholders by working closely with the Older People’s Strategic Action Forum – which played a key role in providing stakeholder input into the development of the Framework itself.</w:t>
      </w:r>
      <w:r w:rsidRPr="002A65B0">
        <w:rPr>
          <w:rStyle w:val="FootnoteReference"/>
          <w:rFonts w:cs="Arial"/>
        </w:rPr>
        <w:footnoteReference w:id="168"/>
      </w:r>
      <w:r w:rsidRPr="002A65B0">
        <w:rPr>
          <w:rFonts w:cs="Arial"/>
        </w:rPr>
        <w:t xml:space="preserve"> This Forum is chaired by the Minister for Older People and Equality. Its membership includes organisations which represent older people or work on issues affecting them.</w:t>
      </w:r>
    </w:p>
    <w:p w14:paraId="1E35E096" w14:textId="77777777" w:rsidR="0019789C" w:rsidRPr="002A65B0" w:rsidRDefault="0019789C" w:rsidP="00900CAA"/>
    <w:p w14:paraId="243E3736" w14:textId="6341AE50" w:rsidR="0019789C" w:rsidRPr="002A65B0" w:rsidRDefault="0019789C" w:rsidP="00900CAA">
      <w:r w:rsidRPr="002A65B0">
        <w:t>Stakeholder engagement with the rolling out and implementation of the Accessible Travel Framework is provided and coordinated by the Transport Accessibility Steering Group – the body</w:t>
      </w:r>
      <w:r>
        <w:t xml:space="preserve"> </w:t>
      </w:r>
      <w:r w:rsidRPr="002A65B0">
        <w:t>which also developed the Framework. This Group brings together disabled people’s organisations, transport operators and providers, and representatives of central and local government.</w:t>
      </w:r>
    </w:p>
    <w:p w14:paraId="51B56DD6" w14:textId="77777777" w:rsidR="0019789C" w:rsidRPr="002A65B0" w:rsidRDefault="0019789C" w:rsidP="00DF1FF7">
      <w:pPr>
        <w:rPr>
          <w:rFonts w:cs="Arial"/>
        </w:rPr>
      </w:pPr>
    </w:p>
    <w:p w14:paraId="7E30FB12" w14:textId="13F5A486" w:rsidR="0019789C" w:rsidRPr="002A65B0" w:rsidRDefault="0019789C" w:rsidP="00DF1FF7">
      <w:pPr>
        <w:rPr>
          <w:rFonts w:cs="Arial"/>
        </w:rPr>
      </w:pPr>
      <w:r w:rsidRPr="002A65B0">
        <w:rPr>
          <w:rFonts w:cs="Arial"/>
        </w:rPr>
        <w:t xml:space="preserve">Finally, it is important to mention the Mobility and Access Committee for Scotland (MACS). This was established by s 72 of the Transport (Scotland) Act 2001. Its role is </w:t>
      </w:r>
      <w:r w:rsidRPr="002A65B0">
        <w:rPr>
          <w:rFonts w:cs="Arial"/>
        </w:rPr>
        <w:lastRenderedPageBreak/>
        <w:t>to consider issues relating to the needs of disabled people in connection with transport; and advise the Scottish Minsters as it considers appropriate.</w:t>
      </w:r>
    </w:p>
    <w:p w14:paraId="20F8A725" w14:textId="77777777" w:rsidR="0019789C" w:rsidRPr="002A65B0" w:rsidRDefault="0019789C" w:rsidP="001C2C4A"/>
    <w:p w14:paraId="583D28B4" w14:textId="77777777" w:rsidR="0019789C" w:rsidRPr="002A65B0" w:rsidRDefault="0019789C" w:rsidP="001C2C4A"/>
    <w:p w14:paraId="0520DE29" w14:textId="2CB37C87" w:rsidR="0019789C" w:rsidRPr="002A65B0" w:rsidRDefault="0019789C" w:rsidP="007812AC">
      <w:pPr>
        <w:pStyle w:val="Heading2"/>
      </w:pPr>
      <w:r w:rsidRPr="002A65B0">
        <w:t xml:space="preserve">A6 City-level Strategy, Law and Policy </w:t>
      </w:r>
    </w:p>
    <w:p w14:paraId="5A537811" w14:textId="074D0C6F" w:rsidR="0019789C" w:rsidRPr="002A65B0" w:rsidRDefault="0019789C" w:rsidP="009F66C3">
      <w:pPr>
        <w:pStyle w:val="Heading3"/>
      </w:pPr>
      <w:r w:rsidRPr="002A65B0">
        <w:t>A6.1 Leeds</w:t>
      </w:r>
    </w:p>
    <w:p w14:paraId="4F31F852" w14:textId="66F3BABD" w:rsidR="0019789C" w:rsidRPr="002A65B0" w:rsidRDefault="0019789C" w:rsidP="009F66C3">
      <w:pPr>
        <w:pStyle w:val="Heading4"/>
      </w:pPr>
      <w:r w:rsidRPr="002A65B0">
        <w:t>A6.1.1 Equality and Inclusion</w:t>
      </w:r>
    </w:p>
    <w:p w14:paraId="346B7F42" w14:textId="43D5D6F1" w:rsidR="0019789C" w:rsidRPr="002A65B0" w:rsidRDefault="0019789C" w:rsidP="009F66C3">
      <w:pPr>
        <w:pStyle w:val="Heading5"/>
      </w:pPr>
      <w:r w:rsidRPr="002A65B0">
        <w:t>(a) Equality</w:t>
      </w:r>
    </w:p>
    <w:p w14:paraId="432EDE15" w14:textId="3EAA0927" w:rsidR="0019789C" w:rsidRPr="002A65B0" w:rsidRDefault="0019789C" w:rsidP="000D08D1">
      <w:r w:rsidRPr="002A65B0">
        <w:rPr>
          <w:lang w:bidi="en-US"/>
        </w:rPr>
        <w:t>Leeds City Council’s overall strategy is set out in its annual ‘Best Council Plan’.</w:t>
      </w:r>
      <w:r w:rsidRPr="002A65B0">
        <w:rPr>
          <w:rStyle w:val="FootnoteReference"/>
          <w:rFonts w:cs="Arial"/>
          <w:szCs w:val="24"/>
          <w:lang w:bidi="en-US"/>
        </w:rPr>
        <w:footnoteReference w:id="169"/>
      </w:r>
      <w:r w:rsidRPr="002A65B0">
        <w:rPr>
          <w:lang w:bidi="en-US"/>
        </w:rPr>
        <w:t xml:space="preserve"> The current Plan covers the period 2019-2020 to 2020-2021 and is subtitled ‘Tackling Poverty and Reducing Inequalities’ – thus indicating the importance attached to equality issues. </w:t>
      </w:r>
      <w:r w:rsidRPr="002A65B0">
        <w:t>The current plan maintains this strategic focus ‘through a combination of strengthening the economy and doing this in a way that is compassionate and caring, allowing us to support our most vulnerable children and adults’.</w:t>
      </w:r>
      <w:r w:rsidRPr="002A65B0">
        <w:rPr>
          <w:rStyle w:val="FootnoteReference"/>
          <w:rFonts w:cs="Arial"/>
          <w:szCs w:val="24"/>
        </w:rPr>
        <w:footnoteReference w:id="170"/>
      </w:r>
      <w:r w:rsidRPr="002A65B0">
        <w:t xml:space="preserve"> </w:t>
      </w:r>
      <w:r>
        <w:t>T</w:t>
      </w:r>
      <w:r w:rsidRPr="002A65B0">
        <w:t>he current Plan contains new ‘Age-Friendly Leeds’ priority:</w:t>
      </w:r>
    </w:p>
    <w:p w14:paraId="4F8B3919" w14:textId="0A294714" w:rsidR="0019789C" w:rsidRPr="002A65B0" w:rsidRDefault="0019789C" w:rsidP="000D08D1">
      <w:pPr>
        <w:pStyle w:val="Quote"/>
      </w:pPr>
      <w:r w:rsidRPr="002A65B0">
        <w:t>based on our well-developed ambition for Leeds to be the best city to grow old in, the priority centres on the great work we are doing to make this a place where older people are valued, feel respected and appreciated and are seen as the assets they are, and also prioritises their needs.</w:t>
      </w:r>
      <w:r w:rsidRPr="002A65B0">
        <w:rPr>
          <w:rStyle w:val="FootnoteReference"/>
        </w:rPr>
        <w:footnoteReference w:id="171"/>
      </w:r>
    </w:p>
    <w:p w14:paraId="20915274" w14:textId="0FFCA8E0" w:rsidR="0019789C" w:rsidRPr="002A65B0" w:rsidRDefault="0019789C" w:rsidP="00BB2BC8">
      <w:pPr>
        <w:ind w:firstLine="0"/>
      </w:pPr>
      <w:r w:rsidRPr="002A65B0">
        <w:t xml:space="preserve">Although the ‘Age-Friendly’ priority does not specifically mention streets or pedestrians, some of the key performance indicators are geared towards </w:t>
      </w:r>
    </w:p>
    <w:p w14:paraId="02150097" w14:textId="6AE741D6" w:rsidR="0019789C" w:rsidRPr="002A65B0" w:rsidRDefault="0019789C" w:rsidP="00427643">
      <w:pPr>
        <w:pStyle w:val="QuoteList"/>
        <w:numPr>
          <w:ilvl w:val="0"/>
          <w:numId w:val="14"/>
        </w:numPr>
      </w:pPr>
      <w:r w:rsidRPr="002A65B0">
        <w:t>Developing accessible and affordable transport options which help older people get around;</w:t>
      </w:r>
    </w:p>
    <w:p w14:paraId="7AC4492A" w14:textId="44D58BE1" w:rsidR="0019789C" w:rsidRPr="002A65B0" w:rsidRDefault="0019789C" w:rsidP="00427643">
      <w:pPr>
        <w:pStyle w:val="QuoteList"/>
        <w:numPr>
          <w:ilvl w:val="0"/>
          <w:numId w:val="14"/>
        </w:numPr>
      </w:pPr>
      <w:r w:rsidRPr="002A65B0">
        <w:t>Making Leeds’ public spaces and buildings accessible, safe, clean and welcoming;</w:t>
      </w:r>
    </w:p>
    <w:p w14:paraId="5737C5D2" w14:textId="09D32A34" w:rsidR="0019789C" w:rsidRPr="002A65B0" w:rsidRDefault="0019789C" w:rsidP="00427643">
      <w:pPr>
        <w:pStyle w:val="QuoteList"/>
        <w:numPr>
          <w:ilvl w:val="0"/>
          <w:numId w:val="14"/>
        </w:numPr>
      </w:pPr>
      <w:r w:rsidRPr="002A65B0">
        <w:t>Promoting opportunities for older people to be healthy, active, included and respected; and</w:t>
      </w:r>
    </w:p>
    <w:p w14:paraId="608B55EE" w14:textId="00E73D46" w:rsidR="0019789C" w:rsidRPr="002A65B0" w:rsidRDefault="0019789C" w:rsidP="00427643">
      <w:pPr>
        <w:pStyle w:val="QuoteList"/>
        <w:numPr>
          <w:ilvl w:val="0"/>
          <w:numId w:val="14"/>
        </w:numPr>
        <w:rPr>
          <w:bCs/>
        </w:rPr>
      </w:pPr>
      <w:r w:rsidRPr="002A65B0">
        <w:lastRenderedPageBreak/>
        <w:t>Helping older people participate in the city through fulfilling employment and learning.</w:t>
      </w:r>
      <w:r w:rsidRPr="002A65B0">
        <w:rPr>
          <w:rStyle w:val="FootnoteReference"/>
          <w:bCs/>
        </w:rPr>
        <w:footnoteReference w:id="172"/>
      </w:r>
    </w:p>
    <w:p w14:paraId="7D8C504A" w14:textId="0AF1103C" w:rsidR="0019789C" w:rsidRPr="002A65B0" w:rsidRDefault="0019789C" w:rsidP="00756134">
      <w:pPr>
        <w:ind w:firstLine="0"/>
        <w:jc w:val="left"/>
        <w:rPr>
          <w:rFonts w:cs="Arial"/>
          <w:szCs w:val="24"/>
          <w:lang w:bidi="en-US"/>
        </w:rPr>
      </w:pPr>
    </w:p>
    <w:p w14:paraId="2C93123D" w14:textId="7BEF0E19" w:rsidR="0019789C" w:rsidRPr="002A65B0" w:rsidRDefault="0019789C" w:rsidP="00756134">
      <w:pPr>
        <w:rPr>
          <w:lang w:bidi="en-US"/>
        </w:rPr>
      </w:pPr>
      <w:r w:rsidRPr="002A65B0">
        <w:rPr>
          <w:lang w:bidi="en-US"/>
        </w:rPr>
        <w:t xml:space="preserve">Leeds City Council has an Equality and Diversity Policy, which lays out </w:t>
      </w:r>
      <w:r>
        <w:rPr>
          <w:lang w:bidi="en-US"/>
        </w:rPr>
        <w:t>its</w:t>
      </w:r>
      <w:r w:rsidRPr="002A65B0">
        <w:rPr>
          <w:lang w:bidi="en-US"/>
        </w:rPr>
        <w:t xml:space="preserve"> commitment to treat everybody ‘with the same attention, courtesy and respect’ regardless of eg age or disability</w:t>
      </w:r>
      <w:r>
        <w:rPr>
          <w:lang w:bidi="en-US"/>
        </w:rPr>
        <w:t>. It</w:t>
      </w:r>
      <w:r w:rsidRPr="002A65B0">
        <w:rPr>
          <w:lang w:bidi="en-US"/>
        </w:rPr>
        <w:t xml:space="preserve"> applies to all council Members; service users and those applying to access services; contractors and sub-contractors; employees, volunteers and partnership arrangements.</w:t>
      </w:r>
      <w:r w:rsidRPr="002A65B0">
        <w:rPr>
          <w:rStyle w:val="FootnoteReference"/>
          <w:rFonts w:cs="Arial"/>
          <w:szCs w:val="24"/>
          <w:lang w:bidi="en-US"/>
        </w:rPr>
        <w:footnoteReference w:id="173"/>
      </w:r>
      <w:r w:rsidRPr="002A65B0">
        <w:rPr>
          <w:lang w:bidi="en-US"/>
        </w:rPr>
        <w:t xml:space="preserve"> Essentially, the policy lays out the Council’s guiding principles in line with its duties and responsibilities under the Equality Act 2010. In terms of the delivery of services</w:t>
      </w:r>
      <w:r>
        <w:rPr>
          <w:lang w:bidi="en-US"/>
        </w:rPr>
        <w:t>, there is a commitment</w:t>
      </w:r>
      <w:r w:rsidRPr="002A65B0">
        <w:rPr>
          <w:lang w:bidi="en-US"/>
        </w:rPr>
        <w:t xml:space="preserve"> to ‘assess the needs of our existing and potential service users and ensure fair access to our services’ and to ‘ensure the availability of appropriate support services’.</w:t>
      </w:r>
      <w:r w:rsidRPr="002A65B0">
        <w:rPr>
          <w:rStyle w:val="FootnoteReference"/>
          <w:rFonts w:cs="Arial"/>
          <w:szCs w:val="24"/>
          <w:lang w:bidi="en-US"/>
        </w:rPr>
        <w:footnoteReference w:id="174"/>
      </w:r>
    </w:p>
    <w:p w14:paraId="5D089042" w14:textId="5E89303D" w:rsidR="0019789C" w:rsidRDefault="0019789C" w:rsidP="00756134">
      <w:pPr>
        <w:jc w:val="left"/>
        <w:rPr>
          <w:rFonts w:cs="Arial"/>
          <w:szCs w:val="24"/>
          <w:lang w:bidi="en-US"/>
        </w:rPr>
      </w:pPr>
      <w:r w:rsidRPr="002A65B0">
        <w:rPr>
          <w:rFonts w:cs="Arial"/>
          <w:szCs w:val="24"/>
          <w:lang w:bidi="en-US"/>
        </w:rPr>
        <w:t xml:space="preserve"> </w:t>
      </w:r>
    </w:p>
    <w:p w14:paraId="0AF8643D" w14:textId="77777777" w:rsidR="0019789C" w:rsidRPr="002A65B0" w:rsidRDefault="0019789C" w:rsidP="00B709D0">
      <w:pPr>
        <w:pStyle w:val="Heading5"/>
        <w:rPr>
          <w:szCs w:val="24"/>
        </w:rPr>
      </w:pPr>
      <w:r w:rsidRPr="002A65B0">
        <w:rPr>
          <w:szCs w:val="24"/>
        </w:rPr>
        <w:t>(b) Accessibility</w:t>
      </w:r>
    </w:p>
    <w:p w14:paraId="24E0CBDB" w14:textId="6313BA5F" w:rsidR="0019789C" w:rsidRPr="002A65B0" w:rsidRDefault="0019789C" w:rsidP="00AA49BD">
      <w:pPr>
        <w:rPr>
          <w:lang w:bidi="en-US"/>
        </w:rPr>
      </w:pPr>
      <w:r w:rsidRPr="002A65B0">
        <w:rPr>
          <w:lang w:bidi="en-US"/>
        </w:rPr>
        <w:t xml:space="preserve">Leeds City Council’s current commitments and plans for embedding and enhancing equality </w:t>
      </w:r>
      <w:r>
        <w:rPr>
          <w:lang w:bidi="en-US"/>
        </w:rPr>
        <w:t xml:space="preserve">(including accessibility) </w:t>
      </w:r>
      <w:r w:rsidRPr="002A65B0">
        <w:rPr>
          <w:lang w:bidi="en-US"/>
        </w:rPr>
        <w:t>are set out in its ‘Equality Improvement Priorities and Measures 2018-2022’.</w:t>
      </w:r>
      <w:r w:rsidRPr="002A65B0">
        <w:rPr>
          <w:rStyle w:val="FootnoteReference"/>
          <w:rFonts w:cs="Arial"/>
          <w:szCs w:val="24"/>
          <w:lang w:bidi="en-US"/>
        </w:rPr>
        <w:footnoteReference w:id="175"/>
      </w:r>
      <w:r>
        <w:rPr>
          <w:lang w:bidi="en-US"/>
        </w:rPr>
        <w:t xml:space="preserve"> The three </w:t>
      </w:r>
      <w:r w:rsidRPr="002A65B0">
        <w:rPr>
          <w:lang w:bidi="en-US"/>
        </w:rPr>
        <w:t xml:space="preserve">most relevant </w:t>
      </w:r>
      <w:r>
        <w:rPr>
          <w:lang w:bidi="en-US"/>
        </w:rPr>
        <w:t xml:space="preserve">priorities </w:t>
      </w:r>
      <w:r w:rsidRPr="002A65B0">
        <w:rPr>
          <w:lang w:bidi="en-US"/>
        </w:rPr>
        <w:t>for current purposes</w:t>
      </w:r>
      <w:r>
        <w:rPr>
          <w:lang w:bidi="en-US"/>
        </w:rPr>
        <w:t xml:space="preserve"> are as follows</w:t>
      </w:r>
      <w:r w:rsidRPr="002A65B0">
        <w:rPr>
          <w:lang w:bidi="en-US"/>
        </w:rPr>
        <w:t xml:space="preserve">: </w:t>
      </w:r>
    </w:p>
    <w:p w14:paraId="3FAAD009" w14:textId="704A5C39" w:rsidR="0019789C" w:rsidRPr="002A65B0" w:rsidRDefault="0019789C" w:rsidP="00427643">
      <w:pPr>
        <w:pStyle w:val="ListParagraph"/>
        <w:numPr>
          <w:ilvl w:val="0"/>
          <w:numId w:val="15"/>
        </w:numPr>
        <w:rPr>
          <w:lang w:bidi="en-US"/>
        </w:rPr>
      </w:pPr>
      <w:r w:rsidRPr="002A65B0">
        <w:t>To ‘[i]mprove inclusion and diversity across the built environment’</w:t>
      </w:r>
      <w:r>
        <w:t xml:space="preserve"> - although</w:t>
      </w:r>
      <w:r w:rsidRPr="002A65B0">
        <w:t xml:space="preserve"> thi</w:t>
      </w:r>
      <w:r>
        <w:t>s</w:t>
      </w:r>
      <w:r w:rsidRPr="002A65B0">
        <w:t xml:space="preserve"> </w:t>
      </w:r>
      <w:r>
        <w:t xml:space="preserve">is oriented </w:t>
      </w:r>
      <w:r w:rsidRPr="002A65B0">
        <w:t xml:space="preserve">toward estates and buildings; </w:t>
      </w:r>
    </w:p>
    <w:p w14:paraId="0A439357" w14:textId="3AFDB40D" w:rsidR="0019789C" w:rsidRPr="002A65B0" w:rsidRDefault="0019789C" w:rsidP="00427643">
      <w:pPr>
        <w:pStyle w:val="ListParagraph"/>
        <w:numPr>
          <w:ilvl w:val="0"/>
          <w:numId w:val="15"/>
        </w:numPr>
        <w:rPr>
          <w:lang w:bidi="en-US"/>
        </w:rPr>
      </w:pPr>
      <w:r w:rsidRPr="002A65B0">
        <w:rPr>
          <w:lang w:bidi="en-US"/>
        </w:rPr>
        <w:t>To ‘[d]eliver well designed streets and transport infrastructure that is inclusive, people focused and accessible to all’;</w:t>
      </w:r>
      <w:r>
        <w:rPr>
          <w:lang w:bidi="en-US"/>
        </w:rPr>
        <w:t xml:space="preserve"> and</w:t>
      </w:r>
    </w:p>
    <w:p w14:paraId="2BFEC786" w14:textId="3191B2E5" w:rsidR="0019789C" w:rsidRPr="002A65B0" w:rsidRDefault="0019789C" w:rsidP="00427643">
      <w:pPr>
        <w:pStyle w:val="ListParagraph"/>
        <w:numPr>
          <w:ilvl w:val="0"/>
          <w:numId w:val="15"/>
        </w:numPr>
        <w:rPr>
          <w:lang w:bidi="en-US"/>
        </w:rPr>
      </w:pPr>
      <w:r w:rsidRPr="002A65B0">
        <w:rPr>
          <w:lang w:bidi="en-US"/>
        </w:rPr>
        <w:t>To improve access to pavements and sidewalks in Leeds city centre ‘by making Leeds City Centre more user friendly and accessible by all communities.’</w:t>
      </w:r>
      <w:r w:rsidRPr="002A65B0">
        <w:rPr>
          <w:rStyle w:val="FootnoteReference"/>
          <w:lang w:bidi="en-US"/>
        </w:rPr>
        <w:footnoteReference w:id="176"/>
      </w:r>
    </w:p>
    <w:p w14:paraId="4B2380B3" w14:textId="77777777" w:rsidR="0019789C" w:rsidRPr="002A65B0" w:rsidRDefault="0019789C" w:rsidP="002F096E">
      <w:pPr>
        <w:pStyle w:val="ListParagraph"/>
        <w:ind w:left="1080" w:firstLine="0"/>
        <w:rPr>
          <w:lang w:bidi="en-US"/>
        </w:rPr>
      </w:pPr>
    </w:p>
    <w:p w14:paraId="5FA5AF8C" w14:textId="19D098B3" w:rsidR="0019789C" w:rsidRDefault="0019789C" w:rsidP="00B709D0">
      <w:pPr>
        <w:rPr>
          <w:lang w:bidi="en-US"/>
        </w:rPr>
      </w:pPr>
      <w:r w:rsidRPr="002A65B0">
        <w:rPr>
          <w:lang w:bidi="en-US"/>
        </w:rPr>
        <w:lastRenderedPageBreak/>
        <w:t xml:space="preserve">The Council publishes an annual Equality and Diversity Update with information on the progress it has made against each of </w:t>
      </w:r>
      <w:r>
        <w:rPr>
          <w:lang w:bidi="en-US"/>
        </w:rPr>
        <w:t>its</w:t>
      </w:r>
      <w:r w:rsidRPr="002A65B0">
        <w:rPr>
          <w:lang w:bidi="en-US"/>
        </w:rPr>
        <w:t xml:space="preserve"> Improvement Priorities.</w:t>
      </w:r>
      <w:r w:rsidRPr="002A65B0">
        <w:rPr>
          <w:rStyle w:val="FootnoteReference"/>
          <w:rFonts w:cs="Arial"/>
          <w:szCs w:val="24"/>
          <w:lang w:bidi="en-US"/>
        </w:rPr>
        <w:footnoteReference w:id="177"/>
      </w:r>
      <w:r w:rsidRPr="002A65B0">
        <w:rPr>
          <w:lang w:bidi="en-US"/>
        </w:rPr>
        <w:t xml:space="preserve"> The 2019 update includes information about progress on </w:t>
      </w:r>
      <w:r>
        <w:rPr>
          <w:lang w:bidi="en-US"/>
        </w:rPr>
        <w:t xml:space="preserve">two of the </w:t>
      </w:r>
      <w:r w:rsidRPr="002A65B0">
        <w:rPr>
          <w:lang w:bidi="en-US"/>
        </w:rPr>
        <w:t>priorities mentioned abov</w:t>
      </w:r>
      <w:r>
        <w:rPr>
          <w:lang w:bidi="en-US"/>
        </w:rPr>
        <w:t>e, as follows:</w:t>
      </w:r>
      <w:r w:rsidRPr="002A65B0">
        <w:rPr>
          <w:lang w:bidi="en-US"/>
        </w:rPr>
        <w:t xml:space="preserve"> </w:t>
      </w:r>
    </w:p>
    <w:p w14:paraId="2D3359CC" w14:textId="77777777" w:rsidR="0019789C" w:rsidRDefault="0019789C" w:rsidP="00B709D0">
      <w:pPr>
        <w:rPr>
          <w:lang w:bidi="en-US"/>
        </w:rPr>
      </w:pPr>
    </w:p>
    <w:p w14:paraId="7D947CC9" w14:textId="4E47A28A" w:rsidR="0019789C" w:rsidRDefault="0019789C" w:rsidP="00B709D0">
      <w:pPr>
        <w:rPr>
          <w:rFonts w:eastAsia="Times New Roman"/>
        </w:rPr>
      </w:pPr>
      <w:r w:rsidRPr="002A65B0">
        <w:rPr>
          <w:lang w:bidi="en-US"/>
        </w:rPr>
        <w:t xml:space="preserve">First, </w:t>
      </w:r>
      <w:r>
        <w:rPr>
          <w:lang w:eastAsia="en-US"/>
        </w:rPr>
        <w:t>on</w:t>
      </w:r>
      <w:r w:rsidRPr="002A65B0">
        <w:rPr>
          <w:lang w:eastAsia="en-US"/>
        </w:rPr>
        <w:t xml:space="preserve"> the priority of delivering ‘inclusive, people focused and accessible’ streets and transport, </w:t>
      </w:r>
      <w:r>
        <w:rPr>
          <w:lang w:eastAsia="en-US"/>
        </w:rPr>
        <w:t xml:space="preserve">reported </w:t>
      </w:r>
      <w:r w:rsidRPr="002A65B0">
        <w:rPr>
          <w:lang w:eastAsia="en-US"/>
        </w:rPr>
        <w:t xml:space="preserve">progress includes the launch of Connecting Leeds in </w:t>
      </w:r>
      <w:r w:rsidRPr="002A65B0">
        <w:rPr>
          <w:rFonts w:eastAsia="Times New Roman"/>
          <w:lang w:eastAsia="en-US"/>
        </w:rPr>
        <w:t>February 2018, which focuses on engagement</w:t>
      </w:r>
      <w:r w:rsidRPr="002A65B0">
        <w:rPr>
          <w:rFonts w:eastAsia="Times New Roman"/>
        </w:rPr>
        <w:t xml:space="preserve"> with the public, business owners and other stakeholders, ensuring consultees are ‘representative of the public with particular emphasis o</w:t>
      </w:r>
      <w:r>
        <w:rPr>
          <w:rFonts w:eastAsia="Times New Roman"/>
        </w:rPr>
        <w:t>n</w:t>
      </w:r>
      <w:r w:rsidRPr="002A65B0">
        <w:rPr>
          <w:rFonts w:eastAsia="Times New Roman"/>
        </w:rPr>
        <w:t xml:space="preserve"> engaging seldom heard groups in society’.</w:t>
      </w:r>
      <w:r w:rsidRPr="002A65B0">
        <w:rPr>
          <w:rStyle w:val="FootnoteReference"/>
          <w:rFonts w:eastAsia="Times New Roman"/>
        </w:rPr>
        <w:footnoteReference w:id="178"/>
      </w:r>
      <w:r w:rsidRPr="002A65B0">
        <w:rPr>
          <w:rFonts w:eastAsia="Times New Roman"/>
        </w:rPr>
        <w:t xml:space="preserve"> </w:t>
      </w:r>
      <w:r>
        <w:rPr>
          <w:rFonts w:eastAsia="Times New Roman"/>
        </w:rPr>
        <w:t>In light</w:t>
      </w:r>
      <w:r w:rsidRPr="002A65B0">
        <w:rPr>
          <w:rFonts w:eastAsia="Times New Roman"/>
        </w:rPr>
        <w:t xml:space="preserve"> </w:t>
      </w:r>
      <w:r>
        <w:rPr>
          <w:rFonts w:eastAsia="Times New Roman"/>
        </w:rPr>
        <w:t xml:space="preserve">of </w:t>
      </w:r>
      <w:r w:rsidRPr="002A65B0">
        <w:rPr>
          <w:rFonts w:eastAsia="Times New Roman"/>
        </w:rPr>
        <w:t xml:space="preserve">such involvement, the </w:t>
      </w:r>
      <w:r w:rsidRPr="002A65B0">
        <w:rPr>
          <w:rFonts w:eastAsia="Times New Roman"/>
          <w:lang w:eastAsia="en-US"/>
        </w:rPr>
        <w:t xml:space="preserve">revised plans now include </w:t>
      </w:r>
      <w:r>
        <w:rPr>
          <w:rFonts w:eastAsia="Times New Roman"/>
          <w:lang w:eastAsia="en-US"/>
        </w:rPr>
        <w:t xml:space="preserve">a number of commitments relevant to inclusive pedestrian access to streets - </w:t>
      </w:r>
      <w:r w:rsidRPr="002A65B0">
        <w:rPr>
          <w:rFonts w:eastAsia="Times New Roman"/>
          <w:lang w:eastAsia="en-US"/>
        </w:rPr>
        <w:t>eg footway widening where possible, in order to prevent people stepping onto the road in busy areas; increased pedestrianisation, making the City Centre more accessible and easier to move around; and tactile surfaces in line with Department for Transport guidelines.</w:t>
      </w:r>
      <w:r w:rsidRPr="002A65B0">
        <w:rPr>
          <w:rStyle w:val="FootnoteReference"/>
          <w:rFonts w:eastAsia="Times New Roman"/>
          <w:lang w:eastAsia="en-US"/>
        </w:rPr>
        <w:footnoteReference w:id="179"/>
      </w:r>
      <w:r w:rsidRPr="002A65B0">
        <w:rPr>
          <w:rFonts w:eastAsia="Times New Roman"/>
        </w:rPr>
        <w:t xml:space="preserve"> </w:t>
      </w:r>
    </w:p>
    <w:p w14:paraId="3683571C" w14:textId="77777777" w:rsidR="0019789C" w:rsidRDefault="0019789C" w:rsidP="00B709D0">
      <w:pPr>
        <w:rPr>
          <w:rFonts w:eastAsia="Times New Roman"/>
        </w:rPr>
      </w:pPr>
    </w:p>
    <w:p w14:paraId="782AEA9B" w14:textId="2608B137" w:rsidR="0019789C" w:rsidRPr="00B709D0" w:rsidRDefault="0019789C" w:rsidP="00B709D0">
      <w:pPr>
        <w:rPr>
          <w:rFonts w:eastAsia="Times New Roman"/>
        </w:rPr>
      </w:pPr>
      <w:r w:rsidRPr="002A65B0">
        <w:rPr>
          <w:rFonts w:eastAsia="Times New Roman"/>
        </w:rPr>
        <w:t xml:space="preserve">Second, </w:t>
      </w:r>
      <w:r>
        <w:rPr>
          <w:rFonts w:eastAsia="Times New Roman"/>
        </w:rPr>
        <w:t>on</w:t>
      </w:r>
      <w:r w:rsidRPr="002A65B0">
        <w:rPr>
          <w:rFonts w:eastAsia="Times New Roman"/>
        </w:rPr>
        <w:t xml:space="preserve"> the priority of improving </w:t>
      </w:r>
      <w:r>
        <w:rPr>
          <w:rFonts w:eastAsia="Times New Roman"/>
        </w:rPr>
        <w:t xml:space="preserve">the </w:t>
      </w:r>
      <w:r w:rsidRPr="002A65B0">
        <w:rPr>
          <w:rFonts w:eastAsia="Times New Roman"/>
        </w:rPr>
        <w:t>walkability and accessibility of Leeds City Centre, work has been undertaken to develop and implement a new pedestrian wayfinding system for the City Centre called ‘Legible Leeds’ and to extend this system across the City Centre; increasing the number of signs across the city centr</w:t>
      </w:r>
      <w:r>
        <w:rPr>
          <w:rFonts w:eastAsia="Times New Roman"/>
        </w:rPr>
        <w:t>e; and keeping maps up-to-date</w:t>
      </w:r>
      <w:r w:rsidRPr="002A65B0">
        <w:rPr>
          <w:rFonts w:eastAsia="Times New Roman"/>
        </w:rPr>
        <w:t>.</w:t>
      </w:r>
      <w:r w:rsidRPr="002A65B0">
        <w:rPr>
          <w:rStyle w:val="FootnoteReference"/>
          <w:rFonts w:eastAsia="Times New Roman"/>
        </w:rPr>
        <w:footnoteReference w:id="180"/>
      </w:r>
    </w:p>
    <w:p w14:paraId="1A19B023" w14:textId="6DD41B39" w:rsidR="0019789C" w:rsidRPr="002A65B0" w:rsidRDefault="0019789C" w:rsidP="00B86641">
      <w:pPr>
        <w:rPr>
          <w:szCs w:val="24"/>
          <w:lang w:bidi="en-US"/>
        </w:rPr>
      </w:pPr>
    </w:p>
    <w:p w14:paraId="5380B304" w14:textId="4DB4557E" w:rsidR="0019789C" w:rsidRPr="002A65B0" w:rsidRDefault="0019789C" w:rsidP="00B709D0">
      <w:pPr>
        <w:rPr>
          <w:rFonts w:cs="Arial"/>
          <w:szCs w:val="24"/>
        </w:rPr>
      </w:pPr>
      <w:r w:rsidRPr="002A65B0">
        <w:rPr>
          <w:rFonts w:cs="Arial"/>
          <w:szCs w:val="24"/>
          <w:lang w:bidi="en-US"/>
        </w:rPr>
        <w:t xml:space="preserve">Leeds City Council has an </w:t>
      </w:r>
      <w:r w:rsidRPr="002A65B0">
        <w:rPr>
          <w:rFonts w:cs="Arial"/>
          <w:szCs w:val="24"/>
        </w:rPr>
        <w:t>Access and Inclusion policy,</w:t>
      </w:r>
      <w:r>
        <w:rPr>
          <w:rStyle w:val="FootnoteReference"/>
          <w:rFonts w:cs="Arial"/>
          <w:szCs w:val="24"/>
        </w:rPr>
        <w:footnoteReference w:id="181"/>
      </w:r>
      <w:r w:rsidRPr="002A65B0">
        <w:rPr>
          <w:rFonts w:cs="Arial"/>
          <w:szCs w:val="24"/>
        </w:rPr>
        <w:t xml:space="preserve"> but it relates </w:t>
      </w:r>
      <w:r w:rsidRPr="002A65B0">
        <w:rPr>
          <w:rStyle w:val="eop"/>
          <w:rFonts w:cs="Arial"/>
        </w:rPr>
        <w:t>to the implementation of accessibility plans in local authority-maintained schools, nurseries, children’s centres and early year settings</w:t>
      </w:r>
      <w:r>
        <w:rPr>
          <w:rStyle w:val="eop"/>
          <w:rFonts w:cs="Arial"/>
        </w:rPr>
        <w:t>,</w:t>
      </w:r>
      <w:r>
        <w:rPr>
          <w:rStyle w:val="FootnoteReference"/>
          <w:rFonts w:cs="Arial"/>
        </w:rPr>
        <w:footnoteReference w:id="182"/>
      </w:r>
      <w:r>
        <w:rPr>
          <w:rStyle w:val="eop"/>
          <w:rFonts w:cs="Arial"/>
        </w:rPr>
        <w:t xml:space="preserve"> and is therefore not relevant for current purposes. </w:t>
      </w:r>
    </w:p>
    <w:p w14:paraId="5A7C311B" w14:textId="77777777" w:rsidR="0019789C" w:rsidRPr="002A65B0" w:rsidRDefault="0019789C" w:rsidP="00B709D0">
      <w:pPr>
        <w:ind w:firstLine="0"/>
        <w:rPr>
          <w:szCs w:val="24"/>
          <w:lang w:bidi="en-US"/>
        </w:rPr>
      </w:pPr>
    </w:p>
    <w:p w14:paraId="5FCE4CE7" w14:textId="668C6443" w:rsidR="0019789C" w:rsidRPr="007812AC" w:rsidRDefault="0019789C" w:rsidP="007812AC">
      <w:pPr>
        <w:pStyle w:val="Heading5"/>
      </w:pPr>
      <w:r w:rsidRPr="007812AC">
        <w:t>(c) Disabled People</w:t>
      </w:r>
    </w:p>
    <w:p w14:paraId="4DAFEE22" w14:textId="1D8400E1" w:rsidR="0019789C" w:rsidRPr="002A65B0" w:rsidRDefault="0019789C" w:rsidP="00B709D0">
      <w:r w:rsidRPr="002A65B0">
        <w:lastRenderedPageBreak/>
        <w:t>Leeds City Council does not have a single comprehensive disability strategy. However, issues relating to disability and accessibility feature in other strategies and plans.</w:t>
      </w:r>
      <w:r>
        <w:rPr>
          <w:rStyle w:val="FootnoteReference"/>
        </w:rPr>
        <w:footnoteReference w:id="183"/>
      </w:r>
      <w:r w:rsidRPr="002A65B0">
        <w:t xml:space="preserve"> In addition, the Council has a number of strategies relating to particular disability related issues – eg learning disability and Special Educational Needs and Disability.</w:t>
      </w:r>
      <w:r>
        <w:rPr>
          <w:rStyle w:val="FootnoteReference"/>
        </w:rPr>
        <w:footnoteReference w:id="184"/>
      </w:r>
    </w:p>
    <w:p w14:paraId="6795763A" w14:textId="6BE58FDF" w:rsidR="0019789C" w:rsidRPr="002A65B0" w:rsidRDefault="0019789C" w:rsidP="00B709D0">
      <w:pPr>
        <w:rPr>
          <w:lang w:bidi="en-US"/>
        </w:rPr>
      </w:pPr>
    </w:p>
    <w:p w14:paraId="60CD4111" w14:textId="17D7E9BF" w:rsidR="0019789C" w:rsidRPr="00B709D0" w:rsidRDefault="0019789C" w:rsidP="00A8026B">
      <w:pPr>
        <w:pStyle w:val="Heading5"/>
      </w:pPr>
      <w:r w:rsidRPr="00B709D0">
        <w:t>(d) Older People</w:t>
      </w:r>
    </w:p>
    <w:p w14:paraId="1A784352" w14:textId="1BAAA6B1" w:rsidR="0019789C" w:rsidRDefault="0019789C" w:rsidP="00CB26E7">
      <w:pPr>
        <w:rPr>
          <w:rFonts w:cs="Arial"/>
          <w:szCs w:val="24"/>
        </w:rPr>
      </w:pPr>
      <w:r>
        <w:t>Leeds</w:t>
      </w:r>
      <w:r w:rsidRPr="002A65B0">
        <w:t xml:space="preserve"> City Council has pledged to make Leeds an age-friendly city. To this end it has </w:t>
      </w:r>
      <w:bookmarkStart w:id="27" w:name="_Hlk38184422"/>
      <w:r w:rsidRPr="002A65B0">
        <w:t xml:space="preserve">adopted the </w:t>
      </w:r>
      <w:r>
        <w:t>‘</w:t>
      </w:r>
      <w:r w:rsidRPr="002A65B0">
        <w:t>Age-friendly Leeds</w:t>
      </w:r>
      <w:r>
        <w:t>’</w:t>
      </w:r>
      <w:r w:rsidRPr="002A65B0">
        <w:t xml:space="preserve"> </w:t>
      </w:r>
      <w:r>
        <w:t>s</w:t>
      </w:r>
      <w:r w:rsidRPr="002A65B0">
        <w:t>trategy and action plan 2019-2022.</w:t>
      </w:r>
      <w:bookmarkStart w:id="28" w:name="_Ref39674040"/>
      <w:r w:rsidRPr="002A65B0">
        <w:rPr>
          <w:rStyle w:val="FootnoteReference"/>
          <w:rFonts w:cs="Arial"/>
          <w:szCs w:val="24"/>
        </w:rPr>
        <w:footnoteReference w:id="185"/>
      </w:r>
      <w:bookmarkEnd w:id="28"/>
      <w:r>
        <w:t xml:space="preserve"> As mentioned above, this strategy is </w:t>
      </w:r>
      <w:r w:rsidRPr="00A55E03">
        <w:rPr>
          <w:rFonts w:cs="Arial"/>
          <w:szCs w:val="24"/>
        </w:rPr>
        <w:t>one of the eight interconnected priority areas of work set out in the Best Council Plan 2019 – 2021.</w:t>
      </w:r>
      <w:r>
        <w:rPr>
          <w:rStyle w:val="FootnoteReference"/>
          <w:rFonts w:cs="Arial"/>
          <w:szCs w:val="24"/>
        </w:rPr>
        <w:footnoteReference w:id="186"/>
      </w:r>
      <w:r>
        <w:rPr>
          <w:rFonts w:cs="Arial"/>
          <w:szCs w:val="24"/>
        </w:rPr>
        <w:t xml:space="preserve"> The associated action plan </w:t>
      </w:r>
      <w:r w:rsidRPr="00AB44EB">
        <w:rPr>
          <w:rFonts w:cs="Arial"/>
          <w:szCs w:val="24"/>
        </w:rPr>
        <w:t xml:space="preserve">is structured around six topic areas adapted for Leeds from the </w:t>
      </w:r>
      <w:r>
        <w:rPr>
          <w:rFonts w:cs="Arial"/>
          <w:szCs w:val="24"/>
        </w:rPr>
        <w:t>‘</w:t>
      </w:r>
      <w:r w:rsidRPr="00AB44EB">
        <w:rPr>
          <w:rFonts w:cs="Arial"/>
          <w:szCs w:val="24"/>
        </w:rPr>
        <w:t>Age Friendly City</w:t>
      </w:r>
      <w:r>
        <w:rPr>
          <w:rFonts w:cs="Arial"/>
          <w:szCs w:val="24"/>
        </w:rPr>
        <w:t>’</w:t>
      </w:r>
      <w:r w:rsidRPr="00AB44EB">
        <w:rPr>
          <w:rFonts w:cs="Arial"/>
          <w:szCs w:val="24"/>
        </w:rPr>
        <w:t xml:space="preserve"> domains developed by the </w:t>
      </w:r>
      <w:r>
        <w:rPr>
          <w:rFonts w:cs="Arial"/>
          <w:szCs w:val="24"/>
        </w:rPr>
        <w:t>WHO</w:t>
      </w:r>
      <w:r w:rsidRPr="00AB44EB">
        <w:rPr>
          <w:rFonts w:cs="Arial"/>
          <w:szCs w:val="24"/>
        </w:rPr>
        <w:t>:</w:t>
      </w:r>
      <w:r>
        <w:rPr>
          <w:rFonts w:cs="Arial"/>
          <w:szCs w:val="24"/>
        </w:rPr>
        <w:t xml:space="preserve"> </w:t>
      </w:r>
      <w:r w:rsidRPr="00AB44EB">
        <w:rPr>
          <w:rFonts w:cs="Arial"/>
          <w:szCs w:val="24"/>
        </w:rPr>
        <w:t>Public and Civic Spaces</w:t>
      </w:r>
      <w:r>
        <w:rPr>
          <w:rFonts w:cs="Arial"/>
          <w:szCs w:val="24"/>
        </w:rPr>
        <w:t xml:space="preserve">; </w:t>
      </w:r>
      <w:r w:rsidRPr="00AB44EB">
        <w:rPr>
          <w:rFonts w:cs="Arial"/>
          <w:szCs w:val="24"/>
        </w:rPr>
        <w:t>Travel and road safety</w:t>
      </w:r>
      <w:r>
        <w:rPr>
          <w:rFonts w:cs="Arial"/>
          <w:szCs w:val="24"/>
        </w:rPr>
        <w:t xml:space="preserve">; </w:t>
      </w:r>
      <w:r w:rsidRPr="00AB44EB">
        <w:rPr>
          <w:rFonts w:cs="Arial"/>
          <w:szCs w:val="24"/>
        </w:rPr>
        <w:t>Housing</w:t>
      </w:r>
      <w:r>
        <w:rPr>
          <w:rFonts w:cs="Arial"/>
          <w:szCs w:val="24"/>
        </w:rPr>
        <w:t xml:space="preserve">; </w:t>
      </w:r>
      <w:r w:rsidRPr="00AB44EB">
        <w:rPr>
          <w:rFonts w:cs="Arial"/>
          <w:szCs w:val="24"/>
        </w:rPr>
        <w:t>Active, included and respected</w:t>
      </w:r>
      <w:r>
        <w:rPr>
          <w:rFonts w:cs="Arial"/>
          <w:szCs w:val="24"/>
        </w:rPr>
        <w:t xml:space="preserve">; </w:t>
      </w:r>
      <w:r w:rsidRPr="00AB44EB">
        <w:rPr>
          <w:rFonts w:cs="Arial"/>
          <w:szCs w:val="24"/>
        </w:rPr>
        <w:t>Healthy and independent ageing</w:t>
      </w:r>
      <w:r>
        <w:rPr>
          <w:rFonts w:cs="Arial"/>
          <w:szCs w:val="24"/>
        </w:rPr>
        <w:t xml:space="preserve">; and </w:t>
      </w:r>
      <w:r w:rsidRPr="00AB44EB">
        <w:rPr>
          <w:rFonts w:cs="Arial"/>
          <w:szCs w:val="24"/>
        </w:rPr>
        <w:t>Employment and learning</w:t>
      </w:r>
      <w:r>
        <w:rPr>
          <w:rFonts w:cs="Arial"/>
          <w:szCs w:val="24"/>
        </w:rPr>
        <w:t>.</w:t>
      </w:r>
      <w:r>
        <w:rPr>
          <w:rStyle w:val="FootnoteReference"/>
          <w:rFonts w:cs="Arial"/>
          <w:szCs w:val="24"/>
        </w:rPr>
        <w:footnoteReference w:id="187"/>
      </w:r>
      <w:r>
        <w:rPr>
          <w:rFonts w:cs="Arial"/>
          <w:szCs w:val="24"/>
        </w:rPr>
        <w:t xml:space="preserve"> The first two are of particular relevance to the IPS project. First, the ‘p</w:t>
      </w:r>
      <w:r w:rsidRPr="00AB44EB">
        <w:rPr>
          <w:rFonts w:cs="Arial"/>
          <w:szCs w:val="24"/>
        </w:rPr>
        <w:t>ublic and civic spaces</w:t>
      </w:r>
      <w:r>
        <w:rPr>
          <w:rFonts w:cs="Arial"/>
          <w:szCs w:val="24"/>
        </w:rPr>
        <w:t xml:space="preserve">’ topic encompasses </w:t>
      </w:r>
      <w:r w:rsidRPr="00AB44EB">
        <w:rPr>
          <w:rFonts w:cs="Arial"/>
          <w:szCs w:val="24"/>
        </w:rPr>
        <w:t>city centre and district centres</w:t>
      </w:r>
      <w:r>
        <w:rPr>
          <w:rFonts w:cs="Arial"/>
          <w:szCs w:val="24"/>
        </w:rPr>
        <w:t>, parks, p</w:t>
      </w:r>
      <w:r w:rsidRPr="00AB44EB">
        <w:rPr>
          <w:rFonts w:cs="Arial"/>
          <w:szCs w:val="24"/>
        </w:rPr>
        <w:t xml:space="preserve">ublic </w:t>
      </w:r>
      <w:r>
        <w:rPr>
          <w:rFonts w:cs="Arial"/>
          <w:szCs w:val="24"/>
        </w:rPr>
        <w:t>and market</w:t>
      </w:r>
      <w:r w:rsidRPr="00AB44EB">
        <w:rPr>
          <w:rFonts w:cs="Arial"/>
          <w:szCs w:val="24"/>
        </w:rPr>
        <w:t xml:space="preserve"> squares</w:t>
      </w:r>
      <w:r>
        <w:rPr>
          <w:rFonts w:cs="Arial"/>
          <w:szCs w:val="24"/>
        </w:rPr>
        <w:t>,</w:t>
      </w:r>
      <w:r w:rsidRPr="00AB44EB">
        <w:rPr>
          <w:rFonts w:cs="Arial"/>
          <w:szCs w:val="24"/>
        </w:rPr>
        <w:t xml:space="preserve"> </w:t>
      </w:r>
      <w:r>
        <w:rPr>
          <w:rFonts w:cs="Arial"/>
          <w:szCs w:val="24"/>
        </w:rPr>
        <w:t>p</w:t>
      </w:r>
      <w:r w:rsidRPr="00AB44EB">
        <w:rPr>
          <w:rFonts w:cs="Arial"/>
          <w:szCs w:val="24"/>
        </w:rPr>
        <w:t>edestrian areas</w:t>
      </w:r>
      <w:r>
        <w:rPr>
          <w:rFonts w:cs="Arial"/>
          <w:szCs w:val="24"/>
        </w:rPr>
        <w:t>, and</w:t>
      </w:r>
      <w:r w:rsidRPr="00AB44EB">
        <w:rPr>
          <w:rFonts w:cs="Arial"/>
          <w:szCs w:val="24"/>
        </w:rPr>
        <w:t xml:space="preserve"> </w:t>
      </w:r>
      <w:r>
        <w:rPr>
          <w:rFonts w:cs="Arial"/>
          <w:szCs w:val="24"/>
        </w:rPr>
        <w:t>p</w:t>
      </w:r>
      <w:r w:rsidRPr="00AB44EB">
        <w:rPr>
          <w:rFonts w:cs="Arial"/>
          <w:szCs w:val="24"/>
        </w:rPr>
        <w:t>ublic buildings</w:t>
      </w:r>
      <w:r>
        <w:rPr>
          <w:rFonts w:cs="Arial"/>
          <w:szCs w:val="24"/>
        </w:rPr>
        <w:t>. It aims to ensure that ‘</w:t>
      </w:r>
      <w:r w:rsidRPr="00AB44EB">
        <w:rPr>
          <w:rFonts w:cs="Arial"/>
          <w:szCs w:val="24"/>
        </w:rPr>
        <w:t>Leeds is a welcoming city, accessible to all where older people feel, and are, saf</w:t>
      </w:r>
      <w:r>
        <w:rPr>
          <w:rFonts w:cs="Arial"/>
          <w:szCs w:val="24"/>
        </w:rPr>
        <w:t>e’ by prom</w:t>
      </w:r>
      <w:r w:rsidRPr="00AB44EB">
        <w:rPr>
          <w:rFonts w:cs="Arial"/>
          <w:szCs w:val="24"/>
        </w:rPr>
        <w:t>o</w:t>
      </w:r>
      <w:r>
        <w:rPr>
          <w:rFonts w:cs="Arial"/>
          <w:szCs w:val="24"/>
        </w:rPr>
        <w:t>ting t</w:t>
      </w:r>
      <w:r w:rsidRPr="00AB44EB">
        <w:rPr>
          <w:rFonts w:cs="Arial"/>
          <w:szCs w:val="24"/>
        </w:rPr>
        <w:t>he voice of older people in planning and regeneration</w:t>
      </w:r>
      <w:r>
        <w:rPr>
          <w:rFonts w:cs="Arial"/>
          <w:szCs w:val="24"/>
        </w:rPr>
        <w:t xml:space="preserve">, engaging with </w:t>
      </w:r>
      <w:r w:rsidRPr="00AB44EB">
        <w:rPr>
          <w:rFonts w:cs="Arial"/>
          <w:szCs w:val="24"/>
        </w:rPr>
        <w:t>businesses and local district centres to encourage an Age Friendly Approach</w:t>
      </w:r>
      <w:r>
        <w:rPr>
          <w:rFonts w:cs="Arial"/>
          <w:szCs w:val="24"/>
        </w:rPr>
        <w:t>, and p</w:t>
      </w:r>
      <w:r w:rsidRPr="00AB44EB">
        <w:rPr>
          <w:rFonts w:cs="Arial"/>
          <w:szCs w:val="24"/>
        </w:rPr>
        <w:t>rovid</w:t>
      </w:r>
      <w:r>
        <w:rPr>
          <w:rFonts w:cs="Arial"/>
          <w:szCs w:val="24"/>
        </w:rPr>
        <w:t>ing</w:t>
      </w:r>
      <w:r w:rsidRPr="00AB44EB">
        <w:rPr>
          <w:rFonts w:cs="Arial"/>
          <w:szCs w:val="24"/>
        </w:rPr>
        <w:t xml:space="preserve"> attractive and safe public spaces that enable older people to feel confident </w:t>
      </w:r>
      <w:r>
        <w:rPr>
          <w:rFonts w:cs="Arial"/>
          <w:szCs w:val="24"/>
        </w:rPr>
        <w:t xml:space="preserve">going out and being </w:t>
      </w:r>
      <w:r w:rsidRPr="00AB44EB">
        <w:rPr>
          <w:rFonts w:cs="Arial"/>
          <w:szCs w:val="24"/>
        </w:rPr>
        <w:t>active in their communit</w:t>
      </w:r>
      <w:r>
        <w:rPr>
          <w:rFonts w:cs="Arial"/>
          <w:szCs w:val="24"/>
        </w:rPr>
        <w:t>ies</w:t>
      </w:r>
      <w:r w:rsidRPr="00AB44EB">
        <w:rPr>
          <w:rFonts w:cs="Arial"/>
          <w:szCs w:val="24"/>
        </w:rPr>
        <w:t xml:space="preserve"> and the city centre</w:t>
      </w:r>
      <w:r>
        <w:rPr>
          <w:rFonts w:cs="Arial"/>
          <w:szCs w:val="24"/>
        </w:rPr>
        <w:t>.</w:t>
      </w:r>
      <w:r>
        <w:rPr>
          <w:rStyle w:val="FootnoteReference"/>
          <w:rFonts w:cs="Arial"/>
          <w:szCs w:val="24"/>
        </w:rPr>
        <w:footnoteReference w:id="188"/>
      </w:r>
      <w:r>
        <w:rPr>
          <w:rFonts w:cs="Arial"/>
          <w:szCs w:val="24"/>
        </w:rPr>
        <w:t xml:space="preserve"> Second, the </w:t>
      </w:r>
      <w:bookmarkEnd w:id="27"/>
      <w:r>
        <w:rPr>
          <w:rFonts w:cs="Arial"/>
          <w:szCs w:val="24"/>
        </w:rPr>
        <w:t>‘t</w:t>
      </w:r>
      <w:r>
        <w:t xml:space="preserve">ravel and road’ topic aims at ensuring </w:t>
      </w:r>
      <w:r>
        <w:rPr>
          <w:rFonts w:cs="Arial"/>
          <w:szCs w:val="24"/>
        </w:rPr>
        <w:t>o</w:t>
      </w:r>
      <w:r w:rsidRPr="00CB26E7">
        <w:rPr>
          <w:rFonts w:cs="Arial"/>
          <w:szCs w:val="24"/>
        </w:rPr>
        <w:t>lder people</w:t>
      </w:r>
      <w:r>
        <w:rPr>
          <w:rFonts w:cs="Arial"/>
          <w:szCs w:val="24"/>
        </w:rPr>
        <w:t xml:space="preserve">’s </w:t>
      </w:r>
      <w:r w:rsidRPr="00CB26E7">
        <w:rPr>
          <w:rFonts w:cs="Arial"/>
          <w:szCs w:val="24"/>
        </w:rPr>
        <w:t>access</w:t>
      </w:r>
      <w:r>
        <w:rPr>
          <w:rFonts w:cs="Arial"/>
          <w:szCs w:val="24"/>
        </w:rPr>
        <w:t xml:space="preserve"> to ‘a </w:t>
      </w:r>
      <w:r w:rsidRPr="00CB26E7">
        <w:rPr>
          <w:rFonts w:cs="Arial"/>
          <w:szCs w:val="24"/>
        </w:rPr>
        <w:t>broad range of affordable and accessible transport options to get about the city easily and safely</w:t>
      </w:r>
      <w:r>
        <w:rPr>
          <w:rFonts w:cs="Arial"/>
          <w:szCs w:val="24"/>
        </w:rPr>
        <w:t xml:space="preserve">’ by eg including the views of older people in </w:t>
      </w:r>
      <w:r w:rsidRPr="00CB26E7">
        <w:rPr>
          <w:rFonts w:cs="Arial"/>
          <w:szCs w:val="24"/>
        </w:rPr>
        <w:t xml:space="preserve">transport strategies, </w:t>
      </w:r>
      <w:r w:rsidRPr="00CB26E7">
        <w:rPr>
          <w:rFonts w:cs="Arial"/>
          <w:szCs w:val="24"/>
        </w:rPr>
        <w:lastRenderedPageBreak/>
        <w:t>policies and plans</w:t>
      </w:r>
      <w:r>
        <w:rPr>
          <w:rFonts w:cs="Arial"/>
          <w:szCs w:val="24"/>
        </w:rPr>
        <w:t>, and offering</w:t>
      </w:r>
      <w:r w:rsidRPr="00CB26E7">
        <w:rPr>
          <w:rFonts w:cs="Arial"/>
          <w:szCs w:val="24"/>
        </w:rPr>
        <w:t xml:space="preserve"> legible, attractive and safe local neighbourhoods for walking and cycling</w:t>
      </w:r>
      <w:r>
        <w:rPr>
          <w:rFonts w:cs="Arial"/>
          <w:szCs w:val="24"/>
        </w:rPr>
        <w:t>.</w:t>
      </w:r>
      <w:r>
        <w:rPr>
          <w:rStyle w:val="FootnoteReference"/>
          <w:rFonts w:cs="Arial"/>
          <w:szCs w:val="24"/>
        </w:rPr>
        <w:footnoteReference w:id="189"/>
      </w:r>
    </w:p>
    <w:p w14:paraId="54F56E34" w14:textId="77777777" w:rsidR="0019789C" w:rsidRDefault="0019789C" w:rsidP="00CB26E7"/>
    <w:p w14:paraId="7CA7558E" w14:textId="691BF38A" w:rsidR="0019789C" w:rsidRDefault="0019789C" w:rsidP="00123CA2">
      <w:pPr>
        <w:rPr>
          <w:lang w:bidi="en-US"/>
        </w:rPr>
      </w:pPr>
      <w:r w:rsidRPr="002A65B0">
        <w:t>Interestingly, the Council is also committed to making Leeds a child-friendly city</w:t>
      </w:r>
      <w:bookmarkStart w:id="29" w:name="_Hlk38184599"/>
      <w:r w:rsidRPr="002A65B0">
        <w:t>. It has therefore adopted the Leeds children and young people plan 2018-2023.</w:t>
      </w:r>
      <w:r>
        <w:rPr>
          <w:rStyle w:val="FootnoteReference"/>
        </w:rPr>
        <w:footnoteReference w:id="190"/>
      </w:r>
      <w:r>
        <w:t xml:space="preserve"> The plan is not focused on the accessibility of public space, but generally promotes the intended outcomes that </w:t>
      </w:r>
      <w:bookmarkEnd w:id="29"/>
      <w:r>
        <w:rPr>
          <w:lang w:bidi="en-US"/>
        </w:rPr>
        <w:t>all children and young people are safe from harm; do well at all levels of learning and have skills for life; enjoy healthy lifestyles; have fun growing up; are active citizens who feel they have a voice and influence.</w:t>
      </w:r>
      <w:r>
        <w:rPr>
          <w:rStyle w:val="FootnoteReference"/>
          <w:lang w:bidi="en-US"/>
        </w:rPr>
        <w:footnoteReference w:id="191"/>
      </w:r>
    </w:p>
    <w:p w14:paraId="633CE8AE" w14:textId="77777777" w:rsidR="0019789C" w:rsidRPr="002A65B0" w:rsidRDefault="0019789C" w:rsidP="00B86641">
      <w:pPr>
        <w:rPr>
          <w:lang w:bidi="en-US"/>
        </w:rPr>
      </w:pPr>
    </w:p>
    <w:p w14:paraId="4B103AF4" w14:textId="2A938E03" w:rsidR="0019789C" w:rsidRPr="002A65B0" w:rsidRDefault="0019789C" w:rsidP="006673DC">
      <w:pPr>
        <w:pStyle w:val="Heading4"/>
      </w:pPr>
      <w:r w:rsidRPr="002A65B0">
        <w:t>A6.1.2 Transport</w:t>
      </w:r>
    </w:p>
    <w:p w14:paraId="07D2C7B2" w14:textId="23E23403" w:rsidR="0019789C" w:rsidRDefault="0019789C" w:rsidP="00123CA2">
      <w:r w:rsidRPr="002A65B0">
        <w:t>Transport in Leeds is shaped by a number of strategies – in particular the</w:t>
      </w:r>
      <w:r>
        <w:t xml:space="preserve"> </w:t>
      </w:r>
      <w:r w:rsidRPr="002A65B0">
        <w:t>Leeds Transport Strategy 2016</w:t>
      </w:r>
      <w:bookmarkStart w:id="30" w:name="_Ref39674086"/>
      <w:r w:rsidRPr="002A65B0">
        <w:rPr>
          <w:rStyle w:val="FootnoteReference"/>
          <w:rFonts w:cs="Arial"/>
          <w:szCs w:val="24"/>
        </w:rPr>
        <w:footnoteReference w:id="192"/>
      </w:r>
      <w:bookmarkEnd w:id="30"/>
      <w:r>
        <w:t xml:space="preserve"> </w:t>
      </w:r>
      <w:r w:rsidRPr="002A65B0">
        <w:t>and the West Yorkshire Transport Strategy 2040.</w:t>
      </w:r>
      <w:bookmarkStart w:id="31" w:name="_Ref39674098"/>
      <w:r w:rsidRPr="002A65B0">
        <w:rPr>
          <w:rStyle w:val="FootnoteReference"/>
          <w:rFonts w:cs="Arial"/>
          <w:szCs w:val="24"/>
        </w:rPr>
        <w:footnoteReference w:id="193"/>
      </w:r>
      <w:bookmarkEnd w:id="31"/>
      <w:r w:rsidRPr="002A65B0">
        <w:t xml:space="preserve"> They set out the aims and ambitions which guide developments within the city of Leeds and the wider region. </w:t>
      </w:r>
    </w:p>
    <w:p w14:paraId="0C7F04F1" w14:textId="77777777" w:rsidR="0019789C" w:rsidRDefault="0019789C" w:rsidP="00123CA2"/>
    <w:p w14:paraId="1670F56B" w14:textId="7EB0C64F" w:rsidR="0019789C" w:rsidRPr="00123CA2" w:rsidRDefault="0019789C" w:rsidP="00123CA2">
      <w:r w:rsidRPr="002A65B0">
        <w:t>The Leeds Transport Strategy emerges from the Leeds City Council’s ‘Connecting Leeds’ ambition</w:t>
      </w:r>
      <w:r>
        <w:t xml:space="preserve"> –</w:t>
      </w:r>
      <w:r w:rsidRPr="002A65B0">
        <w:t xml:space="preserve"> ‘to transform travel in Leeds for people who live, work in and visit the city’.</w:t>
      </w:r>
      <w:r w:rsidRPr="002A65B0">
        <w:rPr>
          <w:rStyle w:val="FootnoteReference"/>
          <w:rFonts w:cs="Arial"/>
          <w:szCs w:val="24"/>
        </w:rPr>
        <w:footnoteReference w:id="194"/>
      </w:r>
      <w:r w:rsidRPr="002A65B0">
        <w:t xml:space="preserve"> Its main focus concerns public transport infrastructure and services. Nevertheless, it does have some relevance to pedestrians and inclusive street design and management and maintenance</w:t>
      </w:r>
      <w:r>
        <w:t xml:space="preserve">. In relation to </w:t>
      </w:r>
      <w:r w:rsidRPr="00123CA2">
        <w:t>‘Connected Neighbourhoods</w:t>
      </w:r>
      <w:r>
        <w:t>’, active travel (</w:t>
      </w:r>
      <w:r w:rsidRPr="00123CA2">
        <w:t>walking and cyclin</w:t>
      </w:r>
      <w:r>
        <w:t>g) is viewed as</w:t>
      </w:r>
      <w:r w:rsidRPr="00123CA2">
        <w:t xml:space="preserve"> </w:t>
      </w:r>
      <w:r>
        <w:t xml:space="preserve">an </w:t>
      </w:r>
      <w:r w:rsidRPr="00123CA2">
        <w:t xml:space="preserve">essential element of an integrated transport system. It </w:t>
      </w:r>
      <w:r>
        <w:t>focuses on</w:t>
      </w:r>
      <w:r w:rsidRPr="00123CA2">
        <w:t xml:space="preserve"> making district centres attractive, safe and welcoming; ensuring </w:t>
      </w:r>
      <w:r>
        <w:t>disabled people</w:t>
      </w:r>
      <w:r w:rsidRPr="00123CA2">
        <w:t xml:space="preserve"> have access to transport network</w:t>
      </w:r>
      <w:r>
        <w:t>s</w:t>
      </w:r>
      <w:r w:rsidRPr="00123CA2">
        <w:t xml:space="preserve"> as an important part of Leeds being </w:t>
      </w:r>
      <w:r w:rsidRPr="00123CA2">
        <w:lastRenderedPageBreak/>
        <w:t>an equitable city</w:t>
      </w:r>
      <w:r>
        <w:t>;</w:t>
      </w:r>
      <w:r w:rsidRPr="00123CA2">
        <w:t xml:space="preserve"> and</w:t>
      </w:r>
      <w:r>
        <w:t xml:space="preserve"> the</w:t>
      </w:r>
      <w:r w:rsidRPr="00123CA2">
        <w:t xml:space="preserve"> development of excellent walking and cycling routes, with </w:t>
      </w:r>
      <w:r>
        <w:t xml:space="preserve">a commitment to </w:t>
      </w:r>
      <w:r w:rsidRPr="00123CA2">
        <w:t xml:space="preserve">pedestrians </w:t>
      </w:r>
      <w:r>
        <w:t xml:space="preserve">being </w:t>
      </w:r>
      <w:r w:rsidRPr="00123CA2">
        <w:t>given greater priority in the future.</w:t>
      </w:r>
      <w:r>
        <w:rPr>
          <w:rStyle w:val="FootnoteReference"/>
        </w:rPr>
        <w:footnoteReference w:id="195"/>
      </w:r>
    </w:p>
    <w:p w14:paraId="2444B603" w14:textId="77777777" w:rsidR="0019789C" w:rsidRPr="002A65B0" w:rsidRDefault="0019789C" w:rsidP="00123CA2"/>
    <w:p w14:paraId="6EBE8B6A" w14:textId="5C471A3D" w:rsidR="0019789C" w:rsidRPr="00F13E4B" w:rsidRDefault="0019789C" w:rsidP="00F13E4B">
      <w:pPr>
        <w:rPr>
          <w:rStyle w:val="normaltextrun"/>
          <w:rFonts w:eastAsia="Times New Roman"/>
        </w:rPr>
      </w:pPr>
      <w:r w:rsidRPr="002A65B0">
        <w:t>The West Yorkshire Transport Strategy 2040 supports the Leeds City Region Strategic Economic Plan and is focused around six core themes. These include</w:t>
      </w:r>
      <w:r>
        <w:t xml:space="preserve">: </w:t>
      </w:r>
      <w:r w:rsidRPr="002A65B0">
        <w:rPr>
          <w:rFonts w:eastAsia="Times New Roman"/>
        </w:rPr>
        <w:t>Inclusive Growth, Environment, Health and Wellbeing</w:t>
      </w:r>
      <w:r>
        <w:rPr>
          <w:rFonts w:eastAsia="Times New Roman"/>
        </w:rPr>
        <w:t xml:space="preserve">; </w:t>
      </w:r>
      <w:r w:rsidRPr="002A65B0">
        <w:rPr>
          <w:rFonts w:eastAsia="Times New Roman"/>
        </w:rPr>
        <w:t>Road Network</w:t>
      </w:r>
      <w:r>
        <w:rPr>
          <w:rFonts w:eastAsia="Times New Roman"/>
        </w:rPr>
        <w:t>;</w:t>
      </w:r>
      <w:r w:rsidRPr="002A65B0">
        <w:rPr>
          <w:rFonts w:eastAsia="Times New Roman"/>
        </w:rPr>
        <w:t xml:space="preserve"> and</w:t>
      </w:r>
      <w:r>
        <w:rPr>
          <w:rFonts w:eastAsia="Times New Roman"/>
        </w:rPr>
        <w:t xml:space="preserve"> </w:t>
      </w:r>
      <w:r w:rsidRPr="002A65B0">
        <w:rPr>
          <w:rFonts w:eastAsia="Times New Roman"/>
        </w:rPr>
        <w:t>Places to live and work</w:t>
      </w:r>
      <w:r>
        <w:rPr>
          <w:rFonts w:eastAsia="Times New Roman"/>
        </w:rPr>
        <w:t>.</w:t>
      </w:r>
      <w:r>
        <w:rPr>
          <w:rStyle w:val="FootnoteReference"/>
          <w:rFonts w:eastAsia="Times New Roman"/>
        </w:rPr>
        <w:footnoteReference w:id="196"/>
      </w:r>
      <w:r>
        <w:rPr>
          <w:rFonts w:eastAsia="Times New Roman"/>
        </w:rPr>
        <w:t xml:space="preserve"> </w:t>
      </w:r>
      <w:r>
        <w:rPr>
          <w:rFonts w:cs="Arial"/>
          <w:szCs w:val="24"/>
        </w:rPr>
        <w:t>One</w:t>
      </w:r>
      <w:r w:rsidRPr="002A65B0">
        <w:rPr>
          <w:rFonts w:cs="Arial"/>
          <w:szCs w:val="24"/>
        </w:rPr>
        <w:t xml:space="preserve"> aim of the first of these themes (on inclusive growth, environment, health and well-being) is ‘to reduce isolation through improving road safety and encouraging pedestrian-friendly environments, paying particular attention to the safety and accessibility needs of older and frailer people and those with disabilities.’</w:t>
      </w:r>
      <w:r w:rsidRPr="002A65B0">
        <w:rPr>
          <w:rStyle w:val="FootnoteReference"/>
          <w:rFonts w:cs="Arial"/>
          <w:sz w:val="24"/>
          <w:szCs w:val="24"/>
        </w:rPr>
        <w:t xml:space="preserve"> </w:t>
      </w:r>
      <w:r w:rsidRPr="002A65B0">
        <w:rPr>
          <w:rStyle w:val="FootnoteReference"/>
          <w:rFonts w:cs="Arial"/>
          <w:sz w:val="24"/>
          <w:szCs w:val="24"/>
        </w:rPr>
        <w:footnoteReference w:id="197"/>
      </w:r>
    </w:p>
    <w:p w14:paraId="1EF746BD" w14:textId="77777777" w:rsidR="0019789C" w:rsidRPr="002A65B0" w:rsidRDefault="0019789C" w:rsidP="00F13E4B">
      <w:pPr>
        <w:rPr>
          <w:rStyle w:val="normaltextrun"/>
          <w:rFonts w:cs="Arial"/>
          <w:szCs w:val="24"/>
        </w:rPr>
      </w:pPr>
    </w:p>
    <w:p w14:paraId="0F61836D" w14:textId="3E8EEDF3" w:rsidR="0019789C" w:rsidRPr="002A65B0" w:rsidRDefault="0019789C" w:rsidP="00F13E4B">
      <w:pPr>
        <w:rPr>
          <w:rFonts w:eastAsia="Times New Roman" w:cs="Arial"/>
          <w:szCs w:val="24"/>
          <w:shd w:val="clear" w:color="auto" w:fill="FFFFFF"/>
          <w:lang w:eastAsia="en-US"/>
        </w:rPr>
      </w:pPr>
      <w:r w:rsidRPr="002A65B0">
        <w:rPr>
          <w:rStyle w:val="normaltextrun"/>
          <w:rFonts w:cs="Arial"/>
          <w:szCs w:val="24"/>
        </w:rPr>
        <w:t>Finally, in relation to pavement obstructions, it should be noted that the City Council has established a mechanism for people to notify it of problems with pavements caused, for example, by disrepair or obstruction.</w:t>
      </w:r>
      <w:r w:rsidRPr="002A65B0">
        <w:rPr>
          <w:rStyle w:val="FootnoteReference"/>
          <w:rFonts w:cs="Arial"/>
          <w:szCs w:val="24"/>
        </w:rPr>
        <w:footnoteReference w:id="198"/>
      </w:r>
      <w:r w:rsidRPr="002A65B0">
        <w:rPr>
          <w:rStyle w:val="normaltextrun"/>
          <w:rFonts w:cs="Arial"/>
          <w:szCs w:val="24"/>
        </w:rPr>
        <w:t xml:space="preserve"> Further, in parts of Leeds (ie </w:t>
      </w:r>
      <w:r w:rsidRPr="002A65B0">
        <w:rPr>
          <w:rFonts w:eastAsia="Times New Roman" w:cs="Arial"/>
          <w:szCs w:val="24"/>
          <w:shd w:val="clear" w:color="auto" w:fill="FFFFFF"/>
          <w:lang w:eastAsia="en-US"/>
        </w:rPr>
        <w:t xml:space="preserve">Harehills and Armley) Leeds City Council has imposed Public Space Protection Orders (PSPOs), which make it an offence (punishable by a fine of £100) to leave bins out on the street before </w:t>
      </w:r>
      <w:r>
        <w:rPr>
          <w:rFonts w:eastAsia="Times New Roman" w:cs="Arial"/>
          <w:szCs w:val="24"/>
          <w:shd w:val="clear" w:color="auto" w:fill="FFFFFF"/>
          <w:lang w:eastAsia="en-US"/>
        </w:rPr>
        <w:t>18:00</w:t>
      </w:r>
      <w:r w:rsidRPr="002A65B0">
        <w:rPr>
          <w:rFonts w:eastAsia="Times New Roman" w:cs="Arial"/>
          <w:szCs w:val="24"/>
          <w:shd w:val="clear" w:color="auto" w:fill="FFFFFF"/>
          <w:lang w:eastAsia="en-US"/>
        </w:rPr>
        <w:t xml:space="preserve"> the day before collection and after </w:t>
      </w:r>
      <w:r>
        <w:rPr>
          <w:rFonts w:eastAsia="Times New Roman" w:cs="Arial"/>
          <w:szCs w:val="24"/>
          <w:shd w:val="clear" w:color="auto" w:fill="FFFFFF"/>
          <w:lang w:eastAsia="en-US"/>
        </w:rPr>
        <w:t>21:00</w:t>
      </w:r>
      <w:r w:rsidRPr="002A65B0">
        <w:rPr>
          <w:rFonts w:eastAsia="Times New Roman" w:cs="Arial"/>
          <w:szCs w:val="24"/>
          <w:shd w:val="clear" w:color="auto" w:fill="FFFFFF"/>
          <w:lang w:eastAsia="en-US"/>
        </w:rPr>
        <w:t xml:space="preserve"> on collection day.</w:t>
      </w:r>
      <w:r w:rsidRPr="002A65B0">
        <w:rPr>
          <w:rStyle w:val="FootnoteReference"/>
          <w:rFonts w:eastAsia="Times New Roman" w:cs="Arial"/>
          <w:szCs w:val="24"/>
          <w:shd w:val="clear" w:color="auto" w:fill="FFFFFF"/>
          <w:lang w:eastAsia="en-US"/>
        </w:rPr>
        <w:footnoteReference w:id="199"/>
      </w:r>
    </w:p>
    <w:p w14:paraId="46C41246" w14:textId="0CE1F553" w:rsidR="0019789C" w:rsidRDefault="0019789C" w:rsidP="006673DC">
      <w:pPr>
        <w:rPr>
          <w:b/>
          <w:lang w:bidi="en-US"/>
        </w:rPr>
      </w:pPr>
    </w:p>
    <w:p w14:paraId="538D27B3" w14:textId="77777777" w:rsidR="0019789C" w:rsidRPr="002A65B0" w:rsidRDefault="0019789C" w:rsidP="006673DC">
      <w:pPr>
        <w:rPr>
          <w:b/>
          <w:lang w:bidi="en-US"/>
        </w:rPr>
      </w:pPr>
    </w:p>
    <w:p w14:paraId="48B28253" w14:textId="179FB7CB" w:rsidR="0019789C" w:rsidRPr="002A65B0" w:rsidRDefault="0019789C" w:rsidP="006673DC">
      <w:pPr>
        <w:pStyle w:val="Heading4"/>
      </w:pPr>
      <w:r w:rsidRPr="002A65B0">
        <w:t>A6.1.3 Planning</w:t>
      </w:r>
    </w:p>
    <w:p w14:paraId="673B7D4C" w14:textId="7817F64E" w:rsidR="0019789C" w:rsidRDefault="0019789C" w:rsidP="006C0829">
      <w:pPr>
        <w:rPr>
          <w:lang w:bidi="en-US"/>
        </w:rPr>
      </w:pPr>
      <w:r w:rsidRPr="002A65B0">
        <w:rPr>
          <w:lang w:bidi="en-US"/>
        </w:rPr>
        <w:t>Applications for planning permission in Leeds are decided in accordance with the Adopted Local Plan.</w:t>
      </w:r>
      <w:r w:rsidRPr="002A65B0">
        <w:rPr>
          <w:rStyle w:val="FootnoteReference"/>
          <w:rFonts w:cs="Arial"/>
          <w:szCs w:val="24"/>
          <w:lang w:bidi="en-US"/>
        </w:rPr>
        <w:footnoteReference w:id="200"/>
      </w:r>
      <w:r w:rsidRPr="002A65B0">
        <w:rPr>
          <w:lang w:bidi="en-US"/>
        </w:rPr>
        <w:t xml:space="preserve"> This forms part of the statutory development plan for the Leeds district, setting out the Council’s strategic development vision for the area until 2033.</w:t>
      </w:r>
      <w:r>
        <w:rPr>
          <w:lang w:bidi="en-US"/>
        </w:rPr>
        <w:t xml:space="preserve"> </w:t>
      </w:r>
      <w:r w:rsidRPr="002A65B0">
        <w:rPr>
          <w:lang w:bidi="en-US"/>
        </w:rPr>
        <w:t xml:space="preserve">A series of supplementary planning documents have been issued to provide guidance on </w:t>
      </w:r>
      <w:r w:rsidRPr="002A65B0">
        <w:rPr>
          <w:lang w:bidi="en-US"/>
        </w:rPr>
        <w:lastRenderedPageBreak/>
        <w:t>policies in the Local Plan.</w:t>
      </w:r>
      <w:r>
        <w:rPr>
          <w:rStyle w:val="FootnoteReference"/>
          <w:lang w:bidi="en-US"/>
        </w:rPr>
        <w:footnoteReference w:id="201"/>
      </w:r>
      <w:r w:rsidRPr="002A65B0">
        <w:rPr>
          <w:lang w:bidi="en-US"/>
        </w:rPr>
        <w:t xml:space="preserve"> Once adopted, these documents need to be taken into account by developers when planning developments, and by planners when making decisions about planning applications. </w:t>
      </w:r>
    </w:p>
    <w:p w14:paraId="4A7C557C" w14:textId="77777777" w:rsidR="0019789C" w:rsidRDefault="0019789C" w:rsidP="006C0829">
      <w:pPr>
        <w:rPr>
          <w:lang w:bidi="en-US"/>
        </w:rPr>
      </w:pPr>
    </w:p>
    <w:p w14:paraId="6F1A1C43" w14:textId="4A61F1F7" w:rsidR="0019789C" w:rsidRDefault="0019789C" w:rsidP="006C0829">
      <w:pPr>
        <w:rPr>
          <w:rFonts w:cs="Arial"/>
          <w:szCs w:val="24"/>
        </w:rPr>
      </w:pPr>
      <w:r w:rsidRPr="002A65B0">
        <w:rPr>
          <w:lang w:bidi="en-US"/>
        </w:rPr>
        <w:t>A number of these adopted supplementary planning documents are relevant for current purposes. ‘Accessible Leeds</w:t>
      </w:r>
      <w:r>
        <w:rPr>
          <w:lang w:bidi="en-US"/>
        </w:rPr>
        <w:t>,</w:t>
      </w:r>
      <w:r w:rsidRPr="002A65B0">
        <w:rPr>
          <w:lang w:bidi="en-US"/>
        </w:rPr>
        <w:t>’</w:t>
      </w:r>
      <w:r w:rsidRPr="002A65B0">
        <w:rPr>
          <w:rStyle w:val="FootnoteReference"/>
          <w:rFonts w:cs="Arial"/>
          <w:lang w:bidi="en-US"/>
        </w:rPr>
        <w:footnoteReference w:id="202"/>
      </w:r>
      <w:r>
        <w:rPr>
          <w:lang w:bidi="en-US"/>
        </w:rPr>
        <w:t xml:space="preserve"> for instance, states that </w:t>
      </w:r>
      <w:r>
        <w:rPr>
          <w:rStyle w:val="CommentReference"/>
          <w:rFonts w:cs="Arial"/>
          <w:sz w:val="24"/>
          <w:szCs w:val="24"/>
        </w:rPr>
        <w:t>‘a</w:t>
      </w:r>
      <w:r>
        <w:rPr>
          <w:rFonts w:cs="Arial"/>
          <w:szCs w:val="24"/>
        </w:rPr>
        <w:t>chieving inclusivity and equality in terms of access for disabled people via the development management process is crucial to Leeds City Council achieving its Best Council Plan objectives.’ Accordingly, the ‘</w:t>
      </w:r>
      <w:r w:rsidRPr="00516969">
        <w:rPr>
          <w:rFonts w:cs="Arial"/>
          <w:szCs w:val="24"/>
        </w:rPr>
        <w:t>document recognises the importance of cr</w:t>
      </w:r>
      <w:r>
        <w:rPr>
          <w:rFonts w:cs="Arial"/>
          <w:szCs w:val="24"/>
        </w:rPr>
        <w:t xml:space="preserve">eating a high quality inclusive </w:t>
      </w:r>
      <w:r w:rsidRPr="00516969">
        <w:rPr>
          <w:rFonts w:cs="Arial"/>
          <w:szCs w:val="24"/>
        </w:rPr>
        <w:t>and accessible environment and elimina</w:t>
      </w:r>
      <w:r>
        <w:rPr>
          <w:rFonts w:cs="Arial"/>
          <w:szCs w:val="24"/>
        </w:rPr>
        <w:t xml:space="preserve">ting physical barriers for both </w:t>
      </w:r>
      <w:r w:rsidRPr="00516969">
        <w:rPr>
          <w:rFonts w:cs="Arial"/>
          <w:szCs w:val="24"/>
        </w:rPr>
        <w:t>disabled residents of and visitors to Leeds.</w:t>
      </w:r>
      <w:r>
        <w:rPr>
          <w:rFonts w:cs="Arial"/>
          <w:szCs w:val="24"/>
        </w:rPr>
        <w:t>’</w:t>
      </w:r>
      <w:r>
        <w:rPr>
          <w:rStyle w:val="FootnoteReference"/>
          <w:rFonts w:cs="Arial"/>
          <w:szCs w:val="24"/>
        </w:rPr>
        <w:footnoteReference w:id="203"/>
      </w:r>
      <w:r>
        <w:rPr>
          <w:rFonts w:cs="Arial"/>
          <w:szCs w:val="24"/>
        </w:rPr>
        <w:t xml:space="preserve"> This </w:t>
      </w:r>
      <w:r w:rsidRPr="00130741">
        <w:rPr>
          <w:rFonts w:cs="Arial"/>
          <w:szCs w:val="24"/>
        </w:rPr>
        <w:t>guidance is intended for use by</w:t>
      </w:r>
      <w:r>
        <w:rPr>
          <w:rFonts w:cs="Arial"/>
          <w:szCs w:val="24"/>
        </w:rPr>
        <w:t xml:space="preserve"> developers,architects and others</w:t>
      </w:r>
      <w:r w:rsidRPr="006C0829">
        <w:rPr>
          <w:rFonts w:cs="Arial"/>
          <w:szCs w:val="24"/>
        </w:rPr>
        <w:t xml:space="preserve"> </w:t>
      </w:r>
      <w:r>
        <w:rPr>
          <w:rFonts w:cs="Arial"/>
          <w:szCs w:val="24"/>
        </w:rPr>
        <w:t xml:space="preserve">in commercial </w:t>
      </w:r>
      <w:r w:rsidRPr="002E05F1">
        <w:rPr>
          <w:rFonts w:cs="Arial"/>
          <w:szCs w:val="24"/>
        </w:rPr>
        <w:t>planning applications</w:t>
      </w:r>
      <w:r>
        <w:rPr>
          <w:rFonts w:cs="Arial"/>
          <w:szCs w:val="24"/>
        </w:rPr>
        <w:t xml:space="preserve"> or</w:t>
      </w:r>
      <w:r w:rsidRPr="002E05F1">
        <w:rPr>
          <w:rFonts w:cs="Arial"/>
          <w:szCs w:val="24"/>
        </w:rPr>
        <w:t xml:space="preserve"> proposal</w:t>
      </w:r>
      <w:r>
        <w:rPr>
          <w:rFonts w:cs="Arial"/>
          <w:szCs w:val="24"/>
        </w:rPr>
        <w:t xml:space="preserve">s. It is not intended </w:t>
      </w:r>
      <w:r w:rsidRPr="006C0829">
        <w:rPr>
          <w:rFonts w:cs="Arial"/>
          <w:szCs w:val="24"/>
        </w:rPr>
        <w:t>to be applied to highway schemes,</w:t>
      </w:r>
      <w:r>
        <w:rPr>
          <w:rFonts w:cs="Arial"/>
          <w:szCs w:val="24"/>
        </w:rPr>
        <w:t xml:space="preserve"> for which specific guidance in the form of the </w:t>
      </w:r>
      <w:r w:rsidRPr="006C0829">
        <w:rPr>
          <w:rFonts w:cs="Arial"/>
          <w:szCs w:val="24"/>
        </w:rPr>
        <w:t>‘Street Design Guide’ supplementary planning document</w:t>
      </w:r>
      <w:r>
        <w:rPr>
          <w:rFonts w:cs="Arial"/>
          <w:szCs w:val="24"/>
        </w:rPr>
        <w:t xml:space="preserve"> already exists. Nevertheless, </w:t>
      </w:r>
      <w:r w:rsidRPr="006C0829">
        <w:rPr>
          <w:rFonts w:cs="Arial"/>
          <w:szCs w:val="24"/>
        </w:rPr>
        <w:t xml:space="preserve">the two documents </w:t>
      </w:r>
      <w:r>
        <w:rPr>
          <w:rFonts w:cs="Arial"/>
          <w:szCs w:val="24"/>
        </w:rPr>
        <w:t>can</w:t>
      </w:r>
      <w:r w:rsidRPr="006C0829">
        <w:rPr>
          <w:rFonts w:cs="Arial"/>
          <w:szCs w:val="24"/>
        </w:rPr>
        <w:t xml:space="preserve"> be used </w:t>
      </w:r>
      <w:r>
        <w:rPr>
          <w:rFonts w:cs="Arial"/>
          <w:szCs w:val="24"/>
        </w:rPr>
        <w:t>together</w:t>
      </w:r>
      <w:r w:rsidRPr="006C0829">
        <w:rPr>
          <w:rFonts w:cs="Arial"/>
          <w:szCs w:val="24"/>
        </w:rPr>
        <w:t xml:space="preserve"> </w:t>
      </w:r>
      <w:r>
        <w:rPr>
          <w:rFonts w:cs="Arial"/>
          <w:szCs w:val="24"/>
        </w:rPr>
        <w:t>‘</w:t>
      </w:r>
      <w:r w:rsidRPr="006C0829">
        <w:rPr>
          <w:rFonts w:cs="Arial"/>
          <w:szCs w:val="24"/>
        </w:rPr>
        <w:t>to create an inclusive, joined up built environment which is designed for the diverse population in Leeds.</w:t>
      </w:r>
      <w:r>
        <w:rPr>
          <w:rFonts w:cs="Arial"/>
          <w:szCs w:val="24"/>
        </w:rPr>
        <w:t>’</w:t>
      </w:r>
      <w:r>
        <w:rPr>
          <w:rStyle w:val="FootnoteReference"/>
          <w:rFonts w:cs="Arial"/>
          <w:szCs w:val="24"/>
        </w:rPr>
        <w:footnoteReference w:id="204"/>
      </w:r>
    </w:p>
    <w:p w14:paraId="2CC42B18" w14:textId="7CB5F276" w:rsidR="0019789C" w:rsidRDefault="0019789C" w:rsidP="006C0829">
      <w:pPr>
        <w:rPr>
          <w:rFonts w:cs="Arial"/>
          <w:szCs w:val="24"/>
        </w:rPr>
      </w:pPr>
    </w:p>
    <w:p w14:paraId="71538B23" w14:textId="64E789B2" w:rsidR="0019789C" w:rsidRPr="00EE7417" w:rsidRDefault="0019789C" w:rsidP="00EE7417">
      <w:pPr>
        <w:rPr>
          <w:rFonts w:cs="Arial"/>
          <w:szCs w:val="24"/>
        </w:rPr>
      </w:pPr>
      <w:r>
        <w:rPr>
          <w:rFonts w:cs="Arial"/>
          <w:szCs w:val="24"/>
        </w:rPr>
        <w:t xml:space="preserve">The </w:t>
      </w:r>
      <w:r w:rsidRPr="006C0829">
        <w:rPr>
          <w:rFonts w:cs="Arial"/>
          <w:szCs w:val="24"/>
        </w:rPr>
        <w:t>‘Street Design Guide’ supplementary planning document</w:t>
      </w:r>
      <w:r>
        <w:rPr>
          <w:rFonts w:cs="Arial"/>
          <w:szCs w:val="24"/>
        </w:rPr>
        <w:t xml:space="preserve"> (SPD),</w:t>
      </w:r>
      <w:r>
        <w:rPr>
          <w:rStyle w:val="FootnoteReference"/>
          <w:rFonts w:cs="Arial"/>
          <w:szCs w:val="24"/>
        </w:rPr>
        <w:footnoteReference w:id="205"/>
      </w:r>
      <w:r>
        <w:rPr>
          <w:rFonts w:cs="Arial"/>
          <w:szCs w:val="24"/>
        </w:rPr>
        <w:t xml:space="preserve"> is intended for </w:t>
      </w:r>
      <w:r w:rsidRPr="00DD15B7">
        <w:rPr>
          <w:rFonts w:cs="Arial"/>
          <w:szCs w:val="24"/>
        </w:rPr>
        <w:t xml:space="preserve">use by developers, design teams </w:t>
      </w:r>
      <w:r>
        <w:rPr>
          <w:rFonts w:cs="Arial"/>
          <w:szCs w:val="24"/>
        </w:rPr>
        <w:t>etc,</w:t>
      </w:r>
      <w:r w:rsidRPr="00DD15B7">
        <w:rPr>
          <w:rFonts w:cs="Arial"/>
          <w:szCs w:val="24"/>
        </w:rPr>
        <w:t xml:space="preserve"> </w:t>
      </w:r>
      <w:r>
        <w:rPr>
          <w:rFonts w:cs="Arial"/>
          <w:szCs w:val="24"/>
        </w:rPr>
        <w:t>to</w:t>
      </w:r>
      <w:r w:rsidRPr="00DD15B7">
        <w:rPr>
          <w:rFonts w:cs="Arial"/>
          <w:szCs w:val="24"/>
        </w:rPr>
        <w:t xml:space="preserve"> </w:t>
      </w:r>
      <w:r>
        <w:rPr>
          <w:rFonts w:cs="Arial"/>
          <w:szCs w:val="24"/>
        </w:rPr>
        <w:t xml:space="preserve">‘stimulate </w:t>
      </w:r>
      <w:r w:rsidRPr="00DD15B7">
        <w:rPr>
          <w:rFonts w:cs="Arial"/>
          <w:szCs w:val="24"/>
        </w:rPr>
        <w:t>innovative designs that are appropriate for the context, character and location of a</w:t>
      </w:r>
      <w:r>
        <w:rPr>
          <w:rFonts w:cs="Arial"/>
          <w:szCs w:val="24"/>
        </w:rPr>
        <w:t xml:space="preserve"> </w:t>
      </w:r>
      <w:r w:rsidRPr="00DD15B7">
        <w:rPr>
          <w:rFonts w:cs="Arial"/>
          <w:szCs w:val="24"/>
        </w:rPr>
        <w:t>site and can be used safely by the travelling public.</w:t>
      </w:r>
      <w:r>
        <w:rPr>
          <w:rFonts w:cs="Arial"/>
          <w:szCs w:val="24"/>
        </w:rPr>
        <w:t>’</w:t>
      </w:r>
      <w:r>
        <w:rPr>
          <w:rStyle w:val="FootnoteReference"/>
          <w:rFonts w:cs="Arial"/>
          <w:szCs w:val="24"/>
        </w:rPr>
        <w:footnoteReference w:id="206"/>
      </w:r>
      <w:r w:rsidRPr="00DD15B7">
        <w:rPr>
          <w:rFonts w:cs="Arial"/>
          <w:szCs w:val="24"/>
        </w:rPr>
        <w:t xml:space="preserve"> </w:t>
      </w:r>
      <w:r>
        <w:rPr>
          <w:rFonts w:cs="Arial"/>
          <w:szCs w:val="24"/>
        </w:rPr>
        <w:t>This document notes that, in</w:t>
      </w:r>
      <w:r w:rsidRPr="00EE7417">
        <w:rPr>
          <w:rFonts w:cs="Arial"/>
          <w:szCs w:val="24"/>
        </w:rPr>
        <w:t xml:space="preserve"> new residential areas, </w:t>
      </w:r>
      <w:r>
        <w:rPr>
          <w:rFonts w:cs="Arial"/>
          <w:szCs w:val="24"/>
        </w:rPr>
        <w:t>‘</w:t>
      </w:r>
      <w:r w:rsidRPr="00EE7417">
        <w:rPr>
          <w:rFonts w:cs="Arial"/>
          <w:szCs w:val="24"/>
        </w:rPr>
        <w:t>pedestrian movement should be convenient, lit, safe and pleasant. Direct routes should be provided to bus stops, local facilities, schools and adjacent neighbourhoods,</w:t>
      </w:r>
      <w:r>
        <w:rPr>
          <w:rFonts w:cs="Arial"/>
          <w:szCs w:val="24"/>
        </w:rPr>
        <w:t xml:space="preserve"> </w:t>
      </w:r>
      <w:r w:rsidRPr="00EE7417">
        <w:rPr>
          <w:rFonts w:cs="Arial"/>
          <w:szCs w:val="24"/>
        </w:rPr>
        <w:t>in such a way that it is more convenient and attractive to walk than to drive</w:t>
      </w:r>
      <w:r>
        <w:rPr>
          <w:rFonts w:cs="Arial"/>
          <w:szCs w:val="24"/>
        </w:rPr>
        <w:t>’.</w:t>
      </w:r>
      <w:r>
        <w:rPr>
          <w:rStyle w:val="FootnoteReference"/>
          <w:rFonts w:cs="Arial"/>
          <w:szCs w:val="24"/>
        </w:rPr>
        <w:footnoteReference w:id="207"/>
      </w:r>
      <w:r>
        <w:rPr>
          <w:rFonts w:cs="Arial"/>
          <w:szCs w:val="24"/>
        </w:rPr>
        <w:t xml:space="preserve"> Of particular interest is a </w:t>
      </w:r>
      <w:r>
        <w:rPr>
          <w:rFonts w:cs="Arial"/>
          <w:szCs w:val="24"/>
        </w:rPr>
        <w:lastRenderedPageBreak/>
        <w:t>section on ‘</w:t>
      </w:r>
      <w:r w:rsidRPr="00B77780">
        <w:rPr>
          <w:rFonts w:cs="Arial"/>
          <w:szCs w:val="24"/>
        </w:rPr>
        <w:t>Designing For Disabled People</w:t>
      </w:r>
      <w:r>
        <w:rPr>
          <w:rFonts w:cs="Arial"/>
          <w:szCs w:val="24"/>
        </w:rPr>
        <w:t>’, which highlights p</w:t>
      </w:r>
      <w:r w:rsidRPr="00B77780">
        <w:rPr>
          <w:rFonts w:cs="Arial"/>
          <w:szCs w:val="24"/>
        </w:rPr>
        <w:t>otential</w:t>
      </w:r>
      <w:r>
        <w:rPr>
          <w:rFonts w:cs="Arial"/>
          <w:szCs w:val="24"/>
        </w:rPr>
        <w:t xml:space="preserve"> obstacles.</w:t>
      </w:r>
      <w:r w:rsidRPr="00B77780">
        <w:rPr>
          <w:rFonts w:cs="Arial"/>
          <w:szCs w:val="24"/>
        </w:rPr>
        <w:t xml:space="preserve"> </w:t>
      </w:r>
      <w:r>
        <w:rPr>
          <w:rFonts w:cs="Arial"/>
          <w:szCs w:val="24"/>
        </w:rPr>
        <w:t xml:space="preserve">These </w:t>
      </w:r>
      <w:r w:rsidRPr="00B77780">
        <w:rPr>
          <w:rFonts w:cs="Arial"/>
          <w:szCs w:val="24"/>
        </w:rPr>
        <w:t>includ</w:t>
      </w:r>
      <w:r>
        <w:rPr>
          <w:rFonts w:cs="Arial"/>
          <w:szCs w:val="24"/>
        </w:rPr>
        <w:t>e</w:t>
      </w:r>
      <w:r w:rsidRPr="00B77780">
        <w:rPr>
          <w:rFonts w:cs="Arial"/>
          <w:szCs w:val="24"/>
        </w:rPr>
        <w:t xml:space="preserve"> steps, narrow passages or footways, badly located street furniture, uneven surfaces, parked cars</w:t>
      </w:r>
      <w:r>
        <w:rPr>
          <w:rFonts w:cs="Arial"/>
          <w:szCs w:val="24"/>
        </w:rPr>
        <w:t xml:space="preserve">, </w:t>
      </w:r>
      <w:r w:rsidRPr="00B77780">
        <w:rPr>
          <w:rFonts w:cs="Arial"/>
          <w:szCs w:val="24"/>
        </w:rPr>
        <w:t>poor attention to construction details</w:t>
      </w:r>
      <w:r>
        <w:rPr>
          <w:rFonts w:cs="Arial"/>
          <w:szCs w:val="24"/>
        </w:rPr>
        <w:t xml:space="preserve"> etc</w:t>
      </w:r>
      <w:r w:rsidRPr="00B77780">
        <w:rPr>
          <w:rFonts w:cs="Arial"/>
          <w:szCs w:val="24"/>
        </w:rPr>
        <w:t>.</w:t>
      </w:r>
      <w:r>
        <w:rPr>
          <w:rFonts w:cs="Arial"/>
          <w:szCs w:val="24"/>
        </w:rPr>
        <w:t xml:space="preserve"> It requires such obstacles to be considered </w:t>
      </w:r>
      <w:r w:rsidRPr="00EE7417">
        <w:rPr>
          <w:rFonts w:cs="Arial"/>
          <w:szCs w:val="24"/>
        </w:rPr>
        <w:t xml:space="preserve">in </w:t>
      </w:r>
      <w:r>
        <w:rPr>
          <w:rFonts w:cs="Arial"/>
          <w:szCs w:val="24"/>
        </w:rPr>
        <w:t>deciding</w:t>
      </w:r>
      <w:r w:rsidRPr="00EE7417">
        <w:rPr>
          <w:rFonts w:cs="Arial"/>
          <w:szCs w:val="24"/>
        </w:rPr>
        <w:t xml:space="preserve"> whether a Shared Surface Street is appropriate in any particular circumstance.</w:t>
      </w:r>
      <w:r>
        <w:rPr>
          <w:rStyle w:val="FootnoteReference"/>
          <w:rFonts w:cs="Arial"/>
          <w:szCs w:val="24"/>
        </w:rPr>
        <w:footnoteReference w:id="208"/>
      </w:r>
      <w:r>
        <w:rPr>
          <w:rFonts w:cs="Arial"/>
          <w:szCs w:val="24"/>
        </w:rPr>
        <w:t xml:space="preserve"> The document provides further guidance on the use of ramps, tactile pavement and disabled car parking.</w:t>
      </w:r>
      <w:r>
        <w:rPr>
          <w:rStyle w:val="FootnoteReference"/>
          <w:rFonts w:cs="Arial"/>
          <w:szCs w:val="24"/>
        </w:rPr>
        <w:footnoteReference w:id="209"/>
      </w:r>
    </w:p>
    <w:p w14:paraId="36082839" w14:textId="77777777" w:rsidR="0019789C" w:rsidRDefault="0019789C" w:rsidP="006C0829">
      <w:pPr>
        <w:rPr>
          <w:lang w:bidi="en-US"/>
        </w:rPr>
      </w:pPr>
    </w:p>
    <w:p w14:paraId="625063E8" w14:textId="026E2F69" w:rsidR="0019789C" w:rsidRDefault="0019789C" w:rsidP="00431EBC">
      <w:pPr>
        <w:rPr>
          <w:lang w:bidi="en-US"/>
        </w:rPr>
      </w:pPr>
      <w:r w:rsidRPr="002A65B0">
        <w:rPr>
          <w:lang w:bidi="en-US"/>
        </w:rPr>
        <w:t xml:space="preserve">Also potentially relevant is </w:t>
      </w:r>
      <w:r>
        <w:rPr>
          <w:lang w:bidi="en-US"/>
        </w:rPr>
        <w:t>‘</w:t>
      </w:r>
      <w:r w:rsidRPr="002A65B0">
        <w:rPr>
          <w:rStyle w:val="info"/>
          <w:rFonts w:cs="Arial"/>
        </w:rPr>
        <w:t>Designing for community safety</w:t>
      </w:r>
      <w:r>
        <w:rPr>
          <w:rStyle w:val="info"/>
          <w:rFonts w:cs="Arial"/>
        </w:rPr>
        <w:t>’,</w:t>
      </w:r>
      <w:r>
        <w:rPr>
          <w:rStyle w:val="FootnoteReference"/>
          <w:rFonts w:cs="Arial"/>
        </w:rPr>
        <w:footnoteReference w:id="210"/>
      </w:r>
      <w:r>
        <w:rPr>
          <w:rStyle w:val="info"/>
          <w:rFonts w:cs="Arial"/>
        </w:rPr>
        <w:t xml:space="preserve"> </w:t>
      </w:r>
      <w:r>
        <w:rPr>
          <w:lang w:bidi="en-US"/>
        </w:rPr>
        <w:t>which promotes ‘good quality design and specifically the need to enable and encourage the use of measures which will increase community safety and public perception of safety as a result of built development.’</w:t>
      </w:r>
      <w:r>
        <w:rPr>
          <w:rStyle w:val="FootnoteReference"/>
          <w:lang w:bidi="en-US"/>
        </w:rPr>
        <w:footnoteReference w:id="211"/>
      </w:r>
      <w:r>
        <w:rPr>
          <w:lang w:bidi="en-US"/>
        </w:rPr>
        <w:t xml:space="preserve"> Relevant fundamental priorities include encouraging movement on foot and on bicycle; developments that assist people to find their way around with ease; and that ‘design and inclusion of facilities should reflect the needs of elderly people and of people with disabilities and restricted mobility’.</w:t>
      </w:r>
      <w:r>
        <w:rPr>
          <w:rStyle w:val="FootnoteReference"/>
          <w:lang w:bidi="en-US"/>
        </w:rPr>
        <w:footnoteReference w:id="212"/>
      </w:r>
      <w:r>
        <w:rPr>
          <w:lang w:bidi="en-US"/>
        </w:rPr>
        <w:t xml:space="preserve"> Among the key objectives is the principle of access through direct and secure routes.</w:t>
      </w:r>
      <w:r>
        <w:rPr>
          <w:rStyle w:val="FootnoteReference"/>
          <w:lang w:bidi="en-US"/>
        </w:rPr>
        <w:footnoteReference w:id="213"/>
      </w:r>
      <w:r>
        <w:rPr>
          <w:lang w:bidi="en-US"/>
        </w:rPr>
        <w:t xml:space="preserve"> </w:t>
      </w:r>
    </w:p>
    <w:p w14:paraId="1C6C1963" w14:textId="77777777" w:rsidR="0019789C" w:rsidRPr="002A65B0" w:rsidRDefault="0019789C" w:rsidP="006C0829">
      <w:pPr>
        <w:rPr>
          <w:lang w:bidi="en-US"/>
        </w:rPr>
      </w:pPr>
    </w:p>
    <w:p w14:paraId="6CB168CB" w14:textId="27122D0E" w:rsidR="0019789C" w:rsidRDefault="0019789C" w:rsidP="007D04E2">
      <w:r>
        <w:t>The t</w:t>
      </w:r>
      <w:r w:rsidRPr="002A65B0">
        <w:t>ravel plans</w:t>
      </w:r>
      <w:r>
        <w:t xml:space="preserve"> s</w:t>
      </w:r>
      <w:r w:rsidRPr="002A65B0">
        <w:t>upplementary planning document</w:t>
      </w:r>
      <w:r>
        <w:t>,</w:t>
      </w:r>
      <w:r>
        <w:rPr>
          <w:rStyle w:val="FootnoteReference"/>
        </w:rPr>
        <w:footnoteReference w:id="214"/>
      </w:r>
      <w:r w:rsidRPr="002A65B0">
        <w:t xml:space="preserve"> </w:t>
      </w:r>
      <w:r>
        <w:t>contains a number of measures to encourage more sustainable means of transport (such as walking). While one of the aims of the plan is ‘</w:t>
      </w:r>
      <w:r w:rsidRPr="007D04E2">
        <w:t>tackling social exclusion and improving accessibility</w:t>
      </w:r>
      <w:r>
        <w:t>’,</w:t>
      </w:r>
      <w:r>
        <w:rPr>
          <w:rStyle w:val="FootnoteReference"/>
        </w:rPr>
        <w:footnoteReference w:id="215"/>
      </w:r>
      <w:r>
        <w:t xml:space="preserve"> it does so in broadly generic terms aimed at pedestrians generally. It sets out a range of measures intended to promote walking, including direct, convenient and attractive pedestrian routes to local facilities, with dropped kerbs at key locations; site layout designed to maximise and encourage walking options; and traffic calming measures.</w:t>
      </w:r>
      <w:r>
        <w:rPr>
          <w:rStyle w:val="FootnoteReference"/>
        </w:rPr>
        <w:footnoteReference w:id="216"/>
      </w:r>
    </w:p>
    <w:p w14:paraId="1E9538CB" w14:textId="77777777" w:rsidR="0019789C" w:rsidRDefault="0019789C" w:rsidP="007D04E2"/>
    <w:p w14:paraId="6DB8D157" w14:textId="434C1ADE" w:rsidR="0019789C" w:rsidRPr="002A65B0" w:rsidRDefault="0019789C" w:rsidP="006F0A1E">
      <w:pPr>
        <w:rPr>
          <w:rFonts w:cs="Arial"/>
          <w:szCs w:val="24"/>
        </w:rPr>
      </w:pPr>
      <w:r>
        <w:t>Lastly, a</w:t>
      </w:r>
      <w:r w:rsidRPr="002A65B0">
        <w:t xml:space="preserve"> review of the design of pedestrian crossings was carried out in 2019. </w:t>
      </w:r>
      <w:r>
        <w:t xml:space="preserve">The </w:t>
      </w:r>
      <w:r w:rsidRPr="002A65B0">
        <w:t>Design and Cost Report for the Pedestrian Crossing Review 2019</w:t>
      </w:r>
      <w:r>
        <w:rPr>
          <w:rStyle w:val="FootnoteReference"/>
        </w:rPr>
        <w:footnoteReference w:id="217"/>
      </w:r>
      <w:r>
        <w:t xml:space="preserve"> considers </w:t>
      </w:r>
      <w:r w:rsidRPr="0024382B">
        <w:rPr>
          <w:rFonts w:cs="Arial"/>
          <w:szCs w:val="24"/>
        </w:rPr>
        <w:t>requests for new pedestrian</w:t>
      </w:r>
      <w:r>
        <w:rPr>
          <w:rFonts w:cs="Arial"/>
          <w:szCs w:val="24"/>
        </w:rPr>
        <w:t xml:space="preserve"> </w:t>
      </w:r>
      <w:r w:rsidRPr="0024382B">
        <w:rPr>
          <w:rFonts w:cs="Arial"/>
          <w:szCs w:val="24"/>
        </w:rPr>
        <w:t xml:space="preserve">crossings </w:t>
      </w:r>
      <w:r>
        <w:rPr>
          <w:rFonts w:cs="Arial"/>
          <w:szCs w:val="24"/>
        </w:rPr>
        <w:t>submitted by</w:t>
      </w:r>
      <w:r w:rsidRPr="0024382B">
        <w:rPr>
          <w:rFonts w:cs="Arial"/>
          <w:szCs w:val="24"/>
        </w:rPr>
        <w:t xml:space="preserve"> members of the public and elected members</w:t>
      </w:r>
      <w:r>
        <w:rPr>
          <w:rFonts w:cs="Arial"/>
          <w:szCs w:val="24"/>
        </w:rPr>
        <w:t xml:space="preserve"> and makes recommendations as appropriate.</w:t>
      </w:r>
      <w:r>
        <w:rPr>
          <w:rStyle w:val="FootnoteReference"/>
          <w:rFonts w:cs="Arial"/>
          <w:szCs w:val="24"/>
        </w:rPr>
        <w:footnoteReference w:id="218"/>
      </w:r>
      <w:r>
        <w:rPr>
          <w:rFonts w:cs="Arial"/>
          <w:szCs w:val="24"/>
        </w:rPr>
        <w:t xml:space="preserve"> Of note to the topic at hand is the crossing </w:t>
      </w:r>
      <w:r w:rsidRPr="007D04E2">
        <w:rPr>
          <w:rFonts w:cs="Arial"/>
          <w:szCs w:val="24"/>
        </w:rPr>
        <w:t>assessment framework</w:t>
      </w:r>
      <w:r>
        <w:rPr>
          <w:rFonts w:cs="Arial"/>
          <w:szCs w:val="24"/>
        </w:rPr>
        <w:t>,</w:t>
      </w:r>
      <w:r w:rsidRPr="007D04E2">
        <w:rPr>
          <w:rFonts w:cs="Arial"/>
          <w:szCs w:val="24"/>
        </w:rPr>
        <w:t xml:space="preserve"> </w:t>
      </w:r>
      <w:r>
        <w:rPr>
          <w:rFonts w:cs="Arial"/>
          <w:szCs w:val="24"/>
        </w:rPr>
        <w:t xml:space="preserve">which </w:t>
      </w:r>
      <w:r w:rsidRPr="007D04E2">
        <w:rPr>
          <w:rFonts w:cs="Arial"/>
          <w:szCs w:val="24"/>
        </w:rPr>
        <w:t xml:space="preserve">takes into account sites and circumstances where crossings are requested, </w:t>
      </w:r>
      <w:r>
        <w:rPr>
          <w:rFonts w:cs="Arial"/>
          <w:szCs w:val="24"/>
        </w:rPr>
        <w:t>such as the ‘[t]</w:t>
      </w:r>
      <w:r w:rsidRPr="007D04E2">
        <w:rPr>
          <w:rFonts w:cs="Arial"/>
          <w:szCs w:val="24"/>
        </w:rPr>
        <w:t>he ease with which a pedestrian (including children, older people and disabled</w:t>
      </w:r>
      <w:r>
        <w:rPr>
          <w:rFonts w:cs="Arial"/>
          <w:szCs w:val="24"/>
        </w:rPr>
        <w:t xml:space="preserve"> </w:t>
      </w:r>
      <w:r w:rsidRPr="007D04E2">
        <w:rPr>
          <w:rFonts w:cs="Arial"/>
          <w:szCs w:val="24"/>
        </w:rPr>
        <w:t>people) can currently cross the road</w:t>
      </w:r>
      <w:r>
        <w:rPr>
          <w:rFonts w:cs="Arial"/>
          <w:szCs w:val="24"/>
        </w:rPr>
        <w:t>’.</w:t>
      </w:r>
      <w:r>
        <w:rPr>
          <w:rStyle w:val="FootnoteReference"/>
          <w:rFonts w:cs="Arial"/>
          <w:szCs w:val="24"/>
        </w:rPr>
        <w:footnoteReference w:id="219"/>
      </w:r>
      <w:r>
        <w:rPr>
          <w:rFonts w:cs="Arial"/>
          <w:szCs w:val="24"/>
        </w:rPr>
        <w:t xml:space="preserve"> The review is </w:t>
      </w:r>
      <w:r w:rsidRPr="006F0A1E">
        <w:rPr>
          <w:rFonts w:cs="Arial"/>
          <w:szCs w:val="24"/>
        </w:rPr>
        <w:t>subject to an Equality Impact Assessment</w:t>
      </w:r>
      <w:r>
        <w:rPr>
          <w:rFonts w:cs="Arial"/>
          <w:szCs w:val="24"/>
        </w:rPr>
        <w:t xml:space="preserve">, which </w:t>
      </w:r>
      <w:r w:rsidRPr="006F0A1E">
        <w:rPr>
          <w:rFonts w:cs="Arial"/>
          <w:szCs w:val="24"/>
        </w:rPr>
        <w:t xml:space="preserve">identified </w:t>
      </w:r>
      <w:r>
        <w:rPr>
          <w:rFonts w:cs="Arial"/>
          <w:szCs w:val="24"/>
        </w:rPr>
        <w:t xml:space="preserve">the </w:t>
      </w:r>
      <w:r w:rsidRPr="006F0A1E">
        <w:rPr>
          <w:rFonts w:cs="Arial"/>
          <w:szCs w:val="24"/>
        </w:rPr>
        <w:t>positive impacts of the provision of pedestrian crossing facilities</w:t>
      </w:r>
      <w:r>
        <w:rPr>
          <w:rFonts w:cs="Arial"/>
          <w:szCs w:val="24"/>
        </w:rPr>
        <w:t>,</w:t>
      </w:r>
      <w:r w:rsidRPr="006F0A1E">
        <w:rPr>
          <w:rFonts w:cs="Arial"/>
          <w:szCs w:val="24"/>
        </w:rPr>
        <w:t xml:space="preserve"> </w:t>
      </w:r>
      <w:r>
        <w:rPr>
          <w:rFonts w:cs="Arial"/>
          <w:szCs w:val="24"/>
        </w:rPr>
        <w:t>particularly for</w:t>
      </w:r>
      <w:r w:rsidRPr="006F0A1E">
        <w:rPr>
          <w:rFonts w:cs="Arial"/>
          <w:szCs w:val="24"/>
        </w:rPr>
        <w:t xml:space="preserve"> older and younger people, pregnant women, people with children and disabled people. It also highlighted the need to continue to consider the needs of these groups and to ensure </w:t>
      </w:r>
      <w:r>
        <w:rPr>
          <w:rFonts w:cs="Arial"/>
          <w:szCs w:val="24"/>
        </w:rPr>
        <w:t xml:space="preserve">that the </w:t>
      </w:r>
      <w:r w:rsidRPr="006F0A1E">
        <w:rPr>
          <w:rFonts w:cs="Arial"/>
          <w:szCs w:val="24"/>
        </w:rPr>
        <w:t xml:space="preserve">decision-making process </w:t>
      </w:r>
      <w:r>
        <w:rPr>
          <w:rFonts w:cs="Arial"/>
          <w:szCs w:val="24"/>
        </w:rPr>
        <w:t>is</w:t>
      </w:r>
      <w:r w:rsidRPr="006F0A1E">
        <w:rPr>
          <w:rFonts w:cs="Arial"/>
          <w:szCs w:val="24"/>
        </w:rPr>
        <w:t xml:space="preserve"> transpar</w:t>
      </w:r>
      <w:r>
        <w:rPr>
          <w:rFonts w:cs="Arial"/>
          <w:szCs w:val="24"/>
        </w:rPr>
        <w:t>ent</w:t>
      </w:r>
      <w:r w:rsidRPr="006F0A1E">
        <w:rPr>
          <w:rFonts w:cs="Arial"/>
          <w:szCs w:val="24"/>
        </w:rPr>
        <w:t>.</w:t>
      </w:r>
      <w:r>
        <w:rPr>
          <w:rStyle w:val="FootnoteReference"/>
          <w:rFonts w:cs="Arial"/>
          <w:szCs w:val="24"/>
        </w:rPr>
        <w:footnoteReference w:id="220"/>
      </w:r>
    </w:p>
    <w:p w14:paraId="3CD9CD03" w14:textId="10DAD79A" w:rsidR="0019789C" w:rsidRPr="002A65B0" w:rsidRDefault="0019789C" w:rsidP="00B86641">
      <w:pPr>
        <w:rPr>
          <w:lang w:bidi="en-US"/>
        </w:rPr>
      </w:pPr>
    </w:p>
    <w:p w14:paraId="033E8246" w14:textId="4C68193F" w:rsidR="0019789C" w:rsidRPr="002A65B0" w:rsidRDefault="0019789C" w:rsidP="006673DC">
      <w:pPr>
        <w:pStyle w:val="Heading4"/>
      </w:pPr>
      <w:r w:rsidRPr="002A65B0">
        <w:t>A6.1.4 Structures for Stakeholder Engagement</w:t>
      </w:r>
    </w:p>
    <w:p w14:paraId="50FAFEC6" w14:textId="5D072B37" w:rsidR="0019789C" w:rsidRDefault="0019789C" w:rsidP="00F92988">
      <w:pPr>
        <w:rPr>
          <w:shd w:val="clear" w:color="auto" w:fill="FFFFFF"/>
        </w:rPr>
      </w:pPr>
      <w:r w:rsidRPr="002A65B0">
        <w:rPr>
          <w:szCs w:val="24"/>
          <w:lang w:bidi="en-US"/>
        </w:rPr>
        <w:t>The Equalities Assembly is</w:t>
      </w:r>
      <w:r w:rsidRPr="002A65B0">
        <w:rPr>
          <w:shd w:val="clear" w:color="auto" w:fill="FFFFFF"/>
        </w:rPr>
        <w:t xml:space="preserve"> a forum made up of a number of different Equality Hubs – one of which is the Disability Hub.</w:t>
      </w:r>
      <w:r w:rsidRPr="002A65B0">
        <w:rPr>
          <w:rStyle w:val="FootnoteReference"/>
          <w:rFonts w:cs="Arial"/>
          <w:shd w:val="clear" w:color="auto" w:fill="FFFFFF"/>
        </w:rPr>
        <w:footnoteReference w:id="221"/>
      </w:r>
      <w:r>
        <w:rPr>
          <w:shd w:val="clear" w:color="auto" w:fill="FFFFFF"/>
        </w:rPr>
        <w:t xml:space="preserve"> </w:t>
      </w:r>
      <w:r w:rsidRPr="002A65B0">
        <w:rPr>
          <w:shd w:val="clear" w:color="auto" w:fill="FFFFFF"/>
        </w:rPr>
        <w:t>It aims to provide people from different equality groups with</w:t>
      </w:r>
      <w:r>
        <w:rPr>
          <w:shd w:val="clear" w:color="auto" w:fill="FFFFFF"/>
        </w:rPr>
        <w:t xml:space="preserve"> </w:t>
      </w:r>
      <w:r w:rsidRPr="002A65B0">
        <w:rPr>
          <w:shd w:val="clear" w:color="auto" w:fill="FFFFFF"/>
        </w:rPr>
        <w:t>the opportunity to meet and work together to engage with</w:t>
      </w:r>
      <w:r>
        <w:rPr>
          <w:shd w:val="clear" w:color="auto" w:fill="FFFFFF"/>
        </w:rPr>
        <w:t xml:space="preserve"> </w:t>
      </w:r>
      <w:r w:rsidRPr="002A65B0">
        <w:rPr>
          <w:shd w:val="clear" w:color="auto" w:fill="FFFFFF"/>
        </w:rPr>
        <w:t>the council on issues that affect them.</w:t>
      </w:r>
      <w:r>
        <w:rPr>
          <w:shd w:val="clear" w:color="auto" w:fill="FFFFFF"/>
        </w:rPr>
        <w:t xml:space="preserve"> </w:t>
      </w:r>
    </w:p>
    <w:p w14:paraId="3087387F" w14:textId="77777777" w:rsidR="0019789C" w:rsidRDefault="0019789C" w:rsidP="00F92988">
      <w:pPr>
        <w:rPr>
          <w:shd w:val="clear" w:color="auto" w:fill="FFFFFF"/>
        </w:rPr>
      </w:pPr>
    </w:p>
    <w:p w14:paraId="66831DED" w14:textId="7D4F1A88" w:rsidR="0019789C" w:rsidRPr="006F0A1E" w:rsidRDefault="0019789C" w:rsidP="00F92988">
      <w:pPr>
        <w:rPr>
          <w:shd w:val="clear" w:color="auto" w:fill="FFFFFF"/>
        </w:rPr>
      </w:pPr>
      <w:r w:rsidRPr="002A65B0">
        <w:rPr>
          <w:szCs w:val="24"/>
        </w:rPr>
        <w:t>The Access and Use-Ability Group includes citizens concerned about accessibility and usability (generally people who are members of access and disabled people’s organisations in Leeds) and works</w:t>
      </w:r>
      <w:r w:rsidRPr="002A65B0">
        <w:t xml:space="preserve"> with Leeds City Council’s City Development Directorate and private developers to shape major plans for the City Centre. It is chaired b</w:t>
      </w:r>
      <w:r>
        <w:t>y a member of staff from</w:t>
      </w:r>
      <w:r w:rsidRPr="002A65B0">
        <w:t xml:space="preserve"> the City Council.</w:t>
      </w:r>
      <w:r>
        <w:rPr>
          <w:rStyle w:val="FootnoteReference"/>
        </w:rPr>
        <w:footnoteReference w:id="222"/>
      </w:r>
    </w:p>
    <w:p w14:paraId="61E8FD02" w14:textId="77777777" w:rsidR="0019789C" w:rsidRPr="002A65B0" w:rsidRDefault="0019789C" w:rsidP="006F0A1E">
      <w:pPr>
        <w:rPr>
          <w:szCs w:val="24"/>
          <w:lang w:bidi="en-US"/>
        </w:rPr>
      </w:pPr>
    </w:p>
    <w:p w14:paraId="423F304F" w14:textId="0F0115D6" w:rsidR="0019789C" w:rsidRPr="002A65B0" w:rsidRDefault="0019789C" w:rsidP="006F0A1E">
      <w:pPr>
        <w:rPr>
          <w:szCs w:val="24"/>
          <w:lang w:bidi="en-US"/>
        </w:rPr>
      </w:pPr>
      <w:r w:rsidRPr="002A65B0">
        <w:rPr>
          <w:szCs w:val="24"/>
          <w:lang w:bidi="en-US"/>
        </w:rPr>
        <w:lastRenderedPageBreak/>
        <w:t>The Leeds Older People’s Forum is a citywide group, with membership of over 100 voluntary sector organisations which work with older people.</w:t>
      </w:r>
      <w:r w:rsidRPr="002A65B0">
        <w:rPr>
          <w:rStyle w:val="FootnoteReference"/>
          <w:rFonts w:cs="Arial"/>
          <w:szCs w:val="24"/>
          <w:lang w:bidi="en-US"/>
        </w:rPr>
        <w:footnoteReference w:id="223"/>
      </w:r>
      <w:r w:rsidRPr="002A65B0">
        <w:rPr>
          <w:szCs w:val="24"/>
          <w:lang w:bidi="en-US"/>
        </w:rPr>
        <w:t xml:space="preserve"> This Forum is a member of the national network ‘Age Action Alliance’. It promotes partnership working and practical action to improve older people’s lives.</w:t>
      </w:r>
      <w:r w:rsidRPr="002A65B0">
        <w:rPr>
          <w:rStyle w:val="FootnoteReference"/>
          <w:rFonts w:cs="Arial"/>
          <w:szCs w:val="24"/>
          <w:lang w:bidi="en-US"/>
        </w:rPr>
        <w:footnoteReference w:id="224"/>
      </w:r>
    </w:p>
    <w:p w14:paraId="0D2D26D6" w14:textId="77777777" w:rsidR="0019789C" w:rsidRPr="002A65B0" w:rsidRDefault="0019789C" w:rsidP="006F0A1E">
      <w:pPr>
        <w:rPr>
          <w:szCs w:val="24"/>
          <w:lang w:bidi="en-US"/>
        </w:rPr>
      </w:pPr>
    </w:p>
    <w:p w14:paraId="183794F2" w14:textId="77777777" w:rsidR="0019789C" w:rsidRPr="002A65B0" w:rsidRDefault="0019789C" w:rsidP="006F0A1E">
      <w:pPr>
        <w:rPr>
          <w:szCs w:val="24"/>
          <w:lang w:bidi="en-US"/>
        </w:rPr>
      </w:pPr>
      <w:r w:rsidRPr="002A65B0">
        <w:rPr>
          <w:szCs w:val="24"/>
          <w:lang w:bidi="en-US"/>
        </w:rPr>
        <w:t>Leeds Involving People, originally Leeds Involvement Project, supports members of the public to become actively involved in decision-making about local services they receive.</w:t>
      </w:r>
      <w:r w:rsidRPr="002A65B0">
        <w:rPr>
          <w:rStyle w:val="FootnoteReference"/>
          <w:rFonts w:cs="Arial"/>
          <w:szCs w:val="24"/>
          <w:lang w:bidi="en-US"/>
        </w:rPr>
        <w:footnoteReference w:id="225"/>
      </w:r>
    </w:p>
    <w:p w14:paraId="179E72D9" w14:textId="77777777" w:rsidR="0019789C" w:rsidRPr="002A65B0" w:rsidRDefault="0019789C" w:rsidP="009A74C3">
      <w:pPr>
        <w:ind w:firstLine="0"/>
        <w:rPr>
          <w:lang w:bidi="en-US"/>
        </w:rPr>
      </w:pPr>
    </w:p>
    <w:p w14:paraId="098CEA5C" w14:textId="047144AC" w:rsidR="0019789C" w:rsidRPr="002A65B0" w:rsidRDefault="0019789C" w:rsidP="004C178B">
      <w:pPr>
        <w:pStyle w:val="Heading3"/>
      </w:pPr>
      <w:r w:rsidRPr="002A65B0">
        <w:t>A6.2 Glasgow</w:t>
      </w:r>
    </w:p>
    <w:p w14:paraId="1E6352D0" w14:textId="4C441076" w:rsidR="0019789C" w:rsidRPr="002A65B0" w:rsidRDefault="0019789C" w:rsidP="009A74C3">
      <w:pPr>
        <w:pStyle w:val="Heading4"/>
      </w:pPr>
      <w:r w:rsidRPr="002A65B0">
        <w:t>A6.2.1 Equality and Inclusion</w:t>
      </w:r>
    </w:p>
    <w:p w14:paraId="3FFB2FD7" w14:textId="6BC20A56" w:rsidR="0019789C" w:rsidRDefault="0019789C" w:rsidP="004C178B">
      <w:pPr>
        <w:pStyle w:val="Heading5"/>
      </w:pPr>
      <w:r>
        <w:t xml:space="preserve">(a) </w:t>
      </w:r>
      <w:r w:rsidRPr="002A65B0">
        <w:t>Equality</w:t>
      </w:r>
    </w:p>
    <w:p w14:paraId="6C5A109F" w14:textId="241E2935" w:rsidR="0019789C" w:rsidRDefault="0019789C" w:rsidP="004C178B">
      <w:pPr>
        <w:rPr>
          <w:lang w:bidi="en-US"/>
        </w:rPr>
      </w:pPr>
      <w:r>
        <w:rPr>
          <w:lang w:bidi="en-US"/>
        </w:rPr>
        <w:t>In order to comply with the existing equality legislation set out in the UK Government’s Equality Act 2010, Glasgow City Council has set out in delivering its Equality Outcomes and underlining its commitment to four improvement aims that underpin its equality work:</w:t>
      </w:r>
    </w:p>
    <w:p w14:paraId="563C98B9" w14:textId="4CFF114D" w:rsidR="0019789C" w:rsidRDefault="0019789C" w:rsidP="00427643">
      <w:pPr>
        <w:pStyle w:val="ListParagraph"/>
        <w:numPr>
          <w:ilvl w:val="0"/>
          <w:numId w:val="27"/>
        </w:numPr>
        <w:rPr>
          <w:lang w:bidi="en-US"/>
        </w:rPr>
      </w:pPr>
      <w:r>
        <w:rPr>
          <w:lang w:bidi="en-US"/>
        </w:rPr>
        <w:t>Improve economic outcomes for people with protected characteristics;</w:t>
      </w:r>
    </w:p>
    <w:p w14:paraId="6DBBDFE0" w14:textId="065CF84A" w:rsidR="0019789C" w:rsidRDefault="0019789C" w:rsidP="00427643">
      <w:pPr>
        <w:pStyle w:val="ListParagraph"/>
        <w:numPr>
          <w:ilvl w:val="0"/>
          <w:numId w:val="27"/>
        </w:numPr>
        <w:rPr>
          <w:lang w:bidi="en-US"/>
        </w:rPr>
      </w:pPr>
      <w:r>
        <w:rPr>
          <w:lang w:bidi="en-US"/>
        </w:rPr>
        <w:t>Increase people’s knowledge about equality and fairness;</w:t>
      </w:r>
    </w:p>
    <w:p w14:paraId="1D99D2E7" w14:textId="6BFBFE2D" w:rsidR="0019789C" w:rsidRDefault="0019789C" w:rsidP="00427643">
      <w:pPr>
        <w:pStyle w:val="ListParagraph"/>
        <w:numPr>
          <w:ilvl w:val="0"/>
          <w:numId w:val="27"/>
        </w:numPr>
        <w:rPr>
          <w:lang w:bidi="en-US"/>
        </w:rPr>
      </w:pPr>
      <w:r>
        <w:rPr>
          <w:lang w:bidi="en-US"/>
        </w:rPr>
        <w:t>Improve access to Council Family services by people with protected characteristics;</w:t>
      </w:r>
    </w:p>
    <w:p w14:paraId="66E4ED68" w14:textId="71BF5263" w:rsidR="0019789C" w:rsidRDefault="0019789C" w:rsidP="00427643">
      <w:pPr>
        <w:pStyle w:val="ListParagraph"/>
        <w:numPr>
          <w:ilvl w:val="0"/>
          <w:numId w:val="27"/>
        </w:numPr>
        <w:rPr>
          <w:lang w:bidi="en-US"/>
        </w:rPr>
      </w:pPr>
      <w:r>
        <w:rPr>
          <w:lang w:bidi="en-US"/>
        </w:rPr>
        <w:t>Promote and enforce respect and diversity in Glasgow.</w:t>
      </w:r>
      <w:bookmarkStart w:id="32" w:name="_Ref93672686"/>
      <w:r>
        <w:rPr>
          <w:rStyle w:val="FootnoteReference"/>
          <w:lang w:bidi="en-US"/>
        </w:rPr>
        <w:footnoteReference w:id="226"/>
      </w:r>
      <w:bookmarkEnd w:id="32"/>
    </w:p>
    <w:p w14:paraId="0A88671C" w14:textId="77777777" w:rsidR="0019789C" w:rsidRDefault="0019789C" w:rsidP="00E14590">
      <w:pPr>
        <w:rPr>
          <w:lang w:bidi="en-US"/>
        </w:rPr>
      </w:pPr>
    </w:p>
    <w:p w14:paraId="7E3C0699" w14:textId="77777777" w:rsidR="0019789C" w:rsidRDefault="0019789C" w:rsidP="00A275B5">
      <w:pPr>
        <w:rPr>
          <w:lang w:bidi="en-US"/>
        </w:rPr>
      </w:pPr>
      <w:r>
        <w:rPr>
          <w:lang w:bidi="en-US"/>
        </w:rPr>
        <w:t xml:space="preserve">Glasgow City Council have </w:t>
      </w:r>
      <w:r w:rsidRPr="00842021">
        <w:rPr>
          <w:lang w:bidi="en-US"/>
        </w:rPr>
        <w:t xml:space="preserve">agreed </w:t>
      </w:r>
      <w:r>
        <w:rPr>
          <w:lang w:bidi="en-US"/>
        </w:rPr>
        <w:t>14</w:t>
      </w:r>
      <w:r w:rsidRPr="00842021">
        <w:rPr>
          <w:lang w:bidi="en-US"/>
        </w:rPr>
        <w:t xml:space="preserve"> equality outcomes </w:t>
      </w:r>
      <w:r>
        <w:rPr>
          <w:lang w:bidi="en-US"/>
        </w:rPr>
        <w:t>structured around these four aims mentioned above.</w:t>
      </w:r>
      <w:r>
        <w:rPr>
          <w:rStyle w:val="FootnoteReference"/>
          <w:lang w:bidi="en-US"/>
        </w:rPr>
        <w:footnoteReference w:id="227"/>
      </w:r>
      <w:r>
        <w:rPr>
          <w:lang w:bidi="en-US"/>
        </w:rPr>
        <w:t xml:space="preserve"> The 14 outcomes </w:t>
      </w:r>
      <w:r w:rsidRPr="00842021">
        <w:rPr>
          <w:lang w:bidi="en-US"/>
        </w:rPr>
        <w:t>reflect the priorities</w:t>
      </w:r>
      <w:r>
        <w:rPr>
          <w:lang w:bidi="en-US"/>
        </w:rPr>
        <w:t xml:space="preserve"> for the city</w:t>
      </w:r>
      <w:r w:rsidRPr="00842021">
        <w:rPr>
          <w:lang w:bidi="en-US"/>
        </w:rPr>
        <w:t xml:space="preserve"> and form</w:t>
      </w:r>
      <w:r>
        <w:rPr>
          <w:lang w:bidi="en-US"/>
        </w:rPr>
        <w:t>ing</w:t>
      </w:r>
      <w:r w:rsidRPr="00842021">
        <w:rPr>
          <w:lang w:bidi="en-US"/>
        </w:rPr>
        <w:t xml:space="preserve"> a framework on which </w:t>
      </w:r>
      <w:r>
        <w:rPr>
          <w:lang w:bidi="en-US"/>
        </w:rPr>
        <w:t xml:space="preserve">to build </w:t>
      </w:r>
      <w:r w:rsidRPr="00842021">
        <w:rPr>
          <w:lang w:bidi="en-US"/>
        </w:rPr>
        <w:t>equality agenda</w:t>
      </w:r>
      <w:r>
        <w:rPr>
          <w:lang w:bidi="en-US"/>
        </w:rPr>
        <w:t>, but</w:t>
      </w:r>
      <w:r w:rsidRPr="00842021">
        <w:rPr>
          <w:lang w:bidi="en-US"/>
        </w:rPr>
        <w:t xml:space="preserve"> </w:t>
      </w:r>
      <w:r>
        <w:rPr>
          <w:lang w:bidi="en-US"/>
        </w:rPr>
        <w:t>they</w:t>
      </w:r>
      <w:r w:rsidRPr="00842021">
        <w:rPr>
          <w:lang w:bidi="en-US"/>
        </w:rPr>
        <w:t xml:space="preserve"> are not meant to encompass all the work to reduce inequality in the city.</w:t>
      </w:r>
      <w:r>
        <w:rPr>
          <w:rStyle w:val="FootnoteReference"/>
          <w:lang w:bidi="en-US"/>
        </w:rPr>
        <w:footnoteReference w:id="228"/>
      </w:r>
      <w:r w:rsidRPr="00842021">
        <w:rPr>
          <w:lang w:bidi="en-US"/>
        </w:rPr>
        <w:t xml:space="preserve"> </w:t>
      </w:r>
      <w:r>
        <w:rPr>
          <w:lang w:bidi="en-US"/>
        </w:rPr>
        <w:t>The</w:t>
      </w:r>
      <w:r w:rsidRPr="00842021">
        <w:rPr>
          <w:lang w:bidi="en-US"/>
        </w:rPr>
        <w:t xml:space="preserve"> </w:t>
      </w:r>
      <w:r>
        <w:rPr>
          <w:lang w:bidi="en-US"/>
        </w:rPr>
        <w:t>‘</w:t>
      </w:r>
      <w:r w:rsidRPr="00842021">
        <w:rPr>
          <w:lang w:bidi="en-US"/>
        </w:rPr>
        <w:t xml:space="preserve">Statement of Intent </w:t>
      </w:r>
      <w:r>
        <w:rPr>
          <w:lang w:bidi="en-US"/>
        </w:rPr>
        <w:t xml:space="preserve">for Equality (2017)’ </w:t>
      </w:r>
      <w:r w:rsidRPr="00842021">
        <w:rPr>
          <w:lang w:bidi="en-US"/>
        </w:rPr>
        <w:t xml:space="preserve">summarises </w:t>
      </w:r>
      <w:r>
        <w:rPr>
          <w:lang w:bidi="en-US"/>
        </w:rPr>
        <w:t xml:space="preserve">the Council’s </w:t>
      </w:r>
      <w:r w:rsidRPr="00842021">
        <w:rPr>
          <w:lang w:bidi="en-US"/>
        </w:rPr>
        <w:t>broader commitment to equality</w:t>
      </w:r>
      <w:r>
        <w:rPr>
          <w:lang w:bidi="en-US"/>
        </w:rPr>
        <w:t xml:space="preserve"> and how it links with other </w:t>
      </w:r>
      <w:r>
        <w:rPr>
          <w:lang w:bidi="en-US"/>
        </w:rPr>
        <w:lastRenderedPageBreak/>
        <w:t>strategies aimed at tackling poverty and financial exclusion, reducing health inequality, and empowering communities.</w:t>
      </w:r>
      <w:r>
        <w:rPr>
          <w:rStyle w:val="FootnoteReference"/>
          <w:lang w:bidi="en-US"/>
        </w:rPr>
        <w:footnoteReference w:id="229"/>
      </w:r>
    </w:p>
    <w:p w14:paraId="33AA0321" w14:textId="77777777" w:rsidR="0019789C" w:rsidRDefault="0019789C" w:rsidP="000F22F5">
      <w:pPr>
        <w:ind w:firstLine="0"/>
        <w:rPr>
          <w:lang w:bidi="en-US"/>
        </w:rPr>
      </w:pPr>
    </w:p>
    <w:p w14:paraId="13E095A3" w14:textId="4BC9CDF5" w:rsidR="0019789C" w:rsidRDefault="0019789C" w:rsidP="00A54723">
      <w:pPr>
        <w:rPr>
          <w:szCs w:val="24"/>
          <w:lang w:bidi="en-US"/>
        </w:rPr>
      </w:pPr>
      <w:r>
        <w:rPr>
          <w:lang w:bidi="en-US"/>
        </w:rPr>
        <w:t xml:space="preserve">The </w:t>
      </w:r>
      <w:r w:rsidRPr="00842021">
        <w:rPr>
          <w:lang w:bidi="en-US"/>
        </w:rPr>
        <w:t>Equality Outcomes Mainstreaming and Progress Report 2019</w:t>
      </w:r>
      <w:bookmarkStart w:id="33" w:name="_Ref93672700"/>
      <w:r>
        <w:rPr>
          <w:rStyle w:val="FootnoteReference"/>
          <w:lang w:bidi="en-US"/>
        </w:rPr>
        <w:footnoteReference w:id="230"/>
      </w:r>
      <w:bookmarkEnd w:id="33"/>
      <w:r w:rsidRPr="00842021">
        <w:rPr>
          <w:lang w:bidi="en-US"/>
        </w:rPr>
        <w:t xml:space="preserve"> </w:t>
      </w:r>
      <w:r>
        <w:rPr>
          <w:lang w:bidi="en-US"/>
        </w:rPr>
        <w:t>was published as part of</w:t>
      </w:r>
      <w:r w:rsidRPr="00842021">
        <w:rPr>
          <w:lang w:bidi="en-US"/>
        </w:rPr>
        <w:t xml:space="preserve"> the statutory requirement to mainstream equality into planning, service delive</w:t>
      </w:r>
      <w:r>
        <w:rPr>
          <w:lang w:bidi="en-US"/>
        </w:rPr>
        <w:t xml:space="preserve">ry, and performance management. Of the 14 outcomes, Outcomes 8 through 10 are the most relevant to the IPS project, all of </w:t>
      </w:r>
      <w:r w:rsidRPr="00CA3671">
        <w:rPr>
          <w:szCs w:val="24"/>
          <w:lang w:bidi="en-US"/>
        </w:rPr>
        <w:t xml:space="preserve">which </w:t>
      </w:r>
      <w:r>
        <w:rPr>
          <w:szCs w:val="24"/>
          <w:lang w:bidi="en-US"/>
        </w:rPr>
        <w:t>stem from</w:t>
      </w:r>
      <w:r w:rsidRPr="00CA3671">
        <w:rPr>
          <w:szCs w:val="24"/>
          <w:lang w:bidi="en-US"/>
        </w:rPr>
        <w:t xml:space="preserve"> the </w:t>
      </w:r>
      <w:r>
        <w:rPr>
          <w:szCs w:val="24"/>
          <w:lang w:bidi="en-US"/>
        </w:rPr>
        <w:t>third</w:t>
      </w:r>
      <w:r w:rsidRPr="00CA3671">
        <w:rPr>
          <w:szCs w:val="24"/>
          <w:lang w:bidi="en-US"/>
        </w:rPr>
        <w:t xml:space="preserve"> aim (improving access to Council Family services by people with protected characteristics). </w:t>
      </w:r>
    </w:p>
    <w:p w14:paraId="114F173B" w14:textId="77777777" w:rsidR="0019789C" w:rsidRDefault="0019789C" w:rsidP="00A54723">
      <w:pPr>
        <w:rPr>
          <w:szCs w:val="24"/>
          <w:lang w:bidi="en-US"/>
        </w:rPr>
      </w:pPr>
    </w:p>
    <w:p w14:paraId="293B0089" w14:textId="112FC14E" w:rsidR="0019789C" w:rsidRDefault="0019789C" w:rsidP="00A54723">
      <w:pPr>
        <w:rPr>
          <w:szCs w:val="24"/>
          <w:lang w:val="en-US" w:eastAsia="en-US"/>
        </w:rPr>
      </w:pPr>
      <w:r w:rsidRPr="00CA3671">
        <w:rPr>
          <w:szCs w:val="24"/>
          <w:lang w:bidi="en-US"/>
        </w:rPr>
        <w:t>Outcome 8: ‘</w:t>
      </w:r>
      <w:r>
        <w:rPr>
          <w:szCs w:val="24"/>
          <w:lang w:bidi="en-US"/>
        </w:rPr>
        <w:t>S</w:t>
      </w:r>
      <w:r w:rsidRPr="00CA3671">
        <w:rPr>
          <w:szCs w:val="24"/>
          <w:lang w:bidi="en-US"/>
        </w:rPr>
        <w:t xml:space="preserve">ervice users with protected characteristics are provided with targeted, improved and more accessible information about the services provided by the Council Family’. This Outcome involves improving </w:t>
      </w:r>
      <w:r w:rsidRPr="00CA3671">
        <w:rPr>
          <w:rFonts w:eastAsia="Times New Roman" w:cs="Arial"/>
          <w:color w:val="auto"/>
          <w:szCs w:val="24"/>
          <w:lang w:val="en-US" w:eastAsia="en-US"/>
        </w:rPr>
        <w:t>and develop</w:t>
      </w:r>
      <w:r>
        <w:rPr>
          <w:rFonts w:eastAsia="Times New Roman" w:cs="Arial"/>
          <w:color w:val="auto"/>
          <w:szCs w:val="24"/>
          <w:lang w:val="en-US" w:eastAsia="en-US"/>
        </w:rPr>
        <w:t>ing</w:t>
      </w:r>
      <w:r w:rsidRPr="00CA3671">
        <w:rPr>
          <w:rFonts w:eastAsia="Times New Roman" w:cs="Arial"/>
          <w:color w:val="auto"/>
          <w:szCs w:val="24"/>
          <w:lang w:val="en-US" w:eastAsia="en-US"/>
        </w:rPr>
        <w:t xml:space="preserve"> existing informational brochure</w:t>
      </w:r>
      <w:r>
        <w:rPr>
          <w:rFonts w:eastAsia="Times New Roman" w:cs="Arial"/>
          <w:color w:val="auto"/>
          <w:szCs w:val="24"/>
          <w:lang w:val="en-US" w:eastAsia="en-US"/>
        </w:rPr>
        <w:t>s</w:t>
      </w:r>
      <w:r w:rsidRPr="00CA3671">
        <w:rPr>
          <w:rFonts w:eastAsia="Times New Roman" w:cs="Arial"/>
          <w:color w:val="auto"/>
          <w:szCs w:val="24"/>
          <w:lang w:val="en-US" w:eastAsia="en-US"/>
        </w:rPr>
        <w:t xml:space="preserve"> to create tailored ones, such as one for people with a</w:t>
      </w:r>
      <w:r>
        <w:rPr>
          <w:rFonts w:eastAsia="Times New Roman" w:cs="Arial"/>
          <w:color w:val="auto"/>
          <w:szCs w:val="24"/>
          <w:lang w:val="en-US" w:eastAsia="en-US"/>
        </w:rPr>
        <w:t xml:space="preserve">n impairment </w:t>
      </w:r>
      <w:r w:rsidRPr="00CA3671">
        <w:rPr>
          <w:rFonts w:eastAsia="Times New Roman" w:cs="Arial"/>
          <w:color w:val="auto"/>
          <w:szCs w:val="24"/>
          <w:lang w:val="en-US" w:eastAsia="en-US"/>
        </w:rPr>
        <w:t>and one that outlines the free services provided by Glasgow Life</w:t>
      </w:r>
      <w:r>
        <w:rPr>
          <w:rFonts w:eastAsia="Times New Roman" w:cs="Arial"/>
          <w:color w:val="auto"/>
          <w:szCs w:val="24"/>
          <w:lang w:val="en-US" w:eastAsia="en-US"/>
        </w:rPr>
        <w:t>, and</w:t>
      </w:r>
      <w:r w:rsidRPr="00CA3671">
        <w:rPr>
          <w:rFonts w:cs="Arial"/>
          <w:szCs w:val="24"/>
          <w:lang w:val="en-US" w:eastAsia="en-US"/>
        </w:rPr>
        <w:t xml:space="preserve"> develop</w:t>
      </w:r>
      <w:r>
        <w:rPr>
          <w:rFonts w:cs="Arial"/>
          <w:szCs w:val="24"/>
          <w:lang w:val="en-US" w:eastAsia="en-US"/>
        </w:rPr>
        <w:t>ing</w:t>
      </w:r>
      <w:r w:rsidRPr="00CA3671">
        <w:rPr>
          <w:rFonts w:cs="Arial"/>
          <w:szCs w:val="24"/>
          <w:lang w:val="en-US" w:eastAsia="en-US"/>
        </w:rPr>
        <w:t xml:space="preserve"> and delive</w:t>
      </w:r>
      <w:r>
        <w:rPr>
          <w:rFonts w:cs="Arial"/>
          <w:szCs w:val="24"/>
          <w:lang w:val="en-US" w:eastAsia="en-US"/>
        </w:rPr>
        <w:t>ring</w:t>
      </w:r>
      <w:r w:rsidRPr="00CA3671">
        <w:rPr>
          <w:rFonts w:cs="Arial"/>
          <w:szCs w:val="24"/>
          <w:lang w:val="en-US" w:eastAsia="en-US"/>
        </w:rPr>
        <w:t xml:space="preserve"> an approach to its communication that meets the principles of Inclusive Communication.</w:t>
      </w:r>
      <w:r>
        <w:rPr>
          <w:rStyle w:val="FootnoteReference"/>
          <w:rFonts w:cs="Arial"/>
          <w:szCs w:val="24"/>
          <w:lang w:val="en-US" w:eastAsia="en-US"/>
        </w:rPr>
        <w:footnoteReference w:id="231"/>
      </w:r>
      <w:r w:rsidRPr="00CA3671">
        <w:rPr>
          <w:rFonts w:cs="Arial"/>
          <w:szCs w:val="24"/>
          <w:lang w:val="en-US" w:eastAsia="en-US"/>
        </w:rPr>
        <w:t xml:space="preserve"> </w:t>
      </w:r>
      <w:r>
        <w:rPr>
          <w:rFonts w:cs="Arial"/>
          <w:szCs w:val="24"/>
          <w:lang w:val="en-US" w:eastAsia="en-US"/>
        </w:rPr>
        <w:t>However, according to the 2019 Progress Report, the planned disability brochure has not yet been produced due to financial and staff resources.</w:t>
      </w:r>
      <w:r>
        <w:rPr>
          <w:rStyle w:val="FootnoteReference"/>
          <w:rFonts w:cs="Arial"/>
          <w:szCs w:val="24"/>
          <w:lang w:val="en-US" w:eastAsia="en-US"/>
        </w:rPr>
        <w:footnoteReference w:id="232"/>
      </w:r>
      <w:r>
        <w:rPr>
          <w:rFonts w:cs="Arial"/>
          <w:szCs w:val="24"/>
          <w:lang w:val="en-US" w:eastAsia="en-US"/>
        </w:rPr>
        <w:t xml:space="preserve"> The planned inclusive communication strategy is</w:t>
      </w:r>
      <w:r>
        <w:rPr>
          <w:szCs w:val="24"/>
          <w:lang w:val="en-US" w:eastAsia="en-US"/>
        </w:rPr>
        <w:t xml:space="preserve"> </w:t>
      </w:r>
      <w:r w:rsidRPr="00CA3671">
        <w:rPr>
          <w:szCs w:val="24"/>
          <w:lang w:val="en-US" w:eastAsia="en-US"/>
        </w:rPr>
        <w:t>under development</w:t>
      </w:r>
      <w:r>
        <w:rPr>
          <w:szCs w:val="24"/>
          <w:lang w:val="en-US" w:eastAsia="en-US"/>
        </w:rPr>
        <w:t xml:space="preserve"> (as of 2019).</w:t>
      </w:r>
      <w:r>
        <w:rPr>
          <w:rStyle w:val="FootnoteReference"/>
          <w:szCs w:val="24"/>
          <w:lang w:val="en-US" w:eastAsia="en-US"/>
        </w:rPr>
        <w:footnoteReference w:id="233"/>
      </w:r>
    </w:p>
    <w:p w14:paraId="4F42A612" w14:textId="4AE9DE59" w:rsidR="0019789C" w:rsidRDefault="0019789C" w:rsidP="00A54723">
      <w:pPr>
        <w:rPr>
          <w:szCs w:val="24"/>
          <w:lang w:val="en-US" w:eastAsia="en-US"/>
        </w:rPr>
      </w:pPr>
    </w:p>
    <w:p w14:paraId="37B9114B" w14:textId="529E0746" w:rsidR="0019789C" w:rsidRDefault="0019789C" w:rsidP="00C17D0E">
      <w:pPr>
        <w:rPr>
          <w:lang w:bidi="en-US"/>
        </w:rPr>
      </w:pPr>
      <w:r>
        <w:rPr>
          <w:szCs w:val="24"/>
          <w:lang w:val="en-US" w:eastAsia="en-US"/>
        </w:rPr>
        <w:t xml:space="preserve">Outcome 9: </w:t>
      </w:r>
      <w:r>
        <w:rPr>
          <w:lang w:bidi="en-US"/>
        </w:rPr>
        <w:t>‘Barriers to participation in arts, learning, physical activity, learning and culture have been reduced for people with people with protected characteristics.’ The key action involved with this Outcome is the continued delivery of sport and physical activity programmes tailored to support disabled people becoming more active.</w:t>
      </w:r>
      <w:r>
        <w:rPr>
          <w:rStyle w:val="FootnoteReference"/>
          <w:lang w:bidi="en-US"/>
        </w:rPr>
        <w:footnoteReference w:id="234"/>
      </w:r>
      <w:r>
        <w:rPr>
          <w:lang w:bidi="en-US"/>
        </w:rPr>
        <w:t xml:space="preserve"> According to the 2019 Progress Report, progress has been made in providing exercise sessions for adults and children, and a revised piloted programme of sports sessions for disabled people is underway,</w:t>
      </w:r>
      <w:r>
        <w:rPr>
          <w:rStyle w:val="FootnoteReference"/>
          <w:lang w:bidi="en-US"/>
        </w:rPr>
        <w:footnoteReference w:id="235"/>
      </w:r>
      <w:r>
        <w:rPr>
          <w:lang w:bidi="en-US"/>
        </w:rPr>
        <w:t xml:space="preserve"> but this action does not focus on access to city streets.</w:t>
      </w:r>
    </w:p>
    <w:p w14:paraId="4C02C68D" w14:textId="77777777" w:rsidR="0019789C" w:rsidRDefault="0019789C" w:rsidP="00C17D0E">
      <w:pPr>
        <w:rPr>
          <w:lang w:bidi="en-US"/>
        </w:rPr>
      </w:pPr>
    </w:p>
    <w:p w14:paraId="0264E042" w14:textId="77777777" w:rsidR="0019789C" w:rsidRDefault="0019789C" w:rsidP="00972046">
      <w:pPr>
        <w:rPr>
          <w:lang w:bidi="en-US"/>
        </w:rPr>
      </w:pPr>
      <w:r>
        <w:rPr>
          <w:lang w:bidi="en-US"/>
        </w:rPr>
        <w:lastRenderedPageBreak/>
        <w:t>Outcome 10: ‘People with protected characteristics are more regularly and systematically involved in service delivery design by the Council Family.’</w:t>
      </w:r>
      <w:r>
        <w:rPr>
          <w:rStyle w:val="FootnoteReference"/>
          <w:lang w:bidi="en-US"/>
        </w:rPr>
        <w:footnoteReference w:id="236"/>
      </w:r>
      <w:r>
        <w:rPr>
          <w:lang w:bidi="en-US"/>
        </w:rPr>
        <w:t xml:space="preserve"> Several of the associated actions are highly relevant to the IPS project as they relate to use of city streets. </w:t>
      </w:r>
    </w:p>
    <w:p w14:paraId="4822C560" w14:textId="77777777" w:rsidR="0019789C" w:rsidRDefault="0019789C" w:rsidP="00972046">
      <w:pPr>
        <w:rPr>
          <w:lang w:bidi="en-US"/>
        </w:rPr>
      </w:pPr>
    </w:p>
    <w:p w14:paraId="473D07F7" w14:textId="2A8D8422" w:rsidR="0019789C" w:rsidRDefault="0019789C" w:rsidP="00972046">
      <w:pPr>
        <w:rPr>
          <w:lang w:bidi="en-US"/>
        </w:rPr>
      </w:pPr>
      <w:r>
        <w:rPr>
          <w:lang w:bidi="en-US"/>
        </w:rPr>
        <w:t>Action 10.3 is public consultation by Glasgow City Council to ensure that infrastructure maintenance and developments are informed by local communities, namely ‘with equality groups to address accessibility issues will improve availability on footpaths and footways for wheelchair users and people with reduced mobility.’ This action is measured by a reduction in the number of complaints received; dropped kerbs installation, and repair of tactile paving and damaged kerbs, was included in the 2018/19 Roads Investment Strategy.</w:t>
      </w:r>
      <w:r>
        <w:rPr>
          <w:rStyle w:val="FootnoteReference"/>
          <w:lang w:bidi="en-US"/>
        </w:rPr>
        <w:footnoteReference w:id="237"/>
      </w:r>
      <w:r>
        <w:rPr>
          <w:lang w:bidi="en-US"/>
        </w:rPr>
        <w:t xml:space="preserve"> </w:t>
      </w:r>
    </w:p>
    <w:p w14:paraId="18DE7DD1" w14:textId="77777777" w:rsidR="0019789C" w:rsidRDefault="0019789C" w:rsidP="00972046">
      <w:pPr>
        <w:rPr>
          <w:lang w:bidi="en-US"/>
        </w:rPr>
      </w:pPr>
    </w:p>
    <w:p w14:paraId="697B16B7" w14:textId="5560A19A" w:rsidR="0019789C" w:rsidRDefault="0019789C" w:rsidP="00972046">
      <w:pPr>
        <w:rPr>
          <w:lang w:bidi="en-US"/>
        </w:rPr>
      </w:pPr>
      <w:r>
        <w:rPr>
          <w:lang w:bidi="en-US"/>
        </w:rPr>
        <w:t>Action 10.4 is the continued education and enforcement ‘against the inappropriate placement of commercial advertising (“A- boards”) on paths and sidewalks that hinder movement by wheelchair users and people with reduced mobility.’ However, little progress information is available on this action, other than the measurement (by the number of enforcement issued, which was reduced between 2016 and 2019) and remedying issues with enforcement notices.</w:t>
      </w:r>
      <w:r>
        <w:rPr>
          <w:rStyle w:val="FootnoteReference"/>
          <w:lang w:bidi="en-US"/>
        </w:rPr>
        <w:footnoteReference w:id="238"/>
      </w:r>
    </w:p>
    <w:p w14:paraId="31F423A8" w14:textId="77777777" w:rsidR="0019789C" w:rsidRDefault="0019789C" w:rsidP="00972046">
      <w:pPr>
        <w:ind w:firstLine="0"/>
        <w:rPr>
          <w:lang w:bidi="en-US"/>
        </w:rPr>
      </w:pPr>
    </w:p>
    <w:p w14:paraId="4BA19D42" w14:textId="2A196A19" w:rsidR="0019789C" w:rsidRPr="00937232" w:rsidRDefault="0019789C" w:rsidP="00937232">
      <w:pPr>
        <w:rPr>
          <w:rFonts w:eastAsia="Times New Roman"/>
          <w:lang w:val="en-US" w:eastAsia="en-US"/>
        </w:rPr>
      </w:pPr>
      <w:r>
        <w:rPr>
          <w:lang w:bidi="en-US"/>
        </w:rPr>
        <w:t>In light of the identification of older (60 years and older) pedestrians as a key priority, Action 10.5 involves the continued delivery by Glasgow’s Road Safety Partnership of ‘an enforcement, education and publicity campaign to reduce the number of older pedestrians killed or seriously injured on Glasgow’s roads.’ The campaign includes: a programme of visits by Land and Environmental Services and Police Scotland to elderly people’s groups; TV and newspaper advertising for pedestrians and drivers; and working with First Bus to improve driver awareness of vulnerable pedestrians.</w:t>
      </w:r>
      <w:r w:rsidRPr="00972046">
        <w:rPr>
          <w:rStyle w:val="FootnoteReference"/>
          <w:lang w:bidi="en-US"/>
        </w:rPr>
        <w:t xml:space="preserve"> </w:t>
      </w:r>
      <w:r>
        <w:rPr>
          <w:rStyle w:val="FootnoteReference"/>
          <w:lang w:bidi="en-US"/>
        </w:rPr>
        <w:footnoteReference w:id="239"/>
      </w:r>
      <w:r>
        <w:rPr>
          <w:lang w:bidi="en-US"/>
        </w:rPr>
        <w:t xml:space="preserve"> The progress made on this action appears to be minimal, although there has been a slight reduction in the number of older pedestrian killed or seriously injured. Additionally, the council has </w:t>
      </w:r>
      <w:r w:rsidRPr="00972046">
        <w:rPr>
          <w:rFonts w:eastAsia="Times New Roman"/>
          <w:lang w:val="en-US" w:eastAsia="en-US"/>
        </w:rPr>
        <w:t>distributed 1000 elderly pedestrian packs with information</w:t>
      </w:r>
      <w:r>
        <w:rPr>
          <w:rFonts w:eastAsia="Times New Roman"/>
          <w:lang w:val="en-US" w:eastAsia="en-US"/>
        </w:rPr>
        <w:t xml:space="preserve"> at an annual Christmas lunch; </w:t>
      </w:r>
      <w:r>
        <w:rPr>
          <w:rFonts w:eastAsia="Times New Roman"/>
          <w:lang w:val="en-US" w:eastAsia="en-US"/>
        </w:rPr>
        <w:lastRenderedPageBreak/>
        <w:t xml:space="preserve">and </w:t>
      </w:r>
      <w:r w:rsidRPr="00972046">
        <w:rPr>
          <w:rFonts w:eastAsia="Times New Roman"/>
          <w:lang w:val="en-US" w:eastAsia="en-US"/>
        </w:rPr>
        <w:t>visit</w:t>
      </w:r>
      <w:r>
        <w:rPr>
          <w:rFonts w:eastAsia="Times New Roman"/>
          <w:lang w:val="en-US" w:eastAsia="en-US"/>
        </w:rPr>
        <w:t>ed</w:t>
      </w:r>
      <w:r w:rsidRPr="00972046">
        <w:rPr>
          <w:rFonts w:eastAsia="Times New Roman"/>
          <w:lang w:val="en-US" w:eastAsia="en-US"/>
        </w:rPr>
        <w:t xml:space="preserve"> shopping centres in local communities</w:t>
      </w:r>
      <w:r>
        <w:rPr>
          <w:rFonts w:eastAsia="Times New Roman"/>
          <w:lang w:val="en-US" w:eastAsia="en-US"/>
        </w:rPr>
        <w:t>,</w:t>
      </w:r>
      <w:r w:rsidRPr="00972046">
        <w:rPr>
          <w:rFonts w:eastAsia="Times New Roman"/>
          <w:lang w:val="en-US" w:eastAsia="en-US"/>
        </w:rPr>
        <w:t xml:space="preserve"> </w:t>
      </w:r>
      <w:r>
        <w:rPr>
          <w:rFonts w:eastAsia="Times New Roman"/>
          <w:lang w:val="en-US" w:eastAsia="en-US"/>
        </w:rPr>
        <w:t>distributing</w:t>
      </w:r>
      <w:r w:rsidRPr="00972046">
        <w:rPr>
          <w:rFonts w:eastAsia="Times New Roman"/>
          <w:lang w:val="en-US" w:eastAsia="en-US"/>
        </w:rPr>
        <w:t xml:space="preserve"> older pedestrian packs targeting around 1000 older people </w:t>
      </w:r>
      <w:r>
        <w:rPr>
          <w:rFonts w:eastAsia="Times New Roman"/>
          <w:lang w:val="en-US" w:eastAsia="en-US"/>
        </w:rPr>
        <w:t>over the course of one</w:t>
      </w:r>
      <w:r w:rsidRPr="00972046">
        <w:rPr>
          <w:rFonts w:eastAsia="Times New Roman"/>
          <w:lang w:val="en-US" w:eastAsia="en-US"/>
        </w:rPr>
        <w:t xml:space="preserve"> week.</w:t>
      </w:r>
      <w:r>
        <w:rPr>
          <w:rStyle w:val="FootnoteReference"/>
          <w:rFonts w:eastAsia="Times New Roman"/>
          <w:lang w:val="en-US" w:eastAsia="en-US"/>
        </w:rPr>
        <w:footnoteReference w:id="240"/>
      </w:r>
      <w:r w:rsidRPr="00972046">
        <w:rPr>
          <w:rFonts w:eastAsia="Times New Roman"/>
          <w:lang w:val="en-US" w:eastAsia="en-US"/>
        </w:rPr>
        <w:t xml:space="preserve"> </w:t>
      </w:r>
    </w:p>
    <w:p w14:paraId="6851C344" w14:textId="77777777" w:rsidR="0019789C" w:rsidRPr="00B32EBB" w:rsidRDefault="0019789C" w:rsidP="00972046">
      <w:pPr>
        <w:rPr>
          <w:lang w:bidi="en-US"/>
        </w:rPr>
      </w:pPr>
    </w:p>
    <w:p w14:paraId="22AC2612" w14:textId="291BBC75" w:rsidR="0019789C" w:rsidRPr="004C178B" w:rsidRDefault="0019789C" w:rsidP="004C178B">
      <w:pPr>
        <w:rPr>
          <w:lang w:bidi="en-US"/>
        </w:rPr>
      </w:pPr>
      <w:r>
        <w:rPr>
          <w:lang w:bidi="en-US"/>
        </w:rPr>
        <w:t xml:space="preserve">Glasgow City Council has developed a tool – Equality Impact Assessment - for assessing the impacts of council policy or function on removing barriers to equality. This assessment has been carried out since 2013 in response to research that indicated that the way organisations do things can have unintentional negative effects on groups of citizens. The latest equality impact assessments and screening was completed in </w:t>
      </w:r>
      <w:r w:rsidRPr="00AF0D96">
        <w:rPr>
          <w:lang w:bidi="en-US"/>
        </w:rPr>
        <w:t>2019</w:t>
      </w:r>
      <w:r>
        <w:rPr>
          <w:lang w:bidi="en-US"/>
        </w:rPr>
        <w:t>.</w:t>
      </w:r>
      <w:r>
        <w:rPr>
          <w:rStyle w:val="FootnoteReference"/>
          <w:lang w:bidi="en-US"/>
        </w:rPr>
        <w:footnoteReference w:id="241"/>
      </w:r>
      <w:r>
        <w:rPr>
          <w:lang w:bidi="en-US"/>
        </w:rPr>
        <w:t xml:space="preserve"> Equality impact assessments are one way to ensure public policies meet legal requirements. The council have recently revised their equality impact assessment process to take into account the change in legislation and the addition of protected groups. They have produced a guide on how this process works.</w:t>
      </w:r>
      <w:r>
        <w:rPr>
          <w:rStyle w:val="FootnoteReference"/>
          <w:lang w:bidi="en-US"/>
        </w:rPr>
        <w:footnoteReference w:id="242"/>
      </w:r>
    </w:p>
    <w:p w14:paraId="17962A6D" w14:textId="77777777" w:rsidR="0019789C" w:rsidRPr="002B624F" w:rsidRDefault="0019789C" w:rsidP="004C178B">
      <w:pPr>
        <w:ind w:firstLine="0"/>
        <w:rPr>
          <w:lang w:bidi="en-US"/>
        </w:rPr>
      </w:pPr>
    </w:p>
    <w:p w14:paraId="4F60A3CD" w14:textId="556A18FF" w:rsidR="0019789C" w:rsidRDefault="0019789C" w:rsidP="00E14590">
      <w:pPr>
        <w:pStyle w:val="Heading5"/>
      </w:pPr>
      <w:r w:rsidRPr="002A65B0">
        <w:t>(b) Accessibility</w:t>
      </w:r>
    </w:p>
    <w:p w14:paraId="5A678CBB" w14:textId="5B146B21" w:rsidR="0019789C" w:rsidRPr="009917FF" w:rsidRDefault="0019789C" w:rsidP="004C178B">
      <w:pPr>
        <w:shd w:val="clear" w:color="auto" w:fill="FFFFFF"/>
        <w:rPr>
          <w:rFonts w:cs="Arial"/>
          <w:color w:val="000000"/>
        </w:rPr>
      </w:pPr>
      <w:r>
        <w:rPr>
          <w:rFonts w:cs="Arial"/>
          <w:color w:val="000000"/>
        </w:rPr>
        <w:t>See above, subsection (a) Equality. Additionally, Glasgow City</w:t>
      </w:r>
      <w:r w:rsidRPr="009917FF">
        <w:rPr>
          <w:rFonts w:cs="Arial"/>
          <w:color w:val="000000"/>
        </w:rPr>
        <w:t xml:space="preserve"> </w:t>
      </w:r>
      <w:r>
        <w:rPr>
          <w:rFonts w:cs="Arial"/>
          <w:color w:val="000000"/>
        </w:rPr>
        <w:t>C</w:t>
      </w:r>
      <w:r w:rsidRPr="009917FF">
        <w:rPr>
          <w:rFonts w:cs="Arial"/>
          <w:color w:val="000000"/>
        </w:rPr>
        <w:t>ouncil</w:t>
      </w:r>
      <w:r>
        <w:rPr>
          <w:rFonts w:cs="Arial"/>
          <w:color w:val="000000"/>
        </w:rPr>
        <w:t xml:space="preserve"> </w:t>
      </w:r>
      <w:r w:rsidRPr="009917FF">
        <w:rPr>
          <w:rFonts w:cs="Arial"/>
          <w:color w:val="000000"/>
        </w:rPr>
        <w:t>sponsors an on-line access guide to Glasgow</w:t>
      </w:r>
      <w:r>
        <w:rPr>
          <w:rFonts w:cs="Arial"/>
          <w:color w:val="000000"/>
        </w:rPr>
        <w:t>, which</w:t>
      </w:r>
      <w:r w:rsidRPr="009917FF">
        <w:rPr>
          <w:rFonts w:cs="Arial"/>
          <w:color w:val="000000"/>
        </w:rPr>
        <w:t xml:space="preserve"> provides disabled people with access information on </w:t>
      </w:r>
      <w:r>
        <w:rPr>
          <w:rFonts w:cs="Arial"/>
          <w:color w:val="000000"/>
        </w:rPr>
        <w:t>different</w:t>
      </w:r>
      <w:r w:rsidRPr="009917FF">
        <w:rPr>
          <w:rFonts w:cs="Arial"/>
          <w:color w:val="000000"/>
        </w:rPr>
        <w:t xml:space="preserve"> cultural, community, shopping and entertainment venues across the city.</w:t>
      </w:r>
      <w:r>
        <w:rPr>
          <w:rStyle w:val="FootnoteReference"/>
          <w:rFonts w:cs="Arial"/>
          <w:color w:val="000000"/>
        </w:rPr>
        <w:footnoteReference w:id="243"/>
      </w:r>
      <w:r w:rsidRPr="009917FF">
        <w:rPr>
          <w:rFonts w:cs="Arial"/>
          <w:color w:val="000000"/>
        </w:rPr>
        <w:t xml:space="preserve"> </w:t>
      </w:r>
    </w:p>
    <w:p w14:paraId="63324101" w14:textId="77777777" w:rsidR="0019789C" w:rsidRPr="00E14590" w:rsidRDefault="0019789C" w:rsidP="00E14590">
      <w:pPr>
        <w:rPr>
          <w:lang w:bidi="en-US"/>
        </w:rPr>
      </w:pPr>
    </w:p>
    <w:p w14:paraId="686DA6F6" w14:textId="34A34EDD" w:rsidR="0019789C" w:rsidRDefault="0019789C" w:rsidP="009A74C3">
      <w:pPr>
        <w:pStyle w:val="Heading5"/>
      </w:pPr>
      <w:r w:rsidRPr="002A65B0">
        <w:t>(c) Disabled People</w:t>
      </w:r>
    </w:p>
    <w:p w14:paraId="4F94A43E" w14:textId="111CDA10" w:rsidR="0019789C" w:rsidRDefault="0019789C" w:rsidP="004C178B">
      <w:pPr>
        <w:rPr>
          <w:rFonts w:cs="Arial"/>
          <w:color w:val="000000"/>
        </w:rPr>
      </w:pPr>
      <w:r>
        <w:t>Glasgow</w:t>
      </w:r>
      <w:r w:rsidRPr="002A65B0">
        <w:t xml:space="preserve"> City Council does not have a single comprehensive disability strategy. </w:t>
      </w:r>
      <w:r>
        <w:t>But many of the Equality Outcomes discussed above</w:t>
      </w:r>
      <w:r>
        <w:rPr>
          <w:rStyle w:val="FootnoteReference"/>
        </w:rPr>
        <w:footnoteReference w:id="244"/>
      </w:r>
      <w:r>
        <w:t xml:space="preserve"> are relevant here. </w:t>
      </w:r>
    </w:p>
    <w:p w14:paraId="0B667EC6" w14:textId="77777777" w:rsidR="0019789C" w:rsidRPr="00E14590" w:rsidRDefault="0019789C" w:rsidP="00E14590">
      <w:pPr>
        <w:rPr>
          <w:lang w:bidi="en-US"/>
        </w:rPr>
      </w:pPr>
    </w:p>
    <w:p w14:paraId="5A394620" w14:textId="62442811" w:rsidR="0019789C" w:rsidRPr="004C178B" w:rsidRDefault="0019789C" w:rsidP="004C178B">
      <w:pPr>
        <w:pStyle w:val="Heading5"/>
      </w:pPr>
      <w:r w:rsidRPr="002A65B0">
        <w:t>(d) Older People</w:t>
      </w:r>
    </w:p>
    <w:p w14:paraId="7253BDC6" w14:textId="1157DCFF" w:rsidR="0019789C" w:rsidRPr="00E14590" w:rsidRDefault="0019789C" w:rsidP="001E440E">
      <w:pPr>
        <w:rPr>
          <w:lang w:bidi="en-US"/>
        </w:rPr>
      </w:pPr>
      <w:r>
        <w:rPr>
          <w:rFonts w:cs="Arial"/>
          <w:color w:val="000000"/>
        </w:rPr>
        <w:lastRenderedPageBreak/>
        <w:t>The</w:t>
      </w:r>
      <w:r w:rsidRPr="001E440E">
        <w:t xml:space="preserve"> </w:t>
      </w:r>
      <w:r>
        <w:t>Equality Outcomes discussed above</w:t>
      </w:r>
      <w:r>
        <w:rPr>
          <w:rStyle w:val="FootnoteReference"/>
        </w:rPr>
        <w:footnoteReference w:id="245"/>
      </w:r>
      <w:r>
        <w:t xml:space="preserve"> are also relevant here.</w:t>
      </w:r>
      <w:r>
        <w:rPr>
          <w:rFonts w:cs="Arial"/>
          <w:color w:val="000000"/>
        </w:rPr>
        <w:t xml:space="preserve"> Moreover, like Leeds, </w:t>
      </w:r>
      <w:r>
        <w:rPr>
          <w:lang w:bidi="en-US"/>
        </w:rPr>
        <w:t>Glasgow City Council has signed up to be a WHO ‘Age-Friendly City’.</w:t>
      </w:r>
      <w:r>
        <w:rPr>
          <w:rStyle w:val="FootnoteReference"/>
          <w:lang w:bidi="en-US"/>
        </w:rPr>
        <w:footnoteReference w:id="246"/>
      </w:r>
    </w:p>
    <w:p w14:paraId="3737E7CE" w14:textId="77777777" w:rsidR="0019789C" w:rsidRPr="002A65B0" w:rsidRDefault="0019789C" w:rsidP="00A93519">
      <w:pPr>
        <w:rPr>
          <w:lang w:bidi="en-US"/>
        </w:rPr>
      </w:pPr>
    </w:p>
    <w:p w14:paraId="0206FCBB" w14:textId="2E7AEE97" w:rsidR="0019789C" w:rsidRPr="002A65B0" w:rsidRDefault="0019789C" w:rsidP="00D17AD1">
      <w:pPr>
        <w:pStyle w:val="Heading4"/>
      </w:pPr>
      <w:r w:rsidRPr="002A65B0">
        <w:t>A6.2.2 Transport</w:t>
      </w:r>
    </w:p>
    <w:p w14:paraId="1ADFC9DE" w14:textId="6C4C422D" w:rsidR="0019789C" w:rsidRPr="002A65B0" w:rsidRDefault="0019789C" w:rsidP="00717C6C">
      <w:r w:rsidRPr="002A65B0">
        <w:t>Glasgow City Centre Transport Strategy 2014-2024</w:t>
      </w:r>
      <w:r>
        <w:rPr>
          <w:rStyle w:val="FootnoteReference"/>
        </w:rPr>
        <w:footnoteReference w:id="247"/>
      </w:r>
      <w:r w:rsidRPr="002A65B0">
        <w:t xml:space="preserve"> aims to ensure that ‘Glasgow’s city centre is an attractive and sustainable place for residents, visitors and businesses’.</w:t>
      </w:r>
      <w:r w:rsidRPr="002A65B0">
        <w:rPr>
          <w:rStyle w:val="FootnoteReference"/>
        </w:rPr>
        <w:footnoteReference w:id="248"/>
      </w:r>
      <w:r w:rsidRPr="002A65B0">
        <w:t xml:space="preserve"> It sets out five objectives, two of which are directly related to pedestrian participation and walking. These are:</w:t>
      </w:r>
    </w:p>
    <w:p w14:paraId="0FE723D7" w14:textId="77777777" w:rsidR="0019789C" w:rsidRPr="002A65B0" w:rsidRDefault="0019789C" w:rsidP="00427643">
      <w:pPr>
        <w:pStyle w:val="ListParagraph"/>
        <w:numPr>
          <w:ilvl w:val="0"/>
          <w:numId w:val="16"/>
        </w:numPr>
      </w:pPr>
      <w:r w:rsidRPr="002A65B0">
        <w:t>Objective 1 – improve the health of Glasgow’s citizens by increasing the modal share of trips to/ from and within the city centre by active travel modes (walking, cycling and public transport); and</w:t>
      </w:r>
    </w:p>
    <w:p w14:paraId="324A1F84" w14:textId="023BAA47" w:rsidR="0019789C" w:rsidRPr="002A65B0" w:rsidRDefault="0019789C" w:rsidP="00427643">
      <w:pPr>
        <w:pStyle w:val="ListParagraph"/>
        <w:numPr>
          <w:ilvl w:val="0"/>
          <w:numId w:val="16"/>
        </w:numPr>
      </w:pPr>
      <w:r w:rsidRPr="002A65B0">
        <w:t>Objective 3 – enhance the quality of main pedestrian spaces, key development areas and main access routes.</w:t>
      </w:r>
      <w:r w:rsidRPr="002A65B0">
        <w:rPr>
          <w:rStyle w:val="FootnoteReference"/>
        </w:rPr>
        <w:footnoteReference w:id="249"/>
      </w:r>
      <w:r w:rsidRPr="002A65B0">
        <w:t xml:space="preserve"> </w:t>
      </w:r>
    </w:p>
    <w:p w14:paraId="60A7CC5D" w14:textId="77777777" w:rsidR="0019789C" w:rsidRPr="002A65B0" w:rsidRDefault="0019789C" w:rsidP="00717C6C"/>
    <w:p w14:paraId="3094CCEF" w14:textId="58A622E6" w:rsidR="0019789C" w:rsidRPr="002A65B0" w:rsidRDefault="0019789C" w:rsidP="00F92988">
      <w:pPr>
        <w:ind w:firstLine="0"/>
      </w:pPr>
      <w:r w:rsidRPr="002A65B0">
        <w:t>This Strategy emphasises that pedestrian infrastructure improvements must include the needs of pedestrians with mobility impairments through the provision, for example, of wider footways, dropped kerbs at every junction and raised road level. A commitment is also made to reviewing, and where necessary increasing, the time granted</w:t>
      </w:r>
      <w:r>
        <w:t xml:space="preserve"> </w:t>
      </w:r>
      <w:r w:rsidRPr="002A65B0">
        <w:t>to pedestrians for crossing roads at controlled crossings.</w:t>
      </w:r>
      <w:r w:rsidRPr="002A65B0">
        <w:rPr>
          <w:rStyle w:val="FootnoteReference"/>
        </w:rPr>
        <w:t>;</w:t>
      </w:r>
      <w:r w:rsidRPr="002A65B0">
        <w:t xml:space="preserve"> and</w:t>
      </w:r>
      <w:r>
        <w:t xml:space="preserve"> </w:t>
      </w:r>
      <w:r w:rsidRPr="002A65B0">
        <w:t>to adapt more crossings for pedestrians with vision impairments. The needs of disabled pedestrians and those who fall under other categories of vulnerable groups are regarded as ‘paramount’.</w:t>
      </w:r>
      <w:r w:rsidRPr="002A65B0">
        <w:rPr>
          <w:rStyle w:val="FootnoteReference"/>
        </w:rPr>
        <w:footnoteReference w:id="250"/>
      </w:r>
      <w:r w:rsidRPr="002A65B0">
        <w:t xml:space="preserve"> </w:t>
      </w:r>
    </w:p>
    <w:p w14:paraId="37CB173E" w14:textId="77777777" w:rsidR="0019789C" w:rsidRPr="002A65B0" w:rsidRDefault="0019789C" w:rsidP="005E11FC"/>
    <w:p w14:paraId="49B0E47B" w14:textId="5343F618" w:rsidR="0019789C" w:rsidRDefault="0019789C" w:rsidP="0086533C">
      <w:r>
        <w:t>Glasgow City Council has the use of Traffic Regulation Orders at its disposal to make city streets safer and more accessible. For example, the council has introduced an experimental TRO 'School Car Free Zones' around a number of primary schools.</w:t>
      </w:r>
      <w:r>
        <w:rPr>
          <w:rStyle w:val="FootnoteReference"/>
        </w:rPr>
        <w:footnoteReference w:id="251"/>
      </w:r>
      <w:r>
        <w:t xml:space="preserve"> The </w:t>
      </w:r>
      <w:r>
        <w:lastRenderedPageBreak/>
        <w:t>project aims to limit traffic in the streets surrounding schools at key times, in order to create a safer, more pleasant environment for everyone around schools.</w:t>
      </w:r>
      <w:r>
        <w:rPr>
          <w:rStyle w:val="FootnoteReference"/>
        </w:rPr>
        <w:footnoteReference w:id="252"/>
      </w:r>
      <w:r>
        <w:t xml:space="preserve"> </w:t>
      </w:r>
    </w:p>
    <w:p w14:paraId="04A8F7D7" w14:textId="61389545" w:rsidR="0019789C" w:rsidRDefault="0019789C" w:rsidP="002F6368"/>
    <w:p w14:paraId="7A61EE3D" w14:textId="65D0C6C1" w:rsidR="0019789C" w:rsidRDefault="0019789C" w:rsidP="006645F3">
      <w:pPr>
        <w:rPr>
          <w:lang w:val="en-US" w:eastAsia="en-US"/>
        </w:rPr>
      </w:pPr>
      <w:r>
        <w:t>The</w:t>
      </w:r>
      <w:r>
        <w:rPr>
          <w:lang w:val="en-US" w:eastAsia="en-US"/>
        </w:rPr>
        <w:t xml:space="preserve"> </w:t>
      </w:r>
      <w:r w:rsidRPr="00B50A6D">
        <w:rPr>
          <w:lang w:val="en-US" w:eastAsia="en-US"/>
        </w:rPr>
        <w:t>Go</w:t>
      </w:r>
      <w:r>
        <w:rPr>
          <w:lang w:val="en-US" w:eastAsia="en-US"/>
        </w:rPr>
        <w:t xml:space="preserve"> </w:t>
      </w:r>
      <w:r w:rsidRPr="00B50A6D">
        <w:rPr>
          <w:lang w:val="en-US" w:eastAsia="en-US"/>
        </w:rPr>
        <w:t>Safe</w:t>
      </w:r>
      <w:r>
        <w:rPr>
          <w:lang w:val="en-US" w:eastAsia="en-US"/>
        </w:rPr>
        <w:t xml:space="preserve"> </w:t>
      </w:r>
      <w:r w:rsidRPr="00B50A6D">
        <w:rPr>
          <w:lang w:val="en-US" w:eastAsia="en-US"/>
        </w:rPr>
        <w:t>Glasgow</w:t>
      </w:r>
      <w:r>
        <w:rPr>
          <w:lang w:val="en-US" w:eastAsia="en-US"/>
        </w:rPr>
        <w:t xml:space="preserve"> </w:t>
      </w:r>
      <w:r w:rsidRPr="00B50A6D">
        <w:rPr>
          <w:lang w:val="en-US" w:eastAsia="en-US"/>
        </w:rPr>
        <w:t xml:space="preserve">Road Safety Partnership </w:t>
      </w:r>
      <w:r>
        <w:rPr>
          <w:lang w:val="en-US" w:eastAsia="en-US"/>
        </w:rPr>
        <w:t>aims ‘to</w:t>
      </w:r>
      <w:r w:rsidRPr="00B50A6D">
        <w:rPr>
          <w:lang w:val="en-US" w:eastAsia="en-US"/>
        </w:rPr>
        <w:t xml:space="preserve"> reduce casualties on Glasgow’s Roads and to make our communities safer for all</w:t>
      </w:r>
      <w:r>
        <w:rPr>
          <w:lang w:val="en-US" w:eastAsia="en-US"/>
        </w:rPr>
        <w:t>’.</w:t>
      </w:r>
      <w:r w:rsidRPr="00B50A6D">
        <w:rPr>
          <w:lang w:val="en-US" w:eastAsia="en-US"/>
        </w:rPr>
        <w:t xml:space="preserve"> </w:t>
      </w:r>
      <w:r>
        <w:rPr>
          <w:lang w:val="en-US" w:eastAsia="en-US"/>
        </w:rPr>
        <w:t>It is</w:t>
      </w:r>
      <w:r w:rsidRPr="008E6792">
        <w:rPr>
          <w:lang w:val="en-US" w:eastAsia="en-US"/>
        </w:rPr>
        <w:t xml:space="preserve"> led by Glasgow City Council’s Traffic and Road Safety Development Section </w:t>
      </w:r>
      <w:r>
        <w:rPr>
          <w:lang w:val="en-US" w:eastAsia="en-US"/>
        </w:rPr>
        <w:t xml:space="preserve">and </w:t>
      </w:r>
      <w:r w:rsidRPr="00B50A6D">
        <w:rPr>
          <w:lang w:val="en-US" w:eastAsia="en-US"/>
        </w:rPr>
        <w:t>brings together representatives from Glasgow City Council, Police Scotland, Scottish Fire and Rescue, NHS Greater Glasgow and Clyde and Glasgow Community and Safety Services.</w:t>
      </w:r>
      <w:r>
        <w:rPr>
          <w:rStyle w:val="FootnoteReference"/>
          <w:lang w:val="en-US" w:eastAsia="en-US"/>
        </w:rPr>
        <w:footnoteReference w:id="253"/>
      </w:r>
      <w:r w:rsidRPr="00B50A6D">
        <w:rPr>
          <w:lang w:val="en-US" w:eastAsia="en-US"/>
        </w:rPr>
        <w:t xml:space="preserve"> </w:t>
      </w:r>
      <w:r>
        <w:rPr>
          <w:lang w:val="en-US" w:eastAsia="en-US"/>
        </w:rPr>
        <w:t xml:space="preserve">Starting in 2016, the group has promoted the ‘Think Before Your Step Out’ pedestrian campaign aimed at </w:t>
      </w:r>
      <w:r w:rsidRPr="008E6792">
        <w:rPr>
          <w:lang w:val="en-US" w:eastAsia="en-US"/>
        </w:rPr>
        <w:t xml:space="preserve">safer road use </w:t>
      </w:r>
      <w:r>
        <w:rPr>
          <w:lang w:val="en-US" w:eastAsia="en-US"/>
        </w:rPr>
        <w:t>by</w:t>
      </w:r>
      <w:r w:rsidRPr="008E6792">
        <w:rPr>
          <w:lang w:val="en-US" w:eastAsia="en-US"/>
        </w:rPr>
        <w:t xml:space="preserve"> pedestrians and drivers</w:t>
      </w:r>
      <w:r>
        <w:rPr>
          <w:lang w:val="en-US" w:eastAsia="en-US"/>
        </w:rPr>
        <w:t>.</w:t>
      </w:r>
      <w:bookmarkStart w:id="34" w:name="_Ref93672778"/>
      <w:r>
        <w:rPr>
          <w:rStyle w:val="FootnoteReference"/>
          <w:lang w:val="en-US" w:eastAsia="en-US"/>
        </w:rPr>
        <w:footnoteReference w:id="254"/>
      </w:r>
      <w:bookmarkEnd w:id="34"/>
      <w:r>
        <w:rPr>
          <w:lang w:val="en-US" w:eastAsia="en-US"/>
        </w:rPr>
        <w:t xml:space="preserve"> </w:t>
      </w:r>
      <w:r>
        <w:t xml:space="preserve">The </w:t>
      </w:r>
      <w:r w:rsidRPr="00B50A6D">
        <w:rPr>
          <w:lang w:val="en-US" w:eastAsia="en-US"/>
        </w:rPr>
        <w:t>Go</w:t>
      </w:r>
      <w:r>
        <w:rPr>
          <w:lang w:val="en-US" w:eastAsia="en-US"/>
        </w:rPr>
        <w:t xml:space="preserve"> </w:t>
      </w:r>
      <w:r w:rsidRPr="00B50A6D">
        <w:rPr>
          <w:lang w:val="en-US" w:eastAsia="en-US"/>
        </w:rPr>
        <w:t>Safe</w:t>
      </w:r>
      <w:r>
        <w:rPr>
          <w:lang w:val="en-US" w:eastAsia="en-US"/>
        </w:rPr>
        <w:t xml:space="preserve"> </w:t>
      </w:r>
      <w:r w:rsidRPr="00B50A6D">
        <w:rPr>
          <w:lang w:val="en-US" w:eastAsia="en-US"/>
        </w:rPr>
        <w:t>Glasgow</w:t>
      </w:r>
      <w:r>
        <w:rPr>
          <w:lang w:val="en-US" w:eastAsia="en-US"/>
        </w:rPr>
        <w:t xml:space="preserve"> partnership also</w:t>
      </w:r>
      <w:r>
        <w:t xml:space="preserve"> promotes the ‘See Our Seniors’ initiative, which was included in Glasgow City Council’s Traffic and Road Safety Plan 2020.</w:t>
      </w:r>
      <w:bookmarkStart w:id="35" w:name="_Ref93672788"/>
      <w:r>
        <w:rPr>
          <w:rStyle w:val="FootnoteReference"/>
        </w:rPr>
        <w:footnoteReference w:id="255"/>
      </w:r>
      <w:bookmarkEnd w:id="35"/>
      <w:r>
        <w:t xml:space="preserve"> It was first proposed in 2010 to tackle the issue of older pedestrian casualties.</w:t>
      </w:r>
      <w:r>
        <w:rPr>
          <w:rStyle w:val="FootnoteReference"/>
        </w:rPr>
        <w:footnoteReference w:id="256"/>
      </w:r>
      <w:r>
        <w:t xml:space="preserve"> Annual campaigns</w:t>
      </w:r>
      <w:r w:rsidRPr="0086533C">
        <w:t xml:space="preserve"> </w:t>
      </w:r>
      <w:r>
        <w:t xml:space="preserve">have focused on areas with a previous history of casualties and where demographics indicated a higher concentration of older residents, </w:t>
      </w:r>
      <w:r w:rsidRPr="006645F3">
        <w:t>remind</w:t>
      </w:r>
      <w:r>
        <w:t>ing</w:t>
      </w:r>
      <w:r w:rsidRPr="006645F3">
        <w:t xml:space="preserve"> pedestrians to use safe crossing facilities.</w:t>
      </w:r>
      <w:r>
        <w:t xml:space="preserve"> It also addresses the behaviour of </w:t>
      </w:r>
      <w:r w:rsidRPr="00D96F72">
        <w:t xml:space="preserve">drivers </w:t>
      </w:r>
      <w:r>
        <w:t xml:space="preserve">– encouraging them </w:t>
      </w:r>
      <w:r w:rsidRPr="00D96F72">
        <w:t xml:space="preserve">to slow down and be more respectful and courteous towards </w:t>
      </w:r>
      <w:r>
        <w:t>older pedestrians</w:t>
      </w:r>
      <w:r w:rsidRPr="00D96F72">
        <w:t>.</w:t>
      </w:r>
      <w:r>
        <w:rPr>
          <w:rStyle w:val="FootnoteReference"/>
        </w:rPr>
        <w:footnoteReference w:id="257"/>
      </w:r>
      <w:r>
        <w:t xml:space="preserve"> Moving forward, the council aims to improve the annual older pedestrian campaign and develop a new inter-generational resource for 10,000 school children to take home and engage with their older relatives on the subject of road safety.</w:t>
      </w:r>
      <w:r>
        <w:rPr>
          <w:rStyle w:val="FootnoteReference"/>
        </w:rPr>
        <w:footnoteReference w:id="258"/>
      </w:r>
    </w:p>
    <w:p w14:paraId="1ABE79D1" w14:textId="77777777" w:rsidR="0019789C" w:rsidRPr="006645F3" w:rsidRDefault="0019789C" w:rsidP="006645F3">
      <w:pPr>
        <w:rPr>
          <w:lang w:val="en-US" w:eastAsia="en-US"/>
        </w:rPr>
      </w:pPr>
    </w:p>
    <w:p w14:paraId="3D21F91D" w14:textId="6284E5E6" w:rsidR="0019789C" w:rsidRPr="002A65B0" w:rsidRDefault="0019789C" w:rsidP="00A275B5">
      <w:pPr>
        <w:pStyle w:val="Heading4"/>
      </w:pPr>
      <w:r w:rsidRPr="002A65B0">
        <w:t>A6.2.3 Planning</w:t>
      </w:r>
    </w:p>
    <w:p w14:paraId="7A9ED5A8" w14:textId="77777777" w:rsidR="0019789C" w:rsidRPr="002A65B0" w:rsidRDefault="0019789C" w:rsidP="00B50A6D">
      <w:r w:rsidRPr="002A65B0">
        <w:lastRenderedPageBreak/>
        <w:t>The Glasgow City Council Strategic Plan 2017-2022</w:t>
      </w:r>
      <w:r>
        <w:rPr>
          <w:rStyle w:val="FootnoteReference"/>
        </w:rPr>
        <w:footnoteReference w:id="259"/>
      </w:r>
      <w:r w:rsidRPr="002A65B0">
        <w:t xml:space="preserve"> positions citizens’ use of active traveling, including walking and cycling, as one of the means of becoming a sustainable and low carbon city. It calls for investment in roads and pavement maintenance and the overall improvement of active travel networks.</w:t>
      </w:r>
      <w:r w:rsidRPr="002A65B0">
        <w:rPr>
          <w:rStyle w:val="FootnoteReference"/>
        </w:rPr>
        <w:footnoteReference w:id="260"/>
      </w:r>
      <w:r w:rsidRPr="002A65B0">
        <w:t xml:space="preserve"> Glasgow City Centre Strategy and Action Plan 2014-2019 addresses improvement of walking infrastructure, in particular through introduction of wider pavements and shared surfaces, as one of the means to improve connectivity in and around the city centre.</w:t>
      </w:r>
      <w:r w:rsidRPr="002A65B0">
        <w:rPr>
          <w:rStyle w:val="FootnoteReference"/>
        </w:rPr>
        <w:footnoteReference w:id="261"/>
      </w:r>
      <w:r w:rsidRPr="002A65B0">
        <w:t xml:space="preserve"> The document does not directly address the need to ensure that these developments are accessible to and usable by disabled people, older people or parents of young children. It only acknowledges the importance of provisions for vulnerable populations in relation to ensuring safety and the prevalence of anti-social behaviour.</w:t>
      </w:r>
      <w:r w:rsidRPr="002A65B0">
        <w:rPr>
          <w:rStyle w:val="FootnoteReference"/>
        </w:rPr>
        <w:footnoteReference w:id="262"/>
      </w:r>
      <w:r w:rsidRPr="002A65B0">
        <w:t xml:space="preserve"> A similar approach is taken in the consultative draft of the Glasgow Open Space Strategy (2018), which also promotes walking and active travel for the population generally (without focusing specifically on the needs of people with reduced mobility).</w:t>
      </w:r>
      <w:r w:rsidRPr="002A65B0">
        <w:rPr>
          <w:rStyle w:val="FootnoteReference"/>
        </w:rPr>
        <w:footnoteReference w:id="263"/>
      </w:r>
      <w:r w:rsidRPr="002A65B0">
        <w:t xml:space="preserve"> </w:t>
      </w:r>
    </w:p>
    <w:p w14:paraId="3A77859E" w14:textId="77777777" w:rsidR="0019789C" w:rsidRDefault="0019789C" w:rsidP="00B50A6D">
      <w:pPr>
        <w:ind w:firstLine="0"/>
      </w:pPr>
    </w:p>
    <w:p w14:paraId="51155E25" w14:textId="77777777" w:rsidR="0019789C" w:rsidRDefault="0019789C" w:rsidP="002F6368">
      <w:r w:rsidRPr="00A275B5">
        <w:t>Glasgow's City Development Plan</w:t>
      </w:r>
      <w:r>
        <w:rPr>
          <w:rStyle w:val="FootnoteReference"/>
        </w:rPr>
        <w:footnoteReference w:id="264"/>
      </w:r>
      <w:r w:rsidRPr="00A275B5">
        <w:t xml:space="preserve"> was adopted in March 2017</w:t>
      </w:r>
      <w:r>
        <w:t xml:space="preserve">. It sets </w:t>
      </w:r>
      <w:r w:rsidRPr="00A275B5">
        <w:t>out the Council's vision and strategy for land use.</w:t>
      </w:r>
      <w:r>
        <w:t xml:space="preserve"> In particular, CDP 11 on Sustainable Transport promotes active travel; the development and design of new walking routes; and reconfiguring the local road network around certain junctions since fewer vehicles on Glasgow city streets can ‘help address physical and perceptual barriers and create a safer environment in which to walk and cycle.’</w:t>
      </w:r>
      <w:r>
        <w:rPr>
          <w:rStyle w:val="FootnoteReference"/>
        </w:rPr>
        <w:footnoteReference w:id="265"/>
      </w:r>
      <w:r>
        <w:t xml:space="preserve"> The related Core Paths Plan aims to ensure that important paths and routes are recorded and promoted, helping to achieve a ‘connected Glasgow’ where people can move easily around the path network on foot or any other non-motorised means.</w:t>
      </w:r>
      <w:r>
        <w:rPr>
          <w:rStyle w:val="FootnoteReference"/>
        </w:rPr>
        <w:footnoteReference w:id="266"/>
      </w:r>
      <w:r>
        <w:t xml:space="preserve"> Everyone using core paths must follow the </w:t>
      </w:r>
      <w:r>
        <w:lastRenderedPageBreak/>
        <w:t>Scottish Outdoor Access Code and behave responsibly by 'respecting the interests of other people; caring for the environment; and taking responsibility for their own actions'.</w:t>
      </w:r>
      <w:r>
        <w:rPr>
          <w:rStyle w:val="FootnoteReference"/>
        </w:rPr>
        <w:footnoteReference w:id="267"/>
      </w:r>
      <w:r>
        <w:t xml:space="preserve"> The Plan is complemented by </w:t>
      </w:r>
      <w:r w:rsidRPr="003E4672">
        <w:t>core paths maps and route descriptions.</w:t>
      </w:r>
    </w:p>
    <w:p w14:paraId="00E54651" w14:textId="77777777" w:rsidR="0019789C" w:rsidRDefault="0019789C" w:rsidP="00F21F37"/>
    <w:p w14:paraId="0737AA17" w14:textId="3ED80930" w:rsidR="0019789C" w:rsidRPr="002A65B0" w:rsidRDefault="0019789C" w:rsidP="00F21F37">
      <w:r w:rsidRPr="002A65B0">
        <w:t>The Design Guide for New Residential Areas (2013)</w:t>
      </w:r>
      <w:r>
        <w:rPr>
          <w:rStyle w:val="FootnoteReference"/>
        </w:rPr>
        <w:footnoteReference w:id="268"/>
      </w:r>
      <w:r w:rsidRPr="002A65B0">
        <w:t xml:space="preserve"> seeks to assist the city in delivering better designed new residential areas. It builds on and interprets the guidance set out in </w:t>
      </w:r>
      <w:r>
        <w:t>‘</w:t>
      </w:r>
      <w:r w:rsidRPr="002A65B0">
        <w:t>Designing Streets</w:t>
      </w:r>
      <w:r>
        <w:t>’</w:t>
      </w:r>
      <w:r w:rsidRPr="002A65B0">
        <w:t xml:space="preserve"> and draws together the Council’s key planning and road design requirements in an attempt to deliver high quality neighbourhoods.</w:t>
      </w:r>
      <w:r w:rsidRPr="002A65B0">
        <w:rPr>
          <w:rStyle w:val="FootnoteReference"/>
        </w:rPr>
        <w:footnoteReference w:id="269"/>
      </w:r>
      <w:r w:rsidRPr="002A65B0">
        <w:t xml:space="preserve"> With regards to walking, the document </w:t>
      </w:r>
      <w:r>
        <w:t>places</w:t>
      </w:r>
      <w:r w:rsidRPr="002A65B0">
        <w:t xml:space="preserve"> an emphasis on pedestrians’ priority over any transport means in new residential developments. An overall narrative is framed </w:t>
      </w:r>
      <w:r>
        <w:t>using</w:t>
      </w:r>
      <w:r w:rsidRPr="002A65B0">
        <w:t xml:space="preserve"> concepts of convenience, safety, security and pleasantness whic</w:t>
      </w:r>
      <w:r>
        <w:t>h, it is stressed,</w:t>
      </w:r>
      <w:r w:rsidRPr="002A65B0">
        <w:t xml:space="preserve"> should be considered in the early stages of design. </w:t>
      </w:r>
    </w:p>
    <w:p w14:paraId="41644153" w14:textId="77777777" w:rsidR="0019789C" w:rsidRPr="002A65B0" w:rsidRDefault="0019789C" w:rsidP="00F21F37"/>
    <w:p w14:paraId="4AE3DE57" w14:textId="73778976" w:rsidR="0019789C" w:rsidRDefault="0019789C" w:rsidP="00A275B5">
      <w:r w:rsidRPr="002A65B0">
        <w:t>The Guide dedicates great attention to accommodation of disabled pedestrians’ needs. It addresses aspects such as width of footways and paths, flat surface rout</w:t>
      </w:r>
      <w:r>
        <w:t>e</w:t>
      </w:r>
      <w:r w:rsidRPr="002A65B0">
        <w:t>s, tactile paving at all controlled crossing points, provision of junctions with a buff coloured tactile paving, degree of gradients, provision of dropped curbs, as well a</w:t>
      </w:r>
      <w:r>
        <w:t>s discouraging</w:t>
      </w:r>
      <w:r w:rsidRPr="002A65B0">
        <w:t xml:space="preserve"> </w:t>
      </w:r>
      <w:r>
        <w:t xml:space="preserve">the use of </w:t>
      </w:r>
      <w:r w:rsidRPr="002A65B0">
        <w:t>underpasses and bridges as a means to separate pedestrian routes from traffic.</w:t>
      </w:r>
      <w:r w:rsidRPr="002A65B0">
        <w:rPr>
          <w:rStyle w:val="FootnoteReference"/>
        </w:rPr>
        <w:footnoteReference w:id="270"/>
      </w:r>
      <w:r w:rsidRPr="002A65B0">
        <w:t xml:space="preserve"> </w:t>
      </w:r>
      <w:r>
        <w:t>It</w:t>
      </w:r>
      <w:r w:rsidRPr="002A65B0">
        <w:t xml:space="preserve"> also </w:t>
      </w:r>
      <w:r>
        <w:t xml:space="preserve">requires that </w:t>
      </w:r>
      <w:r w:rsidRPr="002A65B0">
        <w:t>‘the varied needs of the pedestrian users of the environment’</w:t>
      </w:r>
      <w:r>
        <w:t xml:space="preserve"> are taken into account when choosing materials</w:t>
      </w:r>
      <w:r w:rsidRPr="002A65B0">
        <w:rPr>
          <w:rStyle w:val="FootnoteReference"/>
        </w:rPr>
        <w:footnoteReference w:id="271"/>
      </w:r>
      <w:r>
        <w:t xml:space="preserve"> to be used in constructing street environments – with specific attention being directed to the </w:t>
      </w:r>
      <w:r w:rsidRPr="002A65B0">
        <w:t>needs of people with vision and mobility impairments.</w:t>
      </w:r>
      <w:r w:rsidRPr="002A65B0">
        <w:rPr>
          <w:rStyle w:val="FootnoteReference"/>
        </w:rPr>
        <w:footnoteReference w:id="272"/>
      </w:r>
      <w:r w:rsidRPr="002A65B0">
        <w:t xml:space="preserve"> </w:t>
      </w:r>
    </w:p>
    <w:p w14:paraId="5EE47D1B" w14:textId="77777777" w:rsidR="0019789C" w:rsidRDefault="0019789C" w:rsidP="001C0CE2">
      <w:pPr>
        <w:ind w:firstLine="0"/>
      </w:pPr>
    </w:p>
    <w:p w14:paraId="4A46204B" w14:textId="40F5EF97" w:rsidR="0019789C" w:rsidRPr="002A65B0" w:rsidRDefault="0019789C" w:rsidP="006673DC">
      <w:pPr>
        <w:pStyle w:val="Heading4"/>
      </w:pPr>
      <w:r w:rsidRPr="002A65B0">
        <w:t>A6.2.4 Structures for Stakeholder Engagement</w:t>
      </w:r>
    </w:p>
    <w:p w14:paraId="162B44D9" w14:textId="28A91464" w:rsidR="0019789C" w:rsidRDefault="0019789C" w:rsidP="001C0CE2">
      <w:pPr>
        <w:rPr>
          <w:lang w:bidi="en-US"/>
        </w:rPr>
      </w:pPr>
      <w:r>
        <w:rPr>
          <w:lang w:bidi="en-US"/>
        </w:rPr>
        <w:t>The Glasgow Disability Alliance is comprised of</w:t>
      </w:r>
      <w:r w:rsidRPr="00D96F72">
        <w:rPr>
          <w:lang w:bidi="en-US"/>
        </w:rPr>
        <w:t xml:space="preserve"> disabled people and disabled people</w:t>
      </w:r>
      <w:r>
        <w:rPr>
          <w:lang w:bidi="en-US"/>
        </w:rPr>
        <w:t>-</w:t>
      </w:r>
      <w:r w:rsidRPr="00D96F72">
        <w:rPr>
          <w:lang w:bidi="en-US"/>
        </w:rPr>
        <w:t xml:space="preserve">led organisations including Glasgow Access Panel, Glasgow Centre for Inclusive Living, Headway Glasgow, Mental Health Network Greater Glasgow, </w:t>
      </w:r>
      <w:r>
        <w:rPr>
          <w:lang w:bidi="en-US"/>
        </w:rPr>
        <w:t xml:space="preserve">and </w:t>
      </w:r>
      <w:r w:rsidRPr="00D96F72">
        <w:rPr>
          <w:lang w:bidi="en-US"/>
        </w:rPr>
        <w:t>People First Glasgow</w:t>
      </w:r>
      <w:r>
        <w:rPr>
          <w:lang w:bidi="en-US"/>
        </w:rPr>
        <w:t xml:space="preserve">. </w:t>
      </w:r>
      <w:r>
        <w:rPr>
          <w:lang w:bidi="en-US"/>
        </w:rPr>
        <w:lastRenderedPageBreak/>
        <w:t>The Alliance works to make</w:t>
      </w:r>
      <w:r w:rsidRPr="001C0CE2">
        <w:rPr>
          <w:lang w:bidi="en-US"/>
        </w:rPr>
        <w:t xml:space="preserve"> sure</w:t>
      </w:r>
      <w:r>
        <w:rPr>
          <w:lang w:bidi="en-US"/>
        </w:rPr>
        <w:t xml:space="preserve"> that</w:t>
      </w:r>
      <w:r w:rsidRPr="001C0CE2">
        <w:rPr>
          <w:lang w:bidi="en-US"/>
        </w:rPr>
        <w:t xml:space="preserve"> disabled people's voices and expertise are </w:t>
      </w:r>
      <w:r>
        <w:rPr>
          <w:lang w:bidi="en-US"/>
        </w:rPr>
        <w:t>involved in addressing barriers</w:t>
      </w:r>
      <w:r w:rsidRPr="001C0CE2">
        <w:rPr>
          <w:lang w:bidi="en-US"/>
        </w:rPr>
        <w:t>, and working with partner agencies to plan solutions.</w:t>
      </w:r>
      <w:r>
        <w:rPr>
          <w:rStyle w:val="FootnoteReference"/>
          <w:lang w:bidi="en-US"/>
        </w:rPr>
        <w:footnoteReference w:id="273"/>
      </w:r>
    </w:p>
    <w:p w14:paraId="797FFFDD" w14:textId="3E87C2B0" w:rsidR="0019789C" w:rsidRDefault="0019789C" w:rsidP="001C0CE2">
      <w:pPr>
        <w:rPr>
          <w:lang w:bidi="en-US"/>
        </w:rPr>
      </w:pPr>
    </w:p>
    <w:p w14:paraId="704728FD" w14:textId="61EFF416" w:rsidR="0019789C" w:rsidRDefault="0019789C" w:rsidP="001C0CE2">
      <w:pPr>
        <w:rPr>
          <w:rFonts w:eastAsia="Times New Roman"/>
          <w:lang w:val="en-US" w:eastAsia="en-US"/>
        </w:rPr>
      </w:pPr>
      <w:r>
        <w:rPr>
          <w:lang w:bidi="en-US"/>
        </w:rPr>
        <w:t xml:space="preserve">The </w:t>
      </w:r>
      <w:r>
        <w:t>Glasgow Access Panel (GAP)</w:t>
      </w:r>
      <w:r w:rsidRPr="001C0CE2">
        <w:rPr>
          <w:shd w:val="clear" w:color="auto" w:fill="FEFEFE"/>
        </w:rPr>
        <w:t xml:space="preserve"> </w:t>
      </w:r>
      <w:r>
        <w:rPr>
          <w:rFonts w:eastAsia="Times New Roman"/>
          <w:shd w:val="clear" w:color="auto" w:fill="FEFEFE"/>
          <w:lang w:val="en-US" w:eastAsia="en-US"/>
        </w:rPr>
        <w:t>aims</w:t>
      </w:r>
      <w:r w:rsidRPr="001C0CE2">
        <w:rPr>
          <w:rFonts w:eastAsia="Times New Roman"/>
          <w:shd w:val="clear" w:color="auto" w:fill="FEFEFE"/>
          <w:lang w:val="en-US" w:eastAsia="en-US"/>
        </w:rPr>
        <w:t xml:space="preserve"> to improve the accessibility of services, buildings, facilities and information across Glasgow for all disabled people.</w:t>
      </w:r>
      <w:r>
        <w:rPr>
          <w:rFonts w:eastAsia="Times New Roman"/>
          <w:shd w:val="clear" w:color="auto" w:fill="FEFEFE"/>
          <w:lang w:val="en-US" w:eastAsia="en-US"/>
        </w:rPr>
        <w:t xml:space="preserve"> The GLA works with</w:t>
      </w:r>
      <w:r w:rsidRPr="001C0CE2">
        <w:rPr>
          <w:rFonts w:eastAsia="Times New Roman"/>
          <w:lang w:val="en-US" w:eastAsia="en-US"/>
        </w:rPr>
        <w:t xml:space="preserve"> Glasgow City Council and transport providers to ensure that major service providers consider access from the beginning of developing or improving one of their buildings or services.</w:t>
      </w:r>
      <w:r>
        <w:rPr>
          <w:rFonts w:eastAsia="Times New Roman"/>
          <w:lang w:val="en-US" w:eastAsia="en-US"/>
        </w:rPr>
        <w:t xml:space="preserve"> They also promote </w:t>
      </w:r>
      <w:r w:rsidRPr="001C0CE2">
        <w:rPr>
          <w:rFonts w:eastAsia="Times New Roman"/>
          <w:lang w:val="en-US" w:eastAsia="en-US"/>
        </w:rPr>
        <w:t>awareness</w:t>
      </w:r>
      <w:r>
        <w:rPr>
          <w:rFonts w:eastAsia="Times New Roman"/>
          <w:lang w:val="en-US" w:eastAsia="en-US"/>
        </w:rPr>
        <w:t>-</w:t>
      </w:r>
      <w:r w:rsidRPr="001C0CE2">
        <w:rPr>
          <w:rFonts w:eastAsia="Times New Roman"/>
          <w:lang w:val="en-US" w:eastAsia="en-US"/>
        </w:rPr>
        <w:t>raising in the public at large about the need for inclusive access.</w:t>
      </w:r>
      <w:r>
        <w:rPr>
          <w:rStyle w:val="FootnoteReference"/>
          <w:rFonts w:eastAsia="Times New Roman"/>
          <w:lang w:val="en-US" w:eastAsia="en-US"/>
        </w:rPr>
        <w:footnoteReference w:id="274"/>
      </w:r>
    </w:p>
    <w:p w14:paraId="4D73E0E9" w14:textId="77777777" w:rsidR="0019789C" w:rsidRPr="001C0CE2" w:rsidRDefault="0019789C" w:rsidP="001C0CE2">
      <w:pPr>
        <w:rPr>
          <w:rFonts w:eastAsia="Times New Roman"/>
          <w:lang w:val="en-US" w:eastAsia="en-US"/>
        </w:rPr>
      </w:pPr>
    </w:p>
    <w:p w14:paraId="36629694" w14:textId="0BBC59B1" w:rsidR="0019789C" w:rsidRPr="001C0CE2" w:rsidRDefault="0019789C" w:rsidP="001C0CE2">
      <w:pPr>
        <w:rPr>
          <w:rFonts w:eastAsia="Times New Roman"/>
          <w:lang w:eastAsia="en-US"/>
        </w:rPr>
      </w:pPr>
      <w:r>
        <w:rPr>
          <w:rFonts w:eastAsia="Times New Roman"/>
          <w:lang w:eastAsia="en-US"/>
        </w:rPr>
        <w:t>O</w:t>
      </w:r>
      <w:r w:rsidRPr="001C0CE2">
        <w:rPr>
          <w:rFonts w:eastAsia="Times New Roman"/>
          <w:lang w:eastAsia="en-US"/>
        </w:rPr>
        <w:t>utside the Box</w:t>
      </w:r>
      <w:r>
        <w:rPr>
          <w:rFonts w:eastAsia="Times New Roman"/>
          <w:lang w:eastAsia="en-US"/>
        </w:rPr>
        <w:t xml:space="preserve"> is a Glasgow-based organisation, but operates across the whole of Scotland. It</w:t>
      </w:r>
      <w:r w:rsidRPr="001C0CE2">
        <w:rPr>
          <w:rFonts w:eastAsia="Times New Roman"/>
          <w:lang w:eastAsia="en-US"/>
        </w:rPr>
        <w:t xml:space="preserve"> provides development support to groups and people across Scotland who want to make a difference in their communities.</w:t>
      </w:r>
      <w:r>
        <w:rPr>
          <w:rStyle w:val="FootnoteReference"/>
          <w:rFonts w:eastAsia="Times New Roman"/>
          <w:lang w:eastAsia="en-US"/>
        </w:rPr>
        <w:footnoteReference w:id="275"/>
      </w:r>
      <w:r>
        <w:rPr>
          <w:rFonts w:eastAsia="Times New Roman"/>
          <w:lang w:eastAsia="en-US"/>
        </w:rPr>
        <w:t xml:space="preserve"> In particular, the ‘L</w:t>
      </w:r>
      <w:r w:rsidRPr="001C0CE2">
        <w:rPr>
          <w:rFonts w:eastAsia="Times New Roman"/>
          <w:lang w:eastAsia="en-US"/>
        </w:rPr>
        <w:t>ocal People Linking</w:t>
      </w:r>
      <w:r>
        <w:rPr>
          <w:rFonts w:eastAsia="Times New Roman"/>
          <w:lang w:eastAsia="en-US"/>
        </w:rPr>
        <w:t xml:space="preserve">’ initiative supports </w:t>
      </w:r>
      <w:r w:rsidRPr="001C0CE2">
        <w:rPr>
          <w:rFonts w:eastAsia="Times New Roman"/>
          <w:lang w:eastAsia="en-US"/>
        </w:rPr>
        <w:t>older people as they develop and share information that is accessible on activities and services happening in their area.</w:t>
      </w:r>
      <w:r>
        <w:rPr>
          <w:rStyle w:val="FootnoteReference"/>
          <w:rFonts w:eastAsia="Times New Roman"/>
          <w:lang w:eastAsia="en-US"/>
        </w:rPr>
        <w:footnoteReference w:id="276"/>
      </w:r>
    </w:p>
    <w:p w14:paraId="7F377B69" w14:textId="77777777" w:rsidR="0019789C" w:rsidRPr="001C0CE2" w:rsidRDefault="0019789C" w:rsidP="001C0CE2">
      <w:pPr>
        <w:rPr>
          <w:rFonts w:eastAsia="Times New Roman"/>
          <w:lang w:eastAsia="en-US"/>
        </w:rPr>
      </w:pPr>
    </w:p>
    <w:p w14:paraId="7944A816" w14:textId="4DD2D2B4" w:rsidR="0019789C" w:rsidRPr="002A65B0" w:rsidRDefault="0019789C" w:rsidP="001C0CE2">
      <w:pPr>
        <w:rPr>
          <w:lang w:bidi="en-US"/>
        </w:rPr>
      </w:pPr>
    </w:p>
    <w:p w14:paraId="00F06B6C" w14:textId="7E611980" w:rsidR="0019789C" w:rsidRPr="002A65B0" w:rsidRDefault="0019789C" w:rsidP="00C25857">
      <w:pPr>
        <w:pStyle w:val="Heading1"/>
        <w:ind w:left="0" w:firstLine="0"/>
      </w:pPr>
      <w:r w:rsidRPr="002A65B0">
        <w:br w:type="page"/>
      </w:r>
      <w:bookmarkStart w:id="36" w:name="_Hlk39823927"/>
      <w:r w:rsidRPr="00C25ED6">
        <w:lastRenderedPageBreak/>
        <w:t>B Laws that can be used only by or on behalf of pedestrians with specific characteristics</w:t>
      </w:r>
      <w:bookmarkEnd w:id="36"/>
    </w:p>
    <w:p w14:paraId="4FC42B7A" w14:textId="6E1C401A" w:rsidR="0019789C" w:rsidRPr="002A65B0" w:rsidRDefault="0019789C" w:rsidP="00C25ED6">
      <w:pPr>
        <w:pStyle w:val="Heading2"/>
      </w:pPr>
      <w:r w:rsidRPr="002A65B0">
        <w:t>B1 Possible Discrimination Actions</w:t>
      </w:r>
    </w:p>
    <w:p w14:paraId="33C4D667" w14:textId="77777777" w:rsidR="0019789C" w:rsidRPr="002A65B0" w:rsidRDefault="0019789C" w:rsidP="001C2C4A">
      <w:pPr>
        <w:pStyle w:val="Heading3"/>
      </w:pPr>
      <w:bookmarkStart w:id="37" w:name="_Ref30597265"/>
      <w:r w:rsidRPr="002A65B0">
        <w:t>B1.1 Equality Act 2010: Reasonable Adjustment Duty</w:t>
      </w:r>
      <w:bookmarkEnd w:id="37"/>
    </w:p>
    <w:p w14:paraId="477E2F01" w14:textId="5702D4F5" w:rsidR="0019789C" w:rsidRPr="002A65B0" w:rsidRDefault="0019789C" w:rsidP="00AE3A75">
      <w:pPr>
        <w:pStyle w:val="Heading4"/>
      </w:pPr>
      <w:r w:rsidRPr="002A65B0">
        <w:t>(a) Description and Examples</w:t>
      </w:r>
    </w:p>
    <w:p w14:paraId="26D9F152" w14:textId="3177A52F" w:rsidR="0019789C" w:rsidRPr="002A65B0" w:rsidRDefault="0019789C" w:rsidP="001C2C4A">
      <w:r w:rsidRPr="002A65B0">
        <w:t>In the United Kingdom, the duty to make reasonable adjustments was first introduced by the Disability Discrimination Act 1995 (DDA),</w:t>
      </w:r>
      <w:r w:rsidRPr="002A65B0">
        <w:rPr>
          <w:rStyle w:val="FootnoteReference"/>
        </w:rPr>
        <w:footnoteReference w:id="277"/>
      </w:r>
      <w:r w:rsidRPr="002A65B0">
        <w:t xml:space="preserve"> which was later repealed and replaced by the Equality Act 2010 (EA). The EA applies in England, Scotland and Wales, but the DDA still operates in Northern Ireland. In the EA, the reasonable adjustment duty is set out in ss 20 and 21 together with schedule 2. Section 22 also gives the Secretary of State power to introduce regulations on various aspects of the reasonable adjustments duty. Prior to focusing on the operation of the reasonable adjustment duty, however, the structure of the EA makes it important first, to identify potential types of duty-bearer; and second, to understand who will be a ‘disabled person’ for purposes of the Act.</w:t>
      </w:r>
    </w:p>
    <w:p w14:paraId="6267BB06" w14:textId="407EB769" w:rsidR="0019789C" w:rsidRPr="002A65B0" w:rsidRDefault="0019789C" w:rsidP="001C2C4A"/>
    <w:p w14:paraId="6DE51C80" w14:textId="4F079393" w:rsidR="0019789C" w:rsidRPr="002A65B0" w:rsidRDefault="0019789C" w:rsidP="00903E12">
      <w:r w:rsidRPr="002A65B0">
        <w:t>First, in relation to potential duty-bearers, the EA imposes duties not to discriminate (including the duty to make reasonable adjustments) in a wide range of contexts. These include employment, premises, education and, most importantly for current purposes, the provision of services to the public, or a section of the public (whether or not for a fee),</w:t>
      </w:r>
      <w:r w:rsidRPr="002A65B0">
        <w:rPr>
          <w:rStyle w:val="FootnoteReference"/>
        </w:rPr>
        <w:footnoteReference w:id="278"/>
      </w:r>
      <w:r w:rsidRPr="002A65B0">
        <w:t xml:space="preserve"> and the exercise of a public function that is not the provision of a service to the public or a section of the public.</w:t>
      </w:r>
      <w:r w:rsidRPr="002A65B0">
        <w:rPr>
          <w:rStyle w:val="FootnoteReference"/>
        </w:rPr>
        <w:footnoteReference w:id="279"/>
      </w:r>
      <w:r w:rsidRPr="002A65B0">
        <w:t xml:space="preserve"> A ‘public function’ under the EA is ‘a function of a public nature for the purposes of the Human Rights Act 1998’.</w:t>
      </w:r>
      <w:r w:rsidRPr="002A65B0">
        <w:rPr>
          <w:rStyle w:val="FootnoteReference"/>
        </w:rPr>
        <w:footnoteReference w:id="280"/>
      </w:r>
      <w:r w:rsidRPr="002A65B0">
        <w:t xml:space="preserve"> The HRA, however, does not specifically define the term ‘public function’ as it was the intention of Parliament to include a range of bodies that perform public functions within the scope of the HRA, describing such functions as ‘an evolving situation’;</w:t>
      </w:r>
      <w:r w:rsidRPr="002A65B0">
        <w:rPr>
          <w:rStyle w:val="FootnoteReference"/>
        </w:rPr>
        <w:footnoteReference w:id="281"/>
      </w:r>
      <w:r w:rsidRPr="002A65B0">
        <w:t xml:space="preserve"> moreover, the term is used as a </w:t>
      </w:r>
      <w:r w:rsidRPr="002A65B0">
        <w:lastRenderedPageBreak/>
        <w:t>means of defining the scope of a ‘public authority’, which must not act in a manner incompatible with HRA rights.</w:t>
      </w:r>
      <w:r w:rsidRPr="002A65B0">
        <w:rPr>
          <w:rStyle w:val="FootnoteReference"/>
        </w:rPr>
        <w:footnoteReference w:id="282"/>
      </w:r>
      <w:r w:rsidRPr="002A65B0">
        <w:t xml:space="preserve"> For the purposes of the EA, ‘only those functions of a public authority which are not services and do not fall within Part 4 (premises), Part 5 (work) and Part 6 (education) of the Act are covered by the public function provisions.’</w:t>
      </w:r>
      <w:bookmarkStart w:id="38" w:name="_Ref30422552"/>
      <w:r w:rsidRPr="002A65B0">
        <w:rPr>
          <w:rStyle w:val="FootnoteReference"/>
        </w:rPr>
        <w:footnoteReference w:id="283"/>
      </w:r>
      <w:bookmarkEnd w:id="38"/>
    </w:p>
    <w:p w14:paraId="0CA65AE3" w14:textId="77777777" w:rsidR="0019789C" w:rsidRPr="002A65B0" w:rsidRDefault="0019789C" w:rsidP="004428EE"/>
    <w:p w14:paraId="188CFE10" w14:textId="240D340D" w:rsidR="0019789C" w:rsidRPr="002A65B0" w:rsidRDefault="0019789C" w:rsidP="004428EE">
      <w:r w:rsidRPr="002A65B0">
        <w:t>In short, the public functions to which the EA applies could include a range of activities, including planning control, enforcement of parking controls, regulatory functions, and the investigation of complaints by pedestrians.</w:t>
      </w:r>
      <w:bookmarkStart w:id="39" w:name="_Ref30157515"/>
      <w:r w:rsidRPr="002A65B0">
        <w:rPr>
          <w:rStyle w:val="FootnoteReference"/>
        </w:rPr>
        <w:footnoteReference w:id="284"/>
      </w:r>
      <w:bookmarkEnd w:id="39"/>
      <w:r w:rsidRPr="002A65B0">
        <w:t xml:space="preserve"> Public functions are also often carried out pursuant to a statutory duty, such as licensing.</w:t>
      </w:r>
      <w:r w:rsidRPr="002A65B0">
        <w:rPr>
          <w:rStyle w:val="FootnoteReference"/>
        </w:rPr>
        <w:footnoteReference w:id="285"/>
      </w:r>
      <w:r w:rsidRPr="002A65B0">
        <w:t xml:space="preserve"> Services and public functions are covered by the same part of the EA,</w:t>
      </w:r>
      <w:r w:rsidRPr="002A65B0">
        <w:rPr>
          <w:rStyle w:val="FootnoteReference"/>
        </w:rPr>
        <w:footnoteReference w:id="286"/>
      </w:r>
      <w:r w:rsidRPr="002A65B0">
        <w:t xml:space="preserve"> and dealt with in a similar way throughout. The duty imposed on public authorities when providing a service and those imposed when performing a public function may be similar in many respects. Yet some public functions are not services – for example, if the police arrest a person, or interview a witness while investigating a crime, they are exercising a public function but not providing a service; whereas if they provide information to a group on crime prevention, they are providing a service.</w:t>
      </w:r>
      <w:r w:rsidRPr="002A65B0">
        <w:rPr>
          <w:rStyle w:val="FootnoteReference"/>
        </w:rPr>
        <w:footnoteReference w:id="287"/>
      </w:r>
    </w:p>
    <w:p w14:paraId="5CE97BCD" w14:textId="043F6236" w:rsidR="0019789C" w:rsidRPr="002A65B0" w:rsidRDefault="0019789C" w:rsidP="001C2C4A"/>
    <w:p w14:paraId="3B112400" w14:textId="39157497" w:rsidR="0019789C" w:rsidRPr="002A65B0" w:rsidRDefault="0019789C" w:rsidP="007A7920">
      <w:r w:rsidRPr="002A65B0">
        <w:t xml:space="preserve">The second preliminary matter, as mentioned above, is the definition of disability. The EA reasonable adjustment duty only applies in favour of people who can show they have a disability within the meaning of the Act. Guidance on the meaning of ‘disability’ is provided in s 6(1) EA as follows: </w:t>
      </w:r>
    </w:p>
    <w:p w14:paraId="1B9EE7FF" w14:textId="77777777" w:rsidR="0019789C" w:rsidRPr="002A65B0" w:rsidRDefault="0019789C" w:rsidP="001026E3">
      <w:pPr>
        <w:pStyle w:val="QuoteList"/>
      </w:pPr>
      <w:r w:rsidRPr="002A65B0">
        <w:t>A person (P) has a disability if —</w:t>
      </w:r>
    </w:p>
    <w:p w14:paraId="3A36ECDE" w14:textId="77777777" w:rsidR="0019789C" w:rsidRPr="002A65B0" w:rsidRDefault="0019789C" w:rsidP="001026E3">
      <w:pPr>
        <w:pStyle w:val="QuoteList"/>
      </w:pPr>
      <w:r w:rsidRPr="002A65B0">
        <w:lastRenderedPageBreak/>
        <w:t>(a)</w:t>
      </w:r>
      <w:r w:rsidRPr="002A65B0">
        <w:tab/>
        <w:t>P has a physical or mental impairment, and</w:t>
      </w:r>
    </w:p>
    <w:p w14:paraId="250A1C25" w14:textId="23EF6D65" w:rsidR="0019789C" w:rsidRPr="002A65B0" w:rsidRDefault="0019789C" w:rsidP="00406484">
      <w:pPr>
        <w:pStyle w:val="QuoteList"/>
      </w:pPr>
      <w:r w:rsidRPr="002A65B0">
        <w:t>(b)</w:t>
      </w:r>
      <w:r w:rsidRPr="002A65B0">
        <w:tab/>
        <w:t>the impairment has a substantial and long-term adverse effect on P's ability to carry out normal day-to-day activities.</w:t>
      </w:r>
    </w:p>
    <w:p w14:paraId="250C68FC" w14:textId="3B04B5B8" w:rsidR="0019789C" w:rsidRPr="002A65B0" w:rsidRDefault="0019789C" w:rsidP="007A7920">
      <w:pPr>
        <w:ind w:firstLine="0"/>
      </w:pPr>
      <w:r w:rsidRPr="002A65B0">
        <w:t>This definition is identical to that of the DDA, the EA’s predecessor,</w:t>
      </w:r>
      <w:r w:rsidRPr="002A65B0">
        <w:rPr>
          <w:rStyle w:val="FootnoteReference"/>
        </w:rPr>
        <w:footnoteReference w:id="288"/>
      </w:r>
      <w:r w:rsidRPr="002A65B0">
        <w:t xml:space="preserve"> and accordingly case law on the DDA definition continues to be relevant to the EA. Section 6 is supplemented by Schedule 1, regulations issued by the Secretary of State under a power granted by s 6 EA,</w:t>
      </w:r>
      <w:r w:rsidRPr="002A65B0">
        <w:rPr>
          <w:rStyle w:val="FootnoteReference"/>
        </w:rPr>
        <w:footnoteReference w:id="289"/>
      </w:r>
      <w:r w:rsidRPr="002A65B0">
        <w:t xml:space="preserve"> and also accompanying government guidance.</w:t>
      </w:r>
      <w:bookmarkStart w:id="40" w:name="_Ref30768404"/>
      <w:r w:rsidRPr="002A65B0">
        <w:rPr>
          <w:rStyle w:val="FootnoteReference"/>
        </w:rPr>
        <w:footnoteReference w:id="290"/>
      </w:r>
      <w:bookmarkEnd w:id="40"/>
      <w:r w:rsidRPr="002A65B0">
        <w:t xml:space="preserve"> </w:t>
      </w:r>
    </w:p>
    <w:p w14:paraId="68245D71" w14:textId="77777777" w:rsidR="0019789C" w:rsidRPr="002A65B0" w:rsidRDefault="0019789C" w:rsidP="007A7920">
      <w:pPr>
        <w:ind w:firstLine="0"/>
      </w:pPr>
    </w:p>
    <w:p w14:paraId="5621A658" w14:textId="4909ACB8" w:rsidR="0019789C" w:rsidRPr="002A65B0" w:rsidRDefault="0019789C" w:rsidP="007A7920">
      <w:pPr>
        <w:tabs>
          <w:tab w:val="left" w:pos="993"/>
        </w:tabs>
      </w:pPr>
      <w:r w:rsidRPr="002A65B0">
        <w:t>The term ‘physical or mental impairment' is not defined in the EA, but accompanying guidance states that the term ‘should be given its ordinary meaning’</w:t>
      </w:r>
      <w:r w:rsidRPr="002A65B0">
        <w:rPr>
          <w:rStyle w:val="FootnoteReference"/>
        </w:rPr>
        <w:footnoteReference w:id="291"/>
      </w:r>
      <w:r w:rsidRPr="002A65B0">
        <w:t xml:space="preserve"> and demonstrates that it should be interpreted very broadly to cover a wide range of impairments.</w:t>
      </w:r>
      <w:r w:rsidRPr="002A65B0">
        <w:rPr>
          <w:rStyle w:val="FootnoteReference"/>
        </w:rPr>
        <w:footnoteReference w:id="292"/>
      </w:r>
      <w:r w:rsidRPr="002A65B0">
        <w:t xml:space="preserve"> While the approach to ‘impairment’ is broad, the Definition of Disability Regulations introduced several exceptions – many of which have the effect of making it impossible to base a disability discrimination claim on certain types of antisocial behaviour.</w:t>
      </w:r>
      <w:r w:rsidRPr="002A65B0">
        <w:rPr>
          <w:rStyle w:val="FootnoteReference"/>
        </w:rPr>
        <w:footnoteReference w:id="293"/>
      </w:r>
      <w:r w:rsidRPr="002A65B0">
        <w:t xml:space="preserve"> Regulation 4(1) reads as follows:</w:t>
      </w:r>
    </w:p>
    <w:p w14:paraId="63F76631" w14:textId="77777777" w:rsidR="0019789C" w:rsidRPr="002A65B0" w:rsidRDefault="0019789C" w:rsidP="001026E3">
      <w:pPr>
        <w:pStyle w:val="QuoteList"/>
        <w:rPr>
          <w:lang w:eastAsia="en-GB"/>
        </w:rPr>
      </w:pPr>
      <w:r w:rsidRPr="002A65B0">
        <w:rPr>
          <w:lang w:eastAsia="en-GB"/>
        </w:rPr>
        <w:t xml:space="preserve">For the purposes of the Act the following conditions are to be treated as not amounting to impairments:— </w:t>
      </w:r>
    </w:p>
    <w:p w14:paraId="2518590B" w14:textId="77777777" w:rsidR="0019789C" w:rsidRPr="002A65B0" w:rsidRDefault="0019789C" w:rsidP="001026E3">
      <w:pPr>
        <w:pStyle w:val="QuoteList"/>
        <w:rPr>
          <w:lang w:eastAsia="en-GB"/>
        </w:rPr>
      </w:pPr>
      <w:r w:rsidRPr="002A65B0">
        <w:rPr>
          <w:lang w:eastAsia="en-GB"/>
        </w:rPr>
        <w:t>(a) a tendency to set fires,</w:t>
      </w:r>
    </w:p>
    <w:p w14:paraId="321CBC69" w14:textId="77777777" w:rsidR="0019789C" w:rsidRPr="002A65B0" w:rsidRDefault="0019789C" w:rsidP="001026E3">
      <w:pPr>
        <w:pStyle w:val="QuoteList"/>
        <w:rPr>
          <w:lang w:eastAsia="en-GB"/>
        </w:rPr>
      </w:pPr>
      <w:r w:rsidRPr="002A65B0">
        <w:rPr>
          <w:lang w:eastAsia="en-GB"/>
        </w:rPr>
        <w:t>(b) a tendency to steal,</w:t>
      </w:r>
    </w:p>
    <w:p w14:paraId="1374D194" w14:textId="77777777" w:rsidR="0019789C" w:rsidRPr="002A65B0" w:rsidRDefault="0019789C" w:rsidP="001026E3">
      <w:pPr>
        <w:pStyle w:val="QuoteList"/>
        <w:rPr>
          <w:lang w:eastAsia="en-GB"/>
        </w:rPr>
      </w:pPr>
      <w:r w:rsidRPr="002A65B0">
        <w:rPr>
          <w:lang w:eastAsia="en-GB"/>
        </w:rPr>
        <w:t>(c) a tendency to physical or sexual abuse of other persons,</w:t>
      </w:r>
    </w:p>
    <w:p w14:paraId="0398CE8C" w14:textId="77777777" w:rsidR="0019789C" w:rsidRPr="002A65B0" w:rsidRDefault="0019789C" w:rsidP="001026E3">
      <w:pPr>
        <w:pStyle w:val="QuoteList"/>
        <w:rPr>
          <w:lang w:eastAsia="en-GB"/>
        </w:rPr>
      </w:pPr>
      <w:r w:rsidRPr="002A65B0">
        <w:rPr>
          <w:lang w:eastAsia="en-GB"/>
        </w:rPr>
        <w:t>(d) exhibitionism, and</w:t>
      </w:r>
    </w:p>
    <w:p w14:paraId="486DE91E" w14:textId="28512A36" w:rsidR="0019789C" w:rsidRPr="002A65B0" w:rsidRDefault="0019789C" w:rsidP="00380F8A">
      <w:pPr>
        <w:pStyle w:val="QuoteList"/>
        <w:rPr>
          <w:lang w:eastAsia="en-GB"/>
        </w:rPr>
      </w:pPr>
      <w:r w:rsidRPr="002A65B0">
        <w:rPr>
          <w:lang w:eastAsia="en-GB"/>
        </w:rPr>
        <w:t>(e) voyeurism.</w:t>
      </w:r>
    </w:p>
    <w:p w14:paraId="28172072" w14:textId="77777777" w:rsidR="0019789C" w:rsidRPr="002A65B0" w:rsidRDefault="0019789C" w:rsidP="007A7920">
      <w:pPr>
        <w:ind w:firstLine="0"/>
      </w:pPr>
    </w:p>
    <w:p w14:paraId="77057807" w14:textId="42FF7B72" w:rsidR="0019789C" w:rsidRPr="002A65B0" w:rsidRDefault="0019789C" w:rsidP="00380F8A">
      <w:r w:rsidRPr="002A65B0">
        <w:lastRenderedPageBreak/>
        <w:t>To be long-term, the effect of an impairment must have lasted for at least 12 months, be likely to last for at least 12 months, or be likely to last for the rest of the life of the person affected.</w:t>
      </w:r>
      <w:r w:rsidRPr="002A65B0">
        <w:rPr>
          <w:rStyle w:val="FootnoteReference"/>
        </w:rPr>
        <w:footnoteReference w:id="294"/>
      </w:r>
      <w:r w:rsidRPr="002A65B0">
        <w:t xml:space="preserve"> In line with s 212(1) EA, a ‘substantial’ adverse effect means an effect that is ‘more than minor or trivial’.</w:t>
      </w:r>
      <w:r w:rsidRPr="002A65B0">
        <w:rPr>
          <w:rStyle w:val="FootnoteReference"/>
        </w:rPr>
        <w:footnoteReference w:id="295"/>
      </w:r>
      <w:r w:rsidRPr="002A65B0">
        <w:t xml:space="preserve"> The Employment Appeal Tribunal (EAT) has further clarified the term ‘substantial effect’ in light of s 212(1) EA as follows: </w:t>
      </w:r>
    </w:p>
    <w:p w14:paraId="27DA8CEB" w14:textId="28A76F6E" w:rsidR="0019789C" w:rsidRPr="002A65B0" w:rsidRDefault="0019789C" w:rsidP="007A7920">
      <w:pPr>
        <w:pStyle w:val="Quote"/>
      </w:pPr>
      <w:r w:rsidRPr="002A65B0">
        <w:t>The 2010 Act itself did not create a spectrum running smoothly from those matters which were clearly of substantial effect to those matters which were clearly trivial, but provided for a bifurcation: unless a matter could be classified as 'trivial' or 'insubstantial', it should be treated as substantial. There was therefore little room for any form of sliding scale between one and the other.</w:t>
      </w:r>
      <w:r w:rsidRPr="002A65B0">
        <w:rPr>
          <w:rStyle w:val="FootnoteReference"/>
        </w:rPr>
        <w:footnoteReference w:id="296"/>
      </w:r>
    </w:p>
    <w:p w14:paraId="47B28B74" w14:textId="77777777" w:rsidR="0019789C" w:rsidRPr="002A65B0" w:rsidRDefault="0019789C" w:rsidP="00380F8A">
      <w:pPr>
        <w:ind w:firstLine="0"/>
        <w:rPr>
          <w:iCs/>
        </w:rPr>
      </w:pPr>
    </w:p>
    <w:p w14:paraId="065CEE43" w14:textId="46B5CE27" w:rsidR="0019789C" w:rsidRPr="002A65B0" w:rsidRDefault="0019789C" w:rsidP="00380F8A">
      <w:pPr>
        <w:ind w:firstLine="0"/>
      </w:pPr>
      <w:r w:rsidRPr="002A65B0">
        <w:rPr>
          <w:iCs/>
        </w:rPr>
        <w:t>Further, it should be noted that there is no need to demonstrate that an impairment has a substantial adverse effect in a number of situations – namely when a pe</w:t>
      </w:r>
      <w:r w:rsidRPr="002A65B0">
        <w:rPr>
          <w:rFonts w:cs="Arial"/>
          <w:szCs w:val="24"/>
        </w:rPr>
        <w:t>rson has:</w:t>
      </w:r>
    </w:p>
    <w:p w14:paraId="362D407B" w14:textId="56F0ED9D" w:rsidR="0019789C" w:rsidRPr="002A65B0" w:rsidRDefault="0019789C" w:rsidP="00427643">
      <w:pPr>
        <w:pStyle w:val="ListParagraph"/>
        <w:numPr>
          <w:ilvl w:val="0"/>
          <w:numId w:val="4"/>
        </w:numPr>
      </w:pPr>
      <w:r w:rsidRPr="002A65B0">
        <w:t>a severe disfigurement, sch 1 para 3;</w:t>
      </w:r>
    </w:p>
    <w:p w14:paraId="010F74BF" w14:textId="2C856D08" w:rsidR="0019789C" w:rsidRPr="002A65B0" w:rsidRDefault="0019789C" w:rsidP="00427643">
      <w:pPr>
        <w:pStyle w:val="ListParagraph"/>
        <w:numPr>
          <w:ilvl w:val="0"/>
          <w:numId w:val="4"/>
        </w:numPr>
      </w:pPr>
      <w:r w:rsidRPr="002A65B0">
        <w:t>cancer, HIV infection or multiple sclerosis, sch 1 para 6(1);</w:t>
      </w:r>
    </w:p>
    <w:p w14:paraId="48FE707E" w14:textId="52413E20" w:rsidR="0019789C" w:rsidRPr="002A65B0" w:rsidRDefault="0019789C" w:rsidP="00427643">
      <w:pPr>
        <w:pStyle w:val="ListParagraph"/>
        <w:numPr>
          <w:ilvl w:val="0"/>
          <w:numId w:val="4"/>
        </w:numPr>
      </w:pPr>
      <w:r w:rsidRPr="002A65B0">
        <w:t>a ‘progressive condition’ which causes (or is likely to cause) an impairment that has an adverse effect on ability to carry out day-to-day activities, sch 1 para 8.</w:t>
      </w:r>
    </w:p>
    <w:p w14:paraId="642E78F3" w14:textId="77777777" w:rsidR="0019789C" w:rsidRPr="002A65B0" w:rsidRDefault="0019789C" w:rsidP="007A7920"/>
    <w:p w14:paraId="65E2EC26" w14:textId="20DEC020" w:rsidR="0019789C" w:rsidRPr="002A65B0" w:rsidRDefault="0019789C" w:rsidP="007A7920">
      <w:r w:rsidRPr="002A65B0">
        <w:t>The term ‘normal day-to-day activities’ is not defined by the EA. The Employment Appeal Tribunal has noted that it ‘is best left unspecified: easily recognised, but defined with difficulty.’</w:t>
      </w:r>
      <w:r w:rsidRPr="002A65B0">
        <w:rPr>
          <w:rStyle w:val="FootnoteReference"/>
        </w:rPr>
        <w:footnoteReference w:id="297"/>
      </w:r>
      <w:r w:rsidRPr="002A65B0">
        <w:t xml:space="preserve"> Yet ‘what is normal cannot sensibly depend on asking the question whether the majority of people do it.’</w:t>
      </w:r>
      <w:r w:rsidRPr="002A65B0">
        <w:rPr>
          <w:rStyle w:val="FootnoteReference"/>
        </w:rPr>
        <w:footnoteReference w:id="298"/>
      </w:r>
      <w:r w:rsidRPr="002A65B0">
        <w:t xml:space="preserve"> According to the EA Services Code of Practice, the term refers to </w:t>
      </w:r>
    </w:p>
    <w:p w14:paraId="4D8A60E5" w14:textId="77777777" w:rsidR="0019789C" w:rsidRPr="002A65B0" w:rsidRDefault="0019789C" w:rsidP="007A7920">
      <w:pPr>
        <w:pStyle w:val="Quote"/>
      </w:pPr>
      <w:r w:rsidRPr="002A65B0">
        <w:t>activities which are carried out by most men or most women on a fairly regular and frequent basis. The term is not intended to include activities which are normal only for a particular person or group of people … However, someone who is affected in such a specialized way but is also affected in normal day-to-day activities would be covered by this part of the definition.</w:t>
      </w:r>
      <w:r w:rsidRPr="002A65B0">
        <w:rPr>
          <w:rStyle w:val="FootnoteReference"/>
        </w:rPr>
        <w:footnoteReference w:id="299"/>
      </w:r>
    </w:p>
    <w:p w14:paraId="50B40B08" w14:textId="54786376" w:rsidR="0019789C" w:rsidRPr="002A65B0" w:rsidRDefault="0019789C" w:rsidP="007A7920">
      <w:pPr>
        <w:ind w:firstLine="0"/>
      </w:pPr>
      <w:r w:rsidRPr="002A65B0">
        <w:lastRenderedPageBreak/>
        <w:t>Day-to-day activities may include walking, driving, using public transport, lifting and carrying everyday objects, talking, taking part in normal social interaction or forming social relationships, nourishing and caring for one’s self.</w:t>
      </w:r>
      <w:r w:rsidRPr="002A65B0">
        <w:rPr>
          <w:rStyle w:val="FootnoteReference"/>
        </w:rPr>
        <w:footnoteReference w:id="300"/>
      </w:r>
    </w:p>
    <w:p w14:paraId="11204AC0" w14:textId="77777777" w:rsidR="0019789C" w:rsidRPr="002A65B0" w:rsidRDefault="0019789C" w:rsidP="007A7920">
      <w:pPr>
        <w:ind w:firstLine="0"/>
      </w:pPr>
    </w:p>
    <w:p w14:paraId="26180394" w14:textId="77777777" w:rsidR="0019789C" w:rsidRPr="002A65B0" w:rsidRDefault="0019789C" w:rsidP="007A7920">
      <w:r w:rsidRPr="002A65B0">
        <w:t>Similarly, the government guidance on the definition of disability states that:</w:t>
      </w:r>
    </w:p>
    <w:p w14:paraId="09E7B2C3" w14:textId="77777777" w:rsidR="0019789C" w:rsidRPr="002A65B0" w:rsidRDefault="0019789C" w:rsidP="007A7920">
      <w:pPr>
        <w:pStyle w:val="Quote"/>
      </w:pPr>
      <w:r w:rsidRPr="002A65B0">
        <w:t>D3. In general, day-to-day activities are things people do on a regular or daily basis, and examples include shopping, reading and writing, having a conversation or using the telephone, watching television, getting washed and dressed, preparing and eating food, carrying out household tasks, walking and travelling by various forms of transport, and taking part in social activities. Normal day-to-day activities can include general work-related activities, and study and education-related activities, such as interacting with colleagues, following instructions, using a computer, driving, carrying out interviews, preparing written documents, and keeping to a timetable or a shift pattern. …</w:t>
      </w:r>
    </w:p>
    <w:p w14:paraId="18C1883C" w14:textId="77777777" w:rsidR="0019789C" w:rsidRPr="002A65B0" w:rsidRDefault="0019789C" w:rsidP="007A7920">
      <w:pPr>
        <w:pStyle w:val="Quote"/>
      </w:pPr>
      <w:r w:rsidRPr="002A65B0">
        <w:t>D5. A normal day-to-day activity is not necessarily one that is carried out by a majority of people. For example, it is possible that some activities might be carried out only, or more predominantly, by people of a particular gender, such as breast-feeding or applying make-up, and cannot therefore be said to be normal for most people. They would nevertheless be considered to be normal day-to-day activities.</w:t>
      </w:r>
      <w:r w:rsidRPr="002A65B0">
        <w:rPr>
          <w:rStyle w:val="FootnoteReference"/>
        </w:rPr>
        <w:footnoteReference w:id="301"/>
      </w:r>
    </w:p>
    <w:p w14:paraId="133D8B2E" w14:textId="77777777" w:rsidR="0019789C" w:rsidRPr="002A65B0" w:rsidRDefault="0019789C" w:rsidP="001C2C4A"/>
    <w:p w14:paraId="7429E099" w14:textId="0E715D06" w:rsidR="0019789C" w:rsidRPr="002A65B0" w:rsidRDefault="0019789C" w:rsidP="001C2C4A">
      <w:r w:rsidRPr="002A65B0">
        <w:t>Turning now to the reasonable adjustment duty, s 20(2) states that the reasonable adjustment duty comprises three requirements, which are then set out respectively in s 20(3), (4) and (5) as follows:</w:t>
      </w:r>
    </w:p>
    <w:p w14:paraId="2BCA67A0" w14:textId="193CFD6D" w:rsidR="0019789C" w:rsidRPr="002A65B0" w:rsidRDefault="0019789C" w:rsidP="001C2C4A">
      <w:pPr>
        <w:pStyle w:val="Quote"/>
      </w:pPr>
      <w:r w:rsidRPr="002A65B0">
        <w:t>(3) The first requirement is a requirement, where a provision, criterion or practice of A's puts a disabled person at a substantial disadvantage in relation to a relevant matter in comparison with persons who are not disabled, to take such steps as it is reasonable to have to take to avoid the disadvantage.</w:t>
      </w:r>
    </w:p>
    <w:p w14:paraId="0EF6227F" w14:textId="3E3F60E3" w:rsidR="0019789C" w:rsidRPr="002A65B0" w:rsidRDefault="0019789C" w:rsidP="001C2C4A">
      <w:pPr>
        <w:pStyle w:val="Quote"/>
      </w:pPr>
      <w:r w:rsidRPr="002A65B0">
        <w:t xml:space="preserve">(4) The second requirement is a requirement, where a physical feature puts a disabled person at a substantial disadvantage in relation to a relevant matter in </w:t>
      </w:r>
      <w:r w:rsidRPr="002A65B0">
        <w:lastRenderedPageBreak/>
        <w:t>comparison with persons who are not disabled, to take such steps as it is reasonable to have to take to avoid the disadvantage.</w:t>
      </w:r>
    </w:p>
    <w:p w14:paraId="13960C8D" w14:textId="5BFA1561" w:rsidR="0019789C" w:rsidRPr="002A65B0" w:rsidRDefault="0019789C" w:rsidP="001C2C4A">
      <w:pPr>
        <w:pStyle w:val="Quote"/>
      </w:pPr>
      <w:r w:rsidRPr="002A65B0">
        <w:t>(5) The third requirement is a requirement, where a disabled person would, but for the provision of an auxiliary aid, be put at a substantial disadvantage in relation to a relevant matter in comparison with persons who are not disabled, to take such steps as it is reasonable to have to take to provide the auxiliary aid.</w:t>
      </w:r>
    </w:p>
    <w:p w14:paraId="7E6C295A" w14:textId="77777777" w:rsidR="0019789C" w:rsidRPr="002A65B0" w:rsidRDefault="0019789C" w:rsidP="001C2C4A"/>
    <w:p w14:paraId="6F3975BA" w14:textId="5E2FACDD" w:rsidR="0019789C" w:rsidRPr="002A65B0" w:rsidRDefault="0019789C" w:rsidP="001C2C4A">
      <w:r w:rsidRPr="002A65B0">
        <w:t>Section 21 EA makes it clear that a failure to comply with any of these three requirements is a failure to comply with a duty to make reasonable adjustments, which amounts to unlawful discrimination. Thus, as stated by the Court of Appeal, s 20 EA ‘does not impose the duty to make an adjustment; it simply defines what may be required when the duty is imposed.’</w:t>
      </w:r>
      <w:bookmarkStart w:id="41" w:name="_Ref30774179"/>
      <w:r w:rsidRPr="002A65B0">
        <w:rPr>
          <w:rStyle w:val="FootnoteReference"/>
        </w:rPr>
        <w:footnoteReference w:id="302"/>
      </w:r>
      <w:bookmarkEnd w:id="41"/>
      <w:r w:rsidRPr="002A65B0">
        <w:t xml:space="preserve"> </w:t>
      </w:r>
    </w:p>
    <w:p w14:paraId="008843F4" w14:textId="77777777" w:rsidR="0019789C" w:rsidRPr="002A65B0" w:rsidRDefault="0019789C" w:rsidP="001C2C4A"/>
    <w:p w14:paraId="7E702933" w14:textId="51E6EC4C" w:rsidR="0019789C" w:rsidRPr="002A65B0" w:rsidRDefault="0019789C" w:rsidP="001C2C4A">
      <w:r w:rsidRPr="002A65B0">
        <w:t>The exact nature of the duty depends upon the context in which it arises. Different schedules of the EA operate in different situations. Thus sch 2 applies to reasonable adjustment duties in the context of services and public functions; whereas sch 4 applies in the context of premises; and sch 8 in the context of work.</w:t>
      </w:r>
      <w:r w:rsidRPr="002A65B0">
        <w:rPr>
          <w:rStyle w:val="FootnoteReference"/>
        </w:rPr>
        <w:footnoteReference w:id="303"/>
      </w:r>
    </w:p>
    <w:p w14:paraId="16536722" w14:textId="77777777" w:rsidR="0019789C" w:rsidRPr="002A65B0" w:rsidRDefault="0019789C" w:rsidP="001C2C4A"/>
    <w:p w14:paraId="54689182" w14:textId="77777777" w:rsidR="0019789C" w:rsidRPr="002A65B0" w:rsidRDefault="0019789C" w:rsidP="001C2C4A">
      <w:r w:rsidRPr="002A65B0">
        <w:t>The schedules of the EA on the operation of reasonable adjustment duties in different contexts, have the effect of creating two broad types of reasonable adjustment duty: ones which are reactive or responsive in nature, and ones which are anticipatory in nature. The reactive reasonable adjustment duty applies to employment and let premises, and is not owed to disabled persons generally but to a specific disabled individual who experiences a substantial disadvantage because of a failure to comply with one of the three requirements set out in s 20(3), (4) or (5) above.</w:t>
      </w:r>
      <w:bookmarkStart w:id="42" w:name="_Ref30500019"/>
      <w:r w:rsidRPr="002A65B0">
        <w:rPr>
          <w:rStyle w:val="FootnoteReference"/>
        </w:rPr>
        <w:footnoteReference w:id="304"/>
      </w:r>
      <w:bookmarkEnd w:id="42"/>
      <w:r w:rsidRPr="002A65B0">
        <w:t xml:space="preserve"> This is because relevant schedules make it clear that the duty only arises in connection with an ‘interested disabled person’. By contrast, the anticipatory duty applies to the provision of services and public functions, and requires duty bearers to anticipate disadvantages disabled people might experience when attempting to access the relevant service or </w:t>
      </w:r>
      <w:r w:rsidRPr="002A65B0">
        <w:lastRenderedPageBreak/>
        <w:t>public function and take steps to remove or mitigate the disadvantage in question.</w:t>
      </w:r>
      <w:r w:rsidRPr="002A65B0">
        <w:rPr>
          <w:rStyle w:val="FootnoteReference"/>
        </w:rPr>
        <w:footnoteReference w:id="305"/>
      </w:r>
      <w:r w:rsidRPr="002A65B0">
        <w:t xml:space="preserve"> This anticipatory duty is thus triggered when disabled people generally, not just a particular disabled individual, can reasonably be expected to experience a substantial disadvantage should they wish or need to access a service or function.</w:t>
      </w:r>
      <w:r w:rsidRPr="002A65B0">
        <w:rPr>
          <w:rStyle w:val="FootnoteReference"/>
        </w:rPr>
        <w:footnoteReference w:id="306"/>
      </w:r>
      <w:r w:rsidRPr="002A65B0">
        <w:t xml:space="preserve"> </w:t>
      </w:r>
    </w:p>
    <w:p w14:paraId="42B7EE10" w14:textId="22EF4E1B" w:rsidR="0019789C" w:rsidRPr="002A65B0" w:rsidRDefault="0019789C" w:rsidP="00D936F1">
      <w:pPr>
        <w:ind w:firstLine="0"/>
      </w:pPr>
    </w:p>
    <w:p w14:paraId="5BF9B5AC" w14:textId="4A69790D" w:rsidR="0019789C" w:rsidRPr="002A65B0" w:rsidRDefault="0019789C" w:rsidP="00595063">
      <w:r w:rsidRPr="002A65B0">
        <w:t xml:space="preserve">According to the EA: </w:t>
      </w:r>
    </w:p>
    <w:p w14:paraId="55259DA7" w14:textId="4B55CD53" w:rsidR="0019789C" w:rsidRPr="002A65B0" w:rsidRDefault="0019789C" w:rsidP="00CB427E">
      <w:pPr>
        <w:pStyle w:val="Quote"/>
      </w:pPr>
      <w:r w:rsidRPr="002A65B0">
        <w:t>‘For the purposes of this paragraph, the reference in section 20(3), (4) or (5) to a disabled person is to disabled persons generally.’</w:t>
      </w:r>
      <w:r w:rsidRPr="002A65B0">
        <w:rPr>
          <w:rStyle w:val="FootnoteReference"/>
        </w:rPr>
        <w:footnoteReference w:id="307"/>
      </w:r>
    </w:p>
    <w:p w14:paraId="3512E6A5" w14:textId="1F0A9441" w:rsidR="0019789C" w:rsidRPr="002A65B0" w:rsidRDefault="0019789C" w:rsidP="00F82060">
      <w:pPr>
        <w:ind w:firstLine="0"/>
      </w:pPr>
      <w:r w:rsidRPr="002A65B0">
        <w:t xml:space="preserve">The fact that reference is made to ‘persons’ in the plural is what gives these duties their anticipatory effect – a point accepted by the Court of Appeal in the seminal case of </w:t>
      </w:r>
      <w:r w:rsidRPr="002A65B0">
        <w:rPr>
          <w:rStyle w:val="case"/>
        </w:rPr>
        <w:t>Roads v Central Trains</w:t>
      </w:r>
      <w:r w:rsidRPr="002A65B0">
        <w:t>.</w:t>
      </w:r>
      <w:bookmarkStart w:id="43" w:name="_Ref30774623"/>
      <w:r w:rsidRPr="002A65B0">
        <w:rPr>
          <w:rStyle w:val="FootnoteReference"/>
        </w:rPr>
        <w:footnoteReference w:id="308"/>
      </w:r>
      <w:bookmarkEnd w:id="43"/>
      <w:r w:rsidRPr="002A65B0">
        <w:t xml:space="preserve"> Although this concerned the DDA 1995 rather than the EA, the relevant provisions and guidance remain unchanged on this point and the Supreme Court endorsed the same approach under the EA in </w:t>
      </w:r>
      <w:r w:rsidRPr="002A65B0">
        <w:rPr>
          <w:rStyle w:val="case"/>
        </w:rPr>
        <w:t>First Group v Paulley</w:t>
      </w:r>
      <w:r w:rsidRPr="002A65B0">
        <w:t>.</w:t>
      </w:r>
      <w:bookmarkStart w:id="44" w:name="_Ref30774642"/>
      <w:r w:rsidRPr="002A65B0">
        <w:rPr>
          <w:rStyle w:val="FootnoteReference"/>
        </w:rPr>
        <w:footnoteReference w:id="309"/>
      </w:r>
      <w:bookmarkEnd w:id="44"/>
      <w:r w:rsidRPr="002A65B0">
        <w:t xml:space="preserve"> In </w:t>
      </w:r>
      <w:r w:rsidRPr="002A65B0">
        <w:rPr>
          <w:rStyle w:val="case"/>
        </w:rPr>
        <w:t>Paulley</w:t>
      </w:r>
      <w:r w:rsidRPr="002A65B0">
        <w:t>, Lady Hale stressed the anticipatory nature of the duty, observing that it is</w:t>
      </w:r>
      <w:r w:rsidRPr="002A65B0">
        <w:rPr>
          <w:lang w:eastAsia="en-GB"/>
        </w:rPr>
        <w:t xml:space="preserve"> a</w:t>
      </w:r>
      <w:r w:rsidRPr="002A65B0">
        <w:t xml:space="preserve"> ‘prospective duty, owed to disabled persons generally, to take proactive steps to meet their needs, and if an individual suffers as a result, then it is discrimination against him’.</w:t>
      </w:r>
      <w:r w:rsidRPr="002A65B0">
        <w:rPr>
          <w:rStyle w:val="FootnoteReference"/>
        </w:rPr>
        <w:footnoteReference w:id="310"/>
      </w:r>
      <w:r w:rsidRPr="002A65B0">
        <w:t xml:space="preserve"> The Court of Appeal has clarified that: ‘[service providers or public authorities] cannot be expected to anticipate the needs of every individual who may use their service, but what they are required to think about and provide for are features which may impede persons with particular kinds of disability’.</w:t>
      </w:r>
      <w:r w:rsidRPr="002A65B0">
        <w:rPr>
          <w:rStyle w:val="FootnoteReference"/>
        </w:rPr>
        <w:footnoteReference w:id="311"/>
      </w:r>
      <w:r w:rsidRPr="002A65B0">
        <w:t xml:space="preserve"> </w:t>
      </w:r>
    </w:p>
    <w:p w14:paraId="5825A6CB" w14:textId="77777777" w:rsidR="0019789C" w:rsidRPr="002A65B0" w:rsidRDefault="0019789C" w:rsidP="00D936F1"/>
    <w:p w14:paraId="3C6B3BE0" w14:textId="335D6286" w:rsidR="0019789C" w:rsidRPr="002A65B0" w:rsidRDefault="0019789C" w:rsidP="00D936F1">
      <w:r w:rsidRPr="002A65B0">
        <w:t>For example, the highway authority is providing a service to the public when installing crossing points at intersections, and it is obligated to consider the general needs of disabled people when designing such crossing points. Hence, in addition to a duty to consult with eg disabled peoples’ organisations,</w:t>
      </w:r>
      <w:r w:rsidRPr="002A65B0">
        <w:rPr>
          <w:rStyle w:val="FootnoteReference"/>
        </w:rPr>
        <w:footnoteReference w:id="312"/>
      </w:r>
      <w:r w:rsidRPr="002A65B0">
        <w:t xml:space="preserve"> the highway authority is required anticipate in advance the ways that people with particular kinds of impairment might be </w:t>
      </w:r>
      <w:r w:rsidRPr="002A65B0">
        <w:lastRenderedPageBreak/>
        <w:t>disadvantaged when attempting to use the crossing point, rather than waiting until such disadvantage is raised by an ‘interested disabled person’. The highway authority is required to then take steps to mitigate or remove the disadvantage by eg ensuring that the crossing is equipped with a dropped kerb, audio and visual indicators, and tactile paving; and that there is sufficient time allowed for pedestrians to safely cross the street.</w:t>
      </w:r>
      <w:r w:rsidRPr="002A65B0">
        <w:rPr>
          <w:rStyle w:val="FootnoteReference"/>
        </w:rPr>
        <w:footnoteReference w:id="313"/>
      </w:r>
      <w:r w:rsidRPr="002A65B0">
        <w:t xml:space="preserve"> Incidentally, if a pedestrian were to complain about the installed crossing point to the highway authority, which then begins an investigation, this would more likely qualify as a public function, to which the reasonable adjustment nevertheless attaches. </w:t>
      </w:r>
    </w:p>
    <w:p w14:paraId="105ABC26" w14:textId="77777777" w:rsidR="0019789C" w:rsidRPr="002A65B0" w:rsidRDefault="0019789C" w:rsidP="00B42F47"/>
    <w:p w14:paraId="095959D1" w14:textId="7251B457" w:rsidR="0019789C" w:rsidRPr="002A65B0" w:rsidRDefault="0019789C" w:rsidP="00B42F47">
      <w:r w:rsidRPr="002A65B0">
        <w:t>The anticipatory duty therefore has a group dimension – unlike the reactive duty operating in the context of employment under the EA and the concept of reasonable accommodation under the CRPD. However, it may not relieve service providers or public authorities of responsibility to make reactive reasonable adjustments for particular individuals when they become aware of the specific needs of the particular disabled individual in question.</w:t>
      </w:r>
      <w:r w:rsidRPr="002A65B0">
        <w:rPr>
          <w:rStyle w:val="FootnoteReference"/>
        </w:rPr>
        <w:footnoteReference w:id="314"/>
      </w:r>
      <w:r w:rsidRPr="002A65B0">
        <w:t xml:space="preserve"> Arguably, the EA’s anticipatory duty should be treated as encompassing the individual-focused notion of reasonable accommodation in the CRPD but going beyond it. Including an anticipatory dimension enhances the potential for shaping services and public functions in ways that are inclusive. A purely reactive approach may mean that adjustments are not possible because of the time they would take or because of their cost – cost which may not have been incurred had the service or function been designed differently from the outset.</w:t>
      </w:r>
      <w:r w:rsidRPr="002A65B0">
        <w:rPr>
          <w:rStyle w:val="FootnoteReference"/>
        </w:rPr>
        <w:footnoteReference w:id="315"/>
      </w:r>
    </w:p>
    <w:p w14:paraId="5A173198" w14:textId="46D66F08" w:rsidR="0019789C" w:rsidRPr="002A65B0" w:rsidRDefault="0019789C" w:rsidP="00B42F47"/>
    <w:p w14:paraId="2B6E6571" w14:textId="60CA0C3E" w:rsidR="0019789C" w:rsidRPr="002A65B0" w:rsidRDefault="0019789C" w:rsidP="00B42F47">
      <w:r w:rsidRPr="002A65B0">
        <w:t>Thus, the anticipatory reasonable adjustment duty will be triggered when providers of services or public functions could anticipate that disabled persons generally would be placed at a substantial disadvantage because of something falling within the scope of the three requirements in s 20(3)-(5). It is therefore worth reflecting further on the scope of the three requirements in s 20(3)-(5), to which we now turn.</w:t>
      </w:r>
    </w:p>
    <w:p w14:paraId="0C8DA3AD" w14:textId="77777777" w:rsidR="0019789C" w:rsidRPr="002A65B0" w:rsidRDefault="0019789C" w:rsidP="001C2C4A"/>
    <w:p w14:paraId="09573540" w14:textId="354D9237" w:rsidR="0019789C" w:rsidRPr="002A65B0" w:rsidRDefault="0019789C" w:rsidP="001C2C4A">
      <w:r w:rsidRPr="002A65B0">
        <w:t>As noted above, s 20(3) concerns situations where a provision, criterion or practice (PCP), puts disabled persons at a ‘substantial disadvantage’ as compared to non-</w:t>
      </w:r>
      <w:r w:rsidRPr="002A65B0">
        <w:lastRenderedPageBreak/>
        <w:t>disabled persons. The scope of PCPs is very broad. It includes written and unwritten rules that present barriers to disabled people and put them at a disadvantage when accessing services or public functions.</w:t>
      </w:r>
      <w:r w:rsidRPr="002A65B0">
        <w:rPr>
          <w:rStyle w:val="FootnoteReference"/>
        </w:rPr>
        <w:footnoteReference w:id="316"/>
      </w:r>
      <w:r w:rsidRPr="002A65B0">
        <w:t xml:space="preserve"> Physical features are dealt with separately (under s 20(4)) and therefore do not need to be brought within the scope of a PCP. Examples of PCPs relevant to pedestrian access to streets might include procedures for making complaints about, or attending to the repair of, potholes and other trip hazards; the manner in which public consultations are carried out; rules regulating how cafes, shops or car drivers can use pavements or other pedestrian space. However, Steven Kovats QC, sitting as the judge in </w:t>
      </w:r>
      <w:r w:rsidRPr="002A65B0">
        <w:rPr>
          <w:rStyle w:val="case"/>
        </w:rPr>
        <w:t>R (on the application of Goodall) v Reading Borough Council,</w:t>
      </w:r>
      <w:r w:rsidRPr="002A65B0">
        <w:rPr>
          <w:rStyle w:val="FootnoteReference"/>
        </w:rPr>
        <w:footnoteReference w:id="317"/>
      </w:r>
      <w:r w:rsidRPr="002A65B0">
        <w:t xml:space="preserve"> was doubtful about whether a decision by the Council not to restore failed traffic lights at a road crossing could amount to a PCP.</w:t>
      </w:r>
      <w:r w:rsidRPr="002A65B0">
        <w:rPr>
          <w:rStyle w:val="FootnoteReference"/>
        </w:rPr>
        <w:footnoteReference w:id="318"/>
      </w:r>
      <w:r w:rsidRPr="002A65B0">
        <w:t xml:space="preserve"> His remarks on this point may seem to suggest a rather restrictive approach to the meaning of a PCP, and in particular a ‘practice’, but they are obiter and very brief. </w:t>
      </w:r>
    </w:p>
    <w:p w14:paraId="21143514" w14:textId="77777777" w:rsidR="0019789C" w:rsidRPr="002A65B0" w:rsidRDefault="0019789C" w:rsidP="001C2C4A"/>
    <w:p w14:paraId="6B2C0CA1" w14:textId="77777777" w:rsidR="0019789C" w:rsidRPr="002A65B0" w:rsidRDefault="0019789C" w:rsidP="001C2C4A">
      <w:r w:rsidRPr="002A65B0">
        <w:t>As noted by the Court of Appeal, the PCP to be examined is ‘the base position before adjustments are made to accommodate disabilities.’</w:t>
      </w:r>
      <w:r w:rsidRPr="002A65B0">
        <w:rPr>
          <w:rStyle w:val="FootnoteReference"/>
        </w:rPr>
        <w:footnoteReference w:id="319"/>
      </w:r>
      <w:r w:rsidRPr="002A65B0">
        <w:t xml:space="preserve"> That is:</w:t>
      </w:r>
    </w:p>
    <w:p w14:paraId="30CCE1E4" w14:textId="3B8537D3" w:rsidR="0019789C" w:rsidRPr="002A65B0" w:rsidRDefault="0019789C" w:rsidP="00CB427E">
      <w:pPr>
        <w:pStyle w:val="Quote"/>
      </w:pPr>
      <w:r w:rsidRPr="002A65B0">
        <w:t>It includes all practices and procedures which apply to everyone, but excludes the adjustments. The adjustments are the steps which a service provider or public authority takes in discharge of its statutory duty to change the [PCP].</w:t>
      </w:r>
      <w:r w:rsidRPr="002A65B0">
        <w:rPr>
          <w:rStyle w:val="FootnoteReference"/>
        </w:rPr>
        <w:footnoteReference w:id="320"/>
      </w:r>
      <w:r w:rsidRPr="002A65B0">
        <w:t xml:space="preserve"> </w:t>
      </w:r>
    </w:p>
    <w:p w14:paraId="74622DBA" w14:textId="77777777" w:rsidR="0019789C" w:rsidRPr="002A65B0" w:rsidRDefault="0019789C" w:rsidP="00492FD3">
      <w:pPr>
        <w:ind w:firstLine="0"/>
      </w:pPr>
    </w:p>
    <w:p w14:paraId="5D3C3EBB" w14:textId="173F59BC" w:rsidR="0019789C" w:rsidRPr="002A65B0" w:rsidRDefault="0019789C" w:rsidP="00492FD3">
      <w:r w:rsidRPr="002A65B0">
        <w:t>The physical feature requirement in s 20(4) is also particularly relevant in the context of pedestrian access to streets. The term ‘physical feature’ is defined broadly in s 20(10) as:</w:t>
      </w:r>
    </w:p>
    <w:p w14:paraId="589F647E" w14:textId="38DD4443" w:rsidR="0019789C" w:rsidRPr="002A65B0" w:rsidRDefault="0019789C" w:rsidP="00CB427E">
      <w:pPr>
        <w:pStyle w:val="QuoteList"/>
      </w:pPr>
      <w:r w:rsidRPr="002A65B0">
        <w:t xml:space="preserve">(a) a feature arising from the design or construction of a building, </w:t>
      </w:r>
    </w:p>
    <w:p w14:paraId="75DF0DD0" w14:textId="77777777" w:rsidR="0019789C" w:rsidRPr="002A65B0" w:rsidRDefault="0019789C" w:rsidP="00CB427E">
      <w:pPr>
        <w:pStyle w:val="QuoteList"/>
      </w:pPr>
      <w:r w:rsidRPr="002A65B0">
        <w:t xml:space="preserve">(b) a feature of an approach to, exit from or access to a building, </w:t>
      </w:r>
    </w:p>
    <w:p w14:paraId="7107CAEA" w14:textId="4CD42858" w:rsidR="0019789C" w:rsidRPr="002A65B0" w:rsidRDefault="0019789C" w:rsidP="00CB427E">
      <w:pPr>
        <w:pStyle w:val="QuoteList"/>
      </w:pPr>
      <w:r w:rsidRPr="002A65B0">
        <w:t xml:space="preserve">(c) a fixture or fitting, or furniture, furnishings, materials, equipment or other chattels, in or on premises, or </w:t>
      </w:r>
    </w:p>
    <w:p w14:paraId="6EE8DAB0" w14:textId="16DE6AD5" w:rsidR="0019789C" w:rsidRPr="002A65B0" w:rsidRDefault="0019789C" w:rsidP="00CB427E">
      <w:pPr>
        <w:pStyle w:val="QuoteList"/>
      </w:pPr>
      <w:r w:rsidRPr="002A65B0">
        <w:lastRenderedPageBreak/>
        <w:t>(d) any other physical element or quality.</w:t>
      </w:r>
    </w:p>
    <w:p w14:paraId="6930AAC1" w14:textId="77777777" w:rsidR="0019789C" w:rsidRPr="002A65B0" w:rsidRDefault="0019789C" w:rsidP="00451F67">
      <w:pPr>
        <w:pStyle w:val="PlainText"/>
      </w:pPr>
    </w:p>
    <w:p w14:paraId="33E1900A" w14:textId="19161EB9" w:rsidR="0019789C" w:rsidRPr="002A65B0" w:rsidRDefault="0019789C" w:rsidP="00492FD3">
      <w:pPr>
        <w:ind w:firstLine="0"/>
      </w:pPr>
      <w:r w:rsidRPr="002A65B0">
        <w:t>Examples of possible physical features relevant in the context of inclusive streets include features connected with street design – eg the existence or nature of tactile markings for controlled crossings; the presence or absence of separate pedestrian space (eg pavements or sidewalks); the presence or absence of controlled crossings; or the existence or nature of street lighting. Other examples of relevant physical features could include roadworks; potholes and other trip hazards; street furniture; or signs.</w:t>
      </w:r>
    </w:p>
    <w:p w14:paraId="59FE3D80" w14:textId="098A46FF" w:rsidR="0019789C" w:rsidRPr="002A65B0" w:rsidRDefault="0019789C" w:rsidP="00CB427E"/>
    <w:p w14:paraId="5083B676" w14:textId="67201EFB" w:rsidR="0019789C" w:rsidRPr="002A65B0" w:rsidRDefault="0019789C" w:rsidP="00CB427E">
      <w:r w:rsidRPr="002A65B0">
        <w:t>It should also be noted, in relation to physical features, that EA schedule 2, s 2(3) provides that the phrase ‘to avoid the disadvantage’ in s 20(4) should instead read ‘(a) to avoid the disadvantage, or (b) to adopt a reasonable alternative method of providing the service or exercising the function’.</w:t>
      </w:r>
    </w:p>
    <w:p w14:paraId="00D774D1" w14:textId="77777777" w:rsidR="0019789C" w:rsidRPr="002A65B0" w:rsidRDefault="0019789C" w:rsidP="00CB427E"/>
    <w:p w14:paraId="64A91D7C" w14:textId="2342D011" w:rsidR="0019789C" w:rsidRPr="002A65B0" w:rsidRDefault="0019789C" w:rsidP="001C2C4A">
      <w:r w:rsidRPr="002A65B0">
        <w:t>The requirement in s 20(5) relating to the provision of auxiliary aids is perhaps less relevant to accessing streets than the former two requirements. References to an ‘auxiliary aid’ in the EA include reference to an ‘auxiliary service’.</w:t>
      </w:r>
      <w:r w:rsidRPr="002A65B0">
        <w:rPr>
          <w:rStyle w:val="FootnoteReference"/>
        </w:rPr>
        <w:footnoteReference w:id="321"/>
      </w:r>
      <w:r w:rsidRPr="002A65B0">
        <w:t xml:space="preserve"> An auxiliary aid or service is ‘anything which provides additional support or assistance to a disabled person’, including sign language interpreters, extra staff assistance, videophones, audio-visual fire alarms, and telephone services to supplement other information.</w:t>
      </w:r>
      <w:r w:rsidRPr="002A65B0">
        <w:rPr>
          <w:rStyle w:val="FootnoteReference"/>
        </w:rPr>
        <w:footnoteReference w:id="322"/>
      </w:r>
      <w:r w:rsidRPr="002A65B0">
        <w:t xml:space="preserve"> </w:t>
      </w:r>
    </w:p>
    <w:p w14:paraId="46DD1AA7" w14:textId="77777777" w:rsidR="0019789C" w:rsidRPr="002A65B0" w:rsidRDefault="0019789C" w:rsidP="001C2C4A"/>
    <w:p w14:paraId="3E421AD5" w14:textId="5AB9DA4D" w:rsidR="0019789C" w:rsidRPr="002A65B0" w:rsidRDefault="0019789C" w:rsidP="001C2C4A">
      <w:r w:rsidRPr="002A65B0">
        <w:t>In order to trigger the reasonable adjustment duty, the situation must be one in which providers of services or public functions ought to anticipate that a ‘substantial disadvantage’ might be caused to disabled persons because of something falling within the scope of s 20(3)-(5). ‘Substantial’, for this purpose, is defined as ‘more than minor or trivial’ – a decidedly low bar.</w:t>
      </w:r>
      <w:r w:rsidRPr="002A65B0">
        <w:rPr>
          <w:rStyle w:val="FootnoteReference"/>
        </w:rPr>
        <w:footnoteReference w:id="323"/>
      </w:r>
      <w:r w:rsidRPr="002A65B0">
        <w:t xml:space="preserve"> In relation to the exercise of public functions, the substantial disadvantage can take the form of the ‘conferment of a benefit’, or of ‘suffering an unreasonably adverse experience when being subjected to a detriment’.</w:t>
      </w:r>
      <w:r w:rsidRPr="002A65B0">
        <w:rPr>
          <w:rStyle w:val="FootnoteReference"/>
        </w:rPr>
        <w:footnoteReference w:id="324"/>
      </w:r>
      <w:r w:rsidRPr="002A65B0">
        <w:t xml:space="preserve"> It should also be noted that a claim cannot be brought unless the claimant is able to show that they have actually been subjected to a substantial disadvantage. Whether </w:t>
      </w:r>
      <w:r w:rsidRPr="002A65B0">
        <w:lastRenderedPageBreak/>
        <w:t>there has been a disadvantage entails comparison with what the position would be if the person in question did not have an impairment.</w:t>
      </w:r>
      <w:r w:rsidRPr="002A65B0">
        <w:rPr>
          <w:rStyle w:val="FootnoteReference"/>
        </w:rPr>
        <w:footnoteReference w:id="325"/>
      </w:r>
      <w:r w:rsidRPr="002A65B0">
        <w:t xml:space="preserve"> There is no need for all disabled people or persons with other kinds of impairments to be put at a substantial disadvantage. Rather the focus is on persons with that kind of impairment.</w:t>
      </w:r>
      <w:r w:rsidRPr="002A65B0">
        <w:rPr>
          <w:rStyle w:val="FootnoteReference"/>
        </w:rPr>
        <w:footnoteReference w:id="326"/>
      </w:r>
      <w:r w:rsidRPr="002A65B0">
        <w:t xml:space="preserve"> </w:t>
      </w:r>
    </w:p>
    <w:p w14:paraId="2962E7F8" w14:textId="77777777" w:rsidR="0019789C" w:rsidRPr="002A65B0" w:rsidRDefault="0019789C" w:rsidP="001C2C4A"/>
    <w:p w14:paraId="27DB22E2" w14:textId="30013AFA" w:rsidR="0019789C" w:rsidRPr="002A65B0" w:rsidRDefault="0019789C" w:rsidP="00A36E10">
      <w:r w:rsidRPr="002A65B0">
        <w:t>Once the anticipatory reasonable adjustment duty is triggered, duty-bearers are required, in line with s 20 (3)-(5), to take such steps as would be reasonable to remove or avoid the relevant disadvantage. The focus is on removing the disadvantage and the fact that doing so may place the disabled person in a more favourable position than others does not necessarily mean that the step will be unreasonable.</w:t>
      </w:r>
      <w:r w:rsidRPr="002A65B0">
        <w:rPr>
          <w:rStyle w:val="FootnoteReference"/>
        </w:rPr>
        <w:footnoteReference w:id="327"/>
      </w:r>
    </w:p>
    <w:p w14:paraId="65FD9FAC" w14:textId="1329B542" w:rsidR="0019789C" w:rsidRPr="002A65B0" w:rsidRDefault="0019789C" w:rsidP="00F13FCA"/>
    <w:p w14:paraId="421B578E" w14:textId="2AB00D52" w:rsidR="0019789C" w:rsidRPr="002A65B0" w:rsidRDefault="0019789C" w:rsidP="00F13FCA">
      <w:r w:rsidRPr="002A65B0">
        <w:rPr>
          <w:szCs w:val="18"/>
        </w:rPr>
        <w:t xml:space="preserve">Duty-bearers must continually review whether there are relevant potential disadvantages and whether there are steps they could reasonably take to remove them. To support this process, engaging with and consulting disabled people’s organisations can be of considerable value. </w:t>
      </w:r>
      <w:r w:rsidRPr="002A65B0">
        <w:t>The costs of adjustments cannot be passed to the disabled person concerned.</w:t>
      </w:r>
      <w:r w:rsidRPr="002A65B0">
        <w:rPr>
          <w:rStyle w:val="FootnoteReference"/>
        </w:rPr>
        <w:footnoteReference w:id="328"/>
      </w:r>
      <w:r w:rsidRPr="002A65B0">
        <w:t xml:space="preserve"> Service providers are not required to take steps that would fundamentally alter the nature of their service or trade or profession</w:t>
      </w:r>
      <w:r w:rsidRPr="002A65B0">
        <w:rPr>
          <w:rStyle w:val="FootnoteReference"/>
        </w:rPr>
        <w:footnoteReference w:id="329"/>
      </w:r>
      <w:r w:rsidRPr="002A65B0">
        <w:t>; and those exercising public functions are not required to take any steps which are outside their powers.</w:t>
      </w:r>
      <w:r w:rsidRPr="002A65B0">
        <w:rPr>
          <w:rStyle w:val="FootnoteReference"/>
        </w:rPr>
        <w:footnoteReference w:id="330"/>
      </w:r>
      <w:r w:rsidRPr="002A65B0">
        <w:t xml:space="preserve"> </w:t>
      </w:r>
    </w:p>
    <w:p w14:paraId="775D3834" w14:textId="77777777" w:rsidR="0019789C" w:rsidRPr="002A65B0" w:rsidRDefault="0019789C" w:rsidP="00507A30"/>
    <w:p w14:paraId="757BD9A4" w14:textId="2CABBACD" w:rsidR="0019789C" w:rsidRPr="002A65B0" w:rsidRDefault="0019789C" w:rsidP="00507A30">
      <w:r w:rsidRPr="002A65B0">
        <w:t xml:space="preserve">Guidance on the meaning of reasonableness in this context is provided by the Equality Act Services </w:t>
      </w:r>
      <w:r w:rsidRPr="002A65B0">
        <w:rPr>
          <w:szCs w:val="18"/>
        </w:rPr>
        <w:t xml:space="preserve">Code of Practice. </w:t>
      </w:r>
      <w:r w:rsidRPr="002A65B0">
        <w:t>According to this:</w:t>
      </w:r>
    </w:p>
    <w:p w14:paraId="767C5CCC" w14:textId="4A3BD684" w:rsidR="0019789C" w:rsidRPr="002A65B0" w:rsidRDefault="0019789C" w:rsidP="00D15A4B">
      <w:pPr>
        <w:pStyle w:val="Quote"/>
      </w:pPr>
      <w:r w:rsidRPr="002A65B0">
        <w:t xml:space="preserve">The duty to make reasonable adjustments places service providers under a responsibility to take such steps as it is reasonable, in all the circumstances of the case, to have to take in order to make adjustments. The Act does not specify </w:t>
      </w:r>
      <w:r w:rsidRPr="002A65B0">
        <w:lastRenderedPageBreak/>
        <w:t>that any particular factors should be taken into account. What is a reasonable step for a particular service provider to have to take depends on all the circumstances of the case. It will vary according to:</w:t>
      </w:r>
    </w:p>
    <w:p w14:paraId="1C00E4B0" w14:textId="77777777" w:rsidR="0019789C" w:rsidRPr="002A65B0" w:rsidRDefault="0019789C" w:rsidP="00427643">
      <w:pPr>
        <w:pStyle w:val="QuoteList"/>
        <w:numPr>
          <w:ilvl w:val="0"/>
          <w:numId w:val="6"/>
        </w:numPr>
      </w:pPr>
      <w:r w:rsidRPr="002A65B0">
        <w:t>the type of service being provided;</w:t>
      </w:r>
    </w:p>
    <w:p w14:paraId="69520109" w14:textId="77777777" w:rsidR="0019789C" w:rsidRPr="002A65B0" w:rsidRDefault="0019789C" w:rsidP="00427643">
      <w:pPr>
        <w:pStyle w:val="QuoteList"/>
        <w:numPr>
          <w:ilvl w:val="0"/>
          <w:numId w:val="6"/>
        </w:numPr>
      </w:pPr>
      <w:r w:rsidRPr="002A65B0">
        <w:t>the nature of the service provider and its size and resources; and</w:t>
      </w:r>
    </w:p>
    <w:p w14:paraId="09FEB2F4" w14:textId="77777777" w:rsidR="0019789C" w:rsidRPr="002A65B0" w:rsidRDefault="0019789C" w:rsidP="00427643">
      <w:pPr>
        <w:pStyle w:val="QuoteList"/>
        <w:numPr>
          <w:ilvl w:val="0"/>
          <w:numId w:val="6"/>
        </w:numPr>
      </w:pPr>
      <w:r w:rsidRPr="002A65B0">
        <w:t>the effect of the disability on the individual disabled person.</w:t>
      </w:r>
    </w:p>
    <w:p w14:paraId="70CA6C36" w14:textId="7EAE9860" w:rsidR="0019789C" w:rsidRPr="002A65B0" w:rsidRDefault="0019789C" w:rsidP="00D15A4B">
      <w:pPr>
        <w:pStyle w:val="Quote"/>
      </w:pPr>
      <w:r w:rsidRPr="002A65B0">
        <w:t xml:space="preserve">However, without intending to be exhaustive, the following are some of the factors which might be taken into account when considering what is reasonable: </w:t>
      </w:r>
    </w:p>
    <w:p w14:paraId="20A6565F" w14:textId="77777777" w:rsidR="0019789C" w:rsidRPr="002A65B0" w:rsidRDefault="0019789C" w:rsidP="00427643">
      <w:pPr>
        <w:pStyle w:val="Quote"/>
        <w:numPr>
          <w:ilvl w:val="0"/>
          <w:numId w:val="7"/>
        </w:numPr>
      </w:pPr>
      <w:r w:rsidRPr="002A65B0">
        <w:t>whether taking any particular steps would be effective in overcoming the substantial disadvantage that disabled people face in accessing the services in question;</w:t>
      </w:r>
    </w:p>
    <w:p w14:paraId="284C2CA4" w14:textId="20EFFA31" w:rsidR="0019789C" w:rsidRPr="002A65B0" w:rsidRDefault="0019789C" w:rsidP="00427643">
      <w:pPr>
        <w:pStyle w:val="QuoteList"/>
        <w:numPr>
          <w:ilvl w:val="0"/>
          <w:numId w:val="5"/>
        </w:numPr>
      </w:pPr>
      <w:r w:rsidRPr="002A65B0">
        <w:t>the extent to which it is practicable for the service provider to take the steps;</w:t>
      </w:r>
    </w:p>
    <w:p w14:paraId="0D5956EA" w14:textId="77777777" w:rsidR="0019789C" w:rsidRPr="002A65B0" w:rsidRDefault="0019789C" w:rsidP="00427643">
      <w:pPr>
        <w:pStyle w:val="QuoteList"/>
        <w:numPr>
          <w:ilvl w:val="0"/>
          <w:numId w:val="5"/>
        </w:numPr>
      </w:pPr>
      <w:r w:rsidRPr="002A65B0">
        <w:t>the financial and other costs of making the adjustment;</w:t>
      </w:r>
    </w:p>
    <w:p w14:paraId="3767FF7D" w14:textId="77777777" w:rsidR="0019789C" w:rsidRPr="002A65B0" w:rsidRDefault="0019789C" w:rsidP="00427643">
      <w:pPr>
        <w:pStyle w:val="QuoteList"/>
        <w:numPr>
          <w:ilvl w:val="0"/>
          <w:numId w:val="5"/>
        </w:numPr>
      </w:pPr>
      <w:r w:rsidRPr="002A65B0">
        <w:t>the extent of any disruption which taking the steps would cause;</w:t>
      </w:r>
    </w:p>
    <w:p w14:paraId="2BC125E5" w14:textId="77777777" w:rsidR="0019789C" w:rsidRPr="002A65B0" w:rsidRDefault="0019789C" w:rsidP="00427643">
      <w:pPr>
        <w:pStyle w:val="QuoteList"/>
        <w:numPr>
          <w:ilvl w:val="0"/>
          <w:numId w:val="5"/>
        </w:numPr>
      </w:pPr>
      <w:r w:rsidRPr="002A65B0">
        <w:t>the extent of the service provider’s financial and other resources;</w:t>
      </w:r>
    </w:p>
    <w:p w14:paraId="2BD7809C" w14:textId="77777777" w:rsidR="0019789C" w:rsidRPr="002A65B0" w:rsidRDefault="0019789C" w:rsidP="00427643">
      <w:pPr>
        <w:pStyle w:val="QuoteList"/>
        <w:numPr>
          <w:ilvl w:val="0"/>
          <w:numId w:val="5"/>
        </w:numPr>
      </w:pPr>
      <w:r w:rsidRPr="002A65B0">
        <w:t>the amount of any resources already spent on making adjustments; and</w:t>
      </w:r>
    </w:p>
    <w:p w14:paraId="599C932C" w14:textId="5399B183" w:rsidR="0019789C" w:rsidRPr="002A65B0" w:rsidRDefault="0019789C" w:rsidP="00427643">
      <w:pPr>
        <w:pStyle w:val="QuoteList"/>
        <w:numPr>
          <w:ilvl w:val="0"/>
          <w:numId w:val="5"/>
        </w:numPr>
      </w:pPr>
      <w:r w:rsidRPr="002A65B0">
        <w:t>the availability of financial or other assistance.</w:t>
      </w:r>
      <w:r w:rsidRPr="002A65B0">
        <w:rPr>
          <w:rStyle w:val="FootnoteReference"/>
        </w:rPr>
        <w:footnoteReference w:id="331"/>
      </w:r>
    </w:p>
    <w:p w14:paraId="20D069ED" w14:textId="77777777" w:rsidR="0019789C" w:rsidRPr="002A65B0" w:rsidRDefault="0019789C" w:rsidP="00507A30"/>
    <w:p w14:paraId="5C62C56D" w14:textId="7812D050" w:rsidR="0019789C" w:rsidRPr="002A65B0" w:rsidRDefault="0019789C" w:rsidP="00507A30">
      <w:r w:rsidRPr="002A65B0">
        <w:t xml:space="preserve"> Where a particular PCP is the cause of the disadvantage, adjustments may entail waiving it; amending it to allow exceptions; or abandoning it altogether.</w:t>
      </w:r>
      <w:r w:rsidRPr="002A65B0">
        <w:rPr>
          <w:rStyle w:val="FootnoteReference"/>
        </w:rPr>
        <w:footnoteReference w:id="332"/>
      </w:r>
      <w:r w:rsidRPr="002A65B0">
        <w:t xml:space="preserve"> Where the cause of the disadvantage is a physical feature, s 20(9) specifies that reasonable steps to tackle it might involve removing the physical feature in question, altering it, or providing a reasonable means of avoiding it. In this context, ‘reasonableness’ considerations include the dignity of disabled people, their convenience and the extent to which the relevant steps put disabled people in the same position as others when trying to access the service or function. According to the Services Code of Practice:</w:t>
      </w:r>
    </w:p>
    <w:p w14:paraId="0FB21A36" w14:textId="51771094" w:rsidR="0019789C" w:rsidRPr="002A65B0" w:rsidRDefault="0019789C" w:rsidP="00EA0C5F">
      <w:pPr>
        <w:pStyle w:val="Quote"/>
      </w:pPr>
      <w:r w:rsidRPr="002A65B0">
        <w:t xml:space="preserve">Where there is a physical barrier, the service provider’s aim should be to make its services accessible to disabled people and, in particular, to provide access to a service as close as it is reasonably possible to get to the standard normally </w:t>
      </w:r>
      <w:r w:rsidRPr="002A65B0">
        <w:lastRenderedPageBreak/>
        <w:t>offered to the public at large. When considering which option to adopt, service providers must balance and compare the alternatives in light of the policy of the Act, which is, as far as is reasonably practicable, to approximate the access enjoyed by disabled persons to that enjoyed by the rest of the public.</w:t>
      </w:r>
      <w:r w:rsidRPr="002A65B0">
        <w:rPr>
          <w:rStyle w:val="FootnoteReference"/>
        </w:rPr>
        <w:footnoteReference w:id="333"/>
      </w:r>
    </w:p>
    <w:p w14:paraId="7A221D2C" w14:textId="77777777" w:rsidR="0019789C" w:rsidRPr="002A65B0" w:rsidRDefault="0019789C" w:rsidP="001C2C4A"/>
    <w:p w14:paraId="57C628F4" w14:textId="7A2F14B8" w:rsidR="0019789C" w:rsidRPr="002A65B0" w:rsidRDefault="0019789C" w:rsidP="00AE3A75">
      <w:pPr>
        <w:pStyle w:val="Heading4"/>
      </w:pPr>
      <w:bookmarkStart w:id="45" w:name="_Ref27048345"/>
      <w:r w:rsidRPr="002A65B0">
        <w:t>(b) Remedies</w:t>
      </w:r>
      <w:bookmarkEnd w:id="45"/>
      <w:r>
        <w:t>, Sanctions or Other Outcomes</w:t>
      </w:r>
    </w:p>
    <w:p w14:paraId="3ABFDDC1" w14:textId="09C53ABF" w:rsidR="0019789C" w:rsidRPr="002A65B0" w:rsidRDefault="0019789C" w:rsidP="001C2C4A">
      <w:r w:rsidRPr="002A65B0">
        <w:t>Issues of enforcement and remedies are dealt with in Part 9 of the EA. According to s 114(1), the county court (in England and Wales) and the sheriff court (in Scotland) have jurisdiction to determine claims relating to contraventions of Part 3 (services and public functions) of the Act. Section 119 deals with remedies and provides that the county court has power to grant any remedy which could be granted by the High Court in tort and judicial review proceedings;</w:t>
      </w:r>
      <w:r w:rsidRPr="002A65B0">
        <w:rPr>
          <w:rStyle w:val="FootnoteReference"/>
        </w:rPr>
        <w:footnoteReference w:id="334"/>
      </w:r>
      <w:r w:rsidRPr="002A65B0">
        <w:t xml:space="preserve"> and the sheriff court has power to make any order which could be made by the Scottish Court of Session in proceedings for reparation and petitions for judicial review.</w:t>
      </w:r>
      <w:r w:rsidRPr="002A65B0">
        <w:rPr>
          <w:rStyle w:val="FootnoteReference"/>
        </w:rPr>
        <w:footnoteReference w:id="335"/>
      </w:r>
      <w:r w:rsidRPr="002A65B0">
        <w:t xml:space="preserve"> According to the Equality Act Services Code of Practice, these remedies include:</w:t>
      </w:r>
    </w:p>
    <w:p w14:paraId="0BCEC50C" w14:textId="01794A42" w:rsidR="0019789C" w:rsidRPr="002A65B0" w:rsidRDefault="0019789C" w:rsidP="00427643">
      <w:pPr>
        <w:pStyle w:val="ListParagraph"/>
        <w:numPr>
          <w:ilvl w:val="0"/>
          <w:numId w:val="26"/>
        </w:numPr>
      </w:pPr>
      <w:r w:rsidRPr="002A65B0">
        <w:t>a declaration of the rights and responsibilities of the parties to the claim;</w:t>
      </w:r>
    </w:p>
    <w:p w14:paraId="166A0B12" w14:textId="77777777" w:rsidR="0019789C" w:rsidRPr="002A65B0" w:rsidRDefault="0019789C" w:rsidP="00427643">
      <w:pPr>
        <w:pStyle w:val="ListParagraph"/>
        <w:numPr>
          <w:ilvl w:val="0"/>
          <w:numId w:val="26"/>
        </w:numPr>
      </w:pPr>
      <w:r w:rsidRPr="002A65B0">
        <w:t>an injunction or interdict to prevent the person defending the claim from repeating any unlawful act in the future;</w:t>
      </w:r>
    </w:p>
    <w:p w14:paraId="7D375D5E" w14:textId="77777777" w:rsidR="0019789C" w:rsidRPr="002A65B0" w:rsidRDefault="0019789C" w:rsidP="00427643">
      <w:pPr>
        <w:pStyle w:val="ListParagraph"/>
        <w:numPr>
          <w:ilvl w:val="0"/>
          <w:numId w:val="26"/>
        </w:numPr>
      </w:pPr>
      <w:r w:rsidRPr="002A65B0">
        <w:t>quashing orders by which the court can set aside an administrative decision or action of a public authority;</w:t>
      </w:r>
    </w:p>
    <w:p w14:paraId="5005E951" w14:textId="77777777" w:rsidR="0019789C" w:rsidRPr="002A65B0" w:rsidRDefault="0019789C" w:rsidP="00427643">
      <w:pPr>
        <w:pStyle w:val="ListParagraph"/>
        <w:numPr>
          <w:ilvl w:val="0"/>
          <w:numId w:val="26"/>
        </w:numPr>
      </w:pPr>
      <w:r w:rsidRPr="002A65B0">
        <w:t>damages to compensate for any loss suffered by the person bringing the claim;</w:t>
      </w:r>
    </w:p>
    <w:p w14:paraId="0DD4A02C" w14:textId="77777777" w:rsidR="0019789C" w:rsidRPr="002A65B0" w:rsidRDefault="0019789C" w:rsidP="00427643">
      <w:pPr>
        <w:pStyle w:val="ListParagraph"/>
        <w:numPr>
          <w:ilvl w:val="0"/>
          <w:numId w:val="26"/>
        </w:numPr>
      </w:pPr>
      <w:r w:rsidRPr="002A65B0">
        <w:t>interest on damages; and</w:t>
      </w:r>
    </w:p>
    <w:p w14:paraId="4B941AA3" w14:textId="37691F81" w:rsidR="0019789C" w:rsidRPr="002A65B0" w:rsidRDefault="0019789C" w:rsidP="00427643">
      <w:pPr>
        <w:pStyle w:val="ListParagraph"/>
        <w:numPr>
          <w:ilvl w:val="0"/>
          <w:numId w:val="26"/>
        </w:numPr>
      </w:pPr>
      <w:r w:rsidRPr="002A65B0">
        <w:t>costs.</w:t>
      </w:r>
      <w:r w:rsidRPr="002A65B0">
        <w:rPr>
          <w:rStyle w:val="FootnoteReference"/>
        </w:rPr>
        <w:footnoteReference w:id="336"/>
      </w:r>
    </w:p>
    <w:p w14:paraId="6DAB0AE7" w14:textId="77777777" w:rsidR="0019789C" w:rsidRPr="002A65B0" w:rsidRDefault="0019789C" w:rsidP="001C2C4A"/>
    <w:p w14:paraId="2943B354" w14:textId="47485115" w:rsidR="0019789C" w:rsidRPr="002A65B0" w:rsidRDefault="0019789C" w:rsidP="00F10011">
      <w:r w:rsidRPr="002A65B0">
        <w:t>The most common form of remedy for EA cases is an award of damages.</w:t>
      </w:r>
      <w:bookmarkStart w:id="46" w:name="_Ref30502110"/>
      <w:r w:rsidRPr="002A65B0">
        <w:rPr>
          <w:rStyle w:val="FootnoteReference"/>
        </w:rPr>
        <w:footnoteReference w:id="337"/>
      </w:r>
      <w:bookmarkEnd w:id="46"/>
      <w:r w:rsidRPr="002A65B0">
        <w:t xml:space="preserve"> Such awards can cover any loss caused to the claimant and may include aggravated damages </w:t>
      </w:r>
      <w:r w:rsidRPr="002A65B0">
        <w:lastRenderedPageBreak/>
        <w:t>in the form of compensation for injured feelings.</w:t>
      </w:r>
      <w:r w:rsidRPr="002A65B0">
        <w:rPr>
          <w:rStyle w:val="FootnoteReference"/>
        </w:rPr>
        <w:footnoteReference w:id="338"/>
      </w:r>
      <w:r w:rsidRPr="002A65B0">
        <w:t xml:space="preserve"> As per the Equality Act Services Code of Practice:</w:t>
      </w:r>
    </w:p>
    <w:p w14:paraId="20ECA95E" w14:textId="6921450C" w:rsidR="0019789C" w:rsidRPr="002A65B0" w:rsidRDefault="0019789C" w:rsidP="00F10011">
      <w:pPr>
        <w:pStyle w:val="Quote"/>
      </w:pPr>
      <w:r w:rsidRPr="002A65B0">
        <w:t>An award of damages can include any loss the claimant or pursuer has suffered. In England and Wales, the award can include aggravated damages which may be awarded when the person committing the unlawful act has behaved in a high-handed, malicious, insulting or oppressive manner in doing so. These damages are additional compensation for injured feelings.</w:t>
      </w:r>
    </w:p>
    <w:p w14:paraId="0346050A" w14:textId="7EBC82A3" w:rsidR="0019789C" w:rsidRPr="002A65B0" w:rsidRDefault="0019789C" w:rsidP="00F10011">
      <w:pPr>
        <w:pStyle w:val="Quote"/>
      </w:pPr>
      <w:r w:rsidRPr="002A65B0">
        <w:t>In England and Wales where a public authority acts unlawfully under the Act, the courts may, very occasionally, award ‘exemplary’ damages. At the court’s discretion, these may be awarded for oppressive, arbitrary or unconstitutional action by servants of the government.</w:t>
      </w:r>
    </w:p>
    <w:p w14:paraId="0BD54665" w14:textId="7F5495DC" w:rsidR="0019789C" w:rsidRPr="002A65B0" w:rsidRDefault="0019789C" w:rsidP="00F10011">
      <w:pPr>
        <w:pStyle w:val="Quote"/>
      </w:pPr>
      <w:r w:rsidRPr="002A65B0">
        <w:t xml:space="preserve"> ‘Exemplary damages’ may also be awarded where the defendant’s conduct has been calculated by them to make a profit for themselves. Exemplary damages may well exceed the compensation to the claimant. However, these damages are not available in Scotland.</w:t>
      </w:r>
      <w:r w:rsidRPr="002A65B0">
        <w:rPr>
          <w:rStyle w:val="FootnoteReference"/>
        </w:rPr>
        <w:footnoteReference w:id="339"/>
      </w:r>
    </w:p>
    <w:p w14:paraId="764FB147" w14:textId="77777777" w:rsidR="0019789C" w:rsidRPr="002A65B0" w:rsidRDefault="0019789C" w:rsidP="00E34DDA"/>
    <w:p w14:paraId="76CBCE49" w14:textId="659A27DA" w:rsidR="0019789C" w:rsidRPr="002A65B0" w:rsidRDefault="0019789C" w:rsidP="0045718B">
      <w:r w:rsidRPr="002A65B0">
        <w:t>‘Injury to feelings’ covers ‘subjective feelings of upset, frustration, worry, anxiety, mental distress, fear, grief, anguish, humiliation, unhappiness, stress, depression and so on’.</w:t>
      </w:r>
      <w:r w:rsidRPr="002A65B0">
        <w:rPr>
          <w:rStyle w:val="FootnoteReference"/>
        </w:rPr>
        <w:footnoteReference w:id="340"/>
      </w:r>
      <w:r>
        <w:t xml:space="preserve"> </w:t>
      </w:r>
      <w:r w:rsidRPr="002A65B0">
        <w:t xml:space="preserve">The Court of Appeal has provided guidance on the assessment of this form of damages in </w:t>
      </w:r>
      <w:r w:rsidRPr="002A65B0">
        <w:rPr>
          <w:i/>
        </w:rPr>
        <w:t>Vento v Chief Constable of West Yorkshire Police</w:t>
      </w:r>
      <w:r w:rsidRPr="002A65B0">
        <w:t>, referred to the ‘</w:t>
      </w:r>
      <w:r w:rsidRPr="002A65B0">
        <w:rPr>
          <w:i/>
        </w:rPr>
        <w:t>Vento</w:t>
      </w:r>
      <w:r w:rsidRPr="002A65B0">
        <w:t xml:space="preserve"> scale’.</w:t>
      </w:r>
      <w:bookmarkStart w:id="47" w:name="_Ref30082140"/>
      <w:r w:rsidRPr="002A65B0">
        <w:rPr>
          <w:rStyle w:val="FootnoteReference"/>
        </w:rPr>
        <w:footnoteReference w:id="341"/>
      </w:r>
      <w:bookmarkEnd w:id="47"/>
      <w:r w:rsidRPr="002A65B0">
        <w:t xml:space="preserve"> The scale is used in claims presented England and Wales, and in Scotland, </w:t>
      </w:r>
      <w:r w:rsidRPr="002A65B0">
        <w:lastRenderedPageBreak/>
        <w:t>where the lower bands are still in effect.</w:t>
      </w:r>
      <w:r w:rsidRPr="002A65B0">
        <w:rPr>
          <w:rStyle w:val="FootnoteReference"/>
        </w:rPr>
        <w:footnoteReference w:id="342"/>
      </w:r>
      <w:r w:rsidRPr="002A65B0">
        <w:t xml:space="preserve"> The </w:t>
      </w:r>
      <w:r w:rsidRPr="002A65B0">
        <w:rPr>
          <w:i/>
        </w:rPr>
        <w:t>Vento</w:t>
      </w:r>
      <w:r w:rsidRPr="002A65B0">
        <w:t xml:space="preserve"> bands were initially developed in the context of employment law and updated (non-binding) guidance is issued jointly by the Presidents of the Employment Tribunals of England and Wales and of Scotland.</w:t>
      </w:r>
      <w:r w:rsidRPr="002A65B0">
        <w:rPr>
          <w:rStyle w:val="FootnoteReference"/>
        </w:rPr>
        <w:footnoteReference w:id="343"/>
      </w:r>
      <w:r w:rsidRPr="002A65B0">
        <w:t xml:space="preserve"> Yet the scale has been applied in a range of non-employment cases, including those brought pursuant Part 3 EA.</w:t>
      </w:r>
      <w:r w:rsidRPr="002A65B0">
        <w:rPr>
          <w:rStyle w:val="FootnoteReference"/>
        </w:rPr>
        <w:footnoteReference w:id="344"/>
      </w:r>
      <w:r w:rsidRPr="002A65B0">
        <w:t xml:space="preserve"> In </w:t>
      </w:r>
      <w:r w:rsidRPr="002A65B0">
        <w:rPr>
          <w:rStyle w:val="case"/>
        </w:rPr>
        <w:t>Esther Leighton v Culinaris UK Ltd</w:t>
      </w:r>
      <w:r w:rsidRPr="002A65B0">
        <w:rPr>
          <w:rStyle w:val="case"/>
          <w:i w:val="0"/>
        </w:rPr>
        <w:t>,</w:t>
      </w:r>
      <w:r w:rsidRPr="002A65B0">
        <w:rPr>
          <w:rStyle w:val="FootnoteReference"/>
        </w:rPr>
        <w:footnoteReference w:id="345"/>
      </w:r>
      <w:r w:rsidRPr="002A65B0">
        <w:rPr>
          <w:rStyle w:val="case"/>
          <w:i w:val="0"/>
        </w:rPr>
        <w:t xml:space="preserve"> the claimant, an electric wheelchair user, brought a claim under Part 3 EA for the defendant shop’s failure ‘to make reasonable adjustments to provide a ramp with level access and … to provide a suitable aid, or other information or signage of how wheelchair users may get into the premises’</w:t>
      </w:r>
      <w:r w:rsidRPr="002A65B0">
        <w:rPr>
          <w:rStyle w:val="FootnoteReference"/>
        </w:rPr>
        <w:footnoteReference w:id="346"/>
      </w:r>
      <w:r w:rsidRPr="002A65B0">
        <w:rPr>
          <w:rStyle w:val="case"/>
          <w:i w:val="0"/>
        </w:rPr>
        <w:t xml:space="preserve"> The claimant argued that this failure caused injury to feelings and received damages in the sum of £1,700, as per the </w:t>
      </w:r>
      <w:r w:rsidRPr="002A65B0">
        <w:rPr>
          <w:rStyle w:val="case"/>
        </w:rPr>
        <w:t>Vento</w:t>
      </w:r>
      <w:r w:rsidRPr="002A65B0">
        <w:rPr>
          <w:rStyle w:val="case"/>
          <w:i w:val="0"/>
        </w:rPr>
        <w:t xml:space="preserve"> scale,</w:t>
      </w:r>
      <w:r w:rsidRPr="002A65B0">
        <w:rPr>
          <w:rStyle w:val="FootnoteReference"/>
        </w:rPr>
        <w:footnoteReference w:id="347"/>
      </w:r>
      <w:r w:rsidRPr="002A65B0">
        <w:rPr>
          <w:rStyle w:val="case"/>
          <w:i w:val="0"/>
        </w:rPr>
        <w:t xml:space="preserve"> and a declaration from the court that she was discriminated against by the defendant.</w:t>
      </w:r>
      <w:r w:rsidRPr="002A65B0">
        <w:rPr>
          <w:rStyle w:val="FootnoteReference"/>
        </w:rPr>
        <w:footnoteReference w:id="348"/>
      </w:r>
      <w:r w:rsidRPr="002A65B0">
        <w:rPr>
          <w:rStyle w:val="case"/>
          <w:i w:val="0"/>
        </w:rPr>
        <w:t xml:space="preserve"> </w:t>
      </w:r>
      <w:r w:rsidRPr="002A65B0">
        <w:t xml:space="preserve">In </w:t>
      </w:r>
      <w:r w:rsidRPr="002A65B0">
        <w:rPr>
          <w:i/>
        </w:rPr>
        <w:t>Hosegood v Khalid</w:t>
      </w:r>
      <w:r w:rsidRPr="002A65B0">
        <w:t>,</w:t>
      </w:r>
      <w:r w:rsidRPr="002A65B0">
        <w:rPr>
          <w:rStyle w:val="FootnoteReference"/>
        </w:rPr>
        <w:footnoteReference w:id="349"/>
      </w:r>
      <w:r w:rsidRPr="002A65B0">
        <w:rPr>
          <w:i/>
        </w:rPr>
        <w:t xml:space="preserve"> </w:t>
      </w:r>
      <w:r w:rsidRPr="002A65B0">
        <w:t xml:space="preserve">the county court used the </w:t>
      </w:r>
      <w:r w:rsidRPr="002A65B0">
        <w:rPr>
          <w:i/>
        </w:rPr>
        <w:t>Vento</w:t>
      </w:r>
      <w:r w:rsidRPr="002A65B0">
        <w:t xml:space="preserve"> bands to assess damages for injury to feelings payable to a wheelchair user under s 29 EA for the failure by a restaurant owner to make reasonable adjustments in the provision of access to his restaurant; the court awarded £3,000 but a sum of £500 was added as aggravated damages for the ‘insulting and abusive’ way in which the defendant responded to the claim.</w:t>
      </w:r>
      <w:r w:rsidRPr="002A65B0">
        <w:rPr>
          <w:rStyle w:val="FootnoteReference"/>
        </w:rPr>
        <w:footnoteReference w:id="350"/>
      </w:r>
      <w:r w:rsidRPr="002A65B0">
        <w:t xml:space="preserve"> </w:t>
      </w:r>
    </w:p>
    <w:p w14:paraId="7052C800" w14:textId="77777777" w:rsidR="0019789C" w:rsidRPr="002A65B0" w:rsidRDefault="0019789C" w:rsidP="00932D7A"/>
    <w:p w14:paraId="367E2EE8" w14:textId="7D4CFA78" w:rsidR="0019789C" w:rsidRPr="002A65B0" w:rsidRDefault="0019789C" w:rsidP="00057CB5">
      <w:r w:rsidRPr="002A65B0">
        <w:t xml:space="preserve">Injunctive relief (referred to in Scotland as an interdict) is also available, although such relief is seldom ordered. In the aforementioned case of </w:t>
      </w:r>
      <w:r w:rsidRPr="002A65B0">
        <w:rPr>
          <w:i/>
        </w:rPr>
        <w:t>Paulley v First Group Ltd</w:t>
      </w:r>
      <w:r w:rsidRPr="002A65B0">
        <w:t xml:space="preserve">, for instance, the Leeds County Court judge (the court of first instance) was hesitant to order injunctive relief: </w:t>
      </w:r>
    </w:p>
    <w:p w14:paraId="4F97DDE8" w14:textId="30D4586B" w:rsidR="0019789C" w:rsidRPr="002A65B0" w:rsidRDefault="0019789C" w:rsidP="00057CB5">
      <w:pPr>
        <w:pStyle w:val="Quote"/>
      </w:pPr>
      <w:r w:rsidRPr="002A65B0">
        <w:lastRenderedPageBreak/>
        <w:t>As for injunctive relief, I am not prepared to make any order at this time. I intend to adjourn the application for injunctive relief to await argument, if necessary, in due course following directions given by the court. I do this for one simple reason. I expect First Group PLC to take on board the lessons to be learned from this judgment and to adapt its practices, in whichever way it considers appropriate, having regard to the obligation to meet its responsibilities under the Equality Act 2010 and commercial considerations. I believe that the Defendant is, in the first instance, the best person to decide how to put the lessons to be learned into practice. I shall therefore adjourn that aspect of the remedy in this case for 6 months, a period which in my view is ample, to see whether and what steps are taken.</w:t>
      </w:r>
    </w:p>
    <w:p w14:paraId="631D8A84" w14:textId="209EF3A8" w:rsidR="0019789C" w:rsidRPr="002A65B0" w:rsidRDefault="0019789C" w:rsidP="00415FDA">
      <w:pPr>
        <w:ind w:firstLine="0"/>
        <w:rPr>
          <w:szCs w:val="36"/>
        </w:rPr>
      </w:pPr>
      <w:r w:rsidRPr="002A65B0">
        <w:t xml:space="preserve">Based on the lower court’s language in </w:t>
      </w:r>
      <w:r w:rsidRPr="002A65B0">
        <w:rPr>
          <w:i/>
        </w:rPr>
        <w:t>Paulley</w:t>
      </w:r>
      <w:r w:rsidRPr="002A65B0">
        <w:t>, injunctive relief is arguably a step of last resort – one that the courts are unwilling to take unless other avenues to resolution of the claim have been exhausted.</w:t>
      </w:r>
      <w:r w:rsidRPr="002A65B0">
        <w:rPr>
          <w:rStyle w:val="FootnoteReference"/>
        </w:rPr>
        <w:footnoteReference w:id="351"/>
      </w:r>
      <w:r w:rsidRPr="002A65B0">
        <w:rPr>
          <w:szCs w:val="36"/>
        </w:rPr>
        <w:t xml:space="preserve"> </w:t>
      </w:r>
    </w:p>
    <w:p w14:paraId="6988602B" w14:textId="77777777" w:rsidR="0019789C" w:rsidRPr="002A65B0" w:rsidRDefault="0019789C" w:rsidP="00415FDA">
      <w:pPr>
        <w:ind w:firstLine="0"/>
        <w:rPr>
          <w:szCs w:val="36"/>
        </w:rPr>
      </w:pPr>
    </w:p>
    <w:p w14:paraId="5BD36EEE" w14:textId="621D7F06" w:rsidR="0019789C" w:rsidRPr="002A65B0" w:rsidRDefault="0019789C" w:rsidP="00E562B9">
      <w:pPr>
        <w:rPr>
          <w:szCs w:val="36"/>
        </w:rPr>
      </w:pPr>
      <w:r w:rsidRPr="002A65B0">
        <w:rPr>
          <w:szCs w:val="36"/>
        </w:rPr>
        <w:t xml:space="preserve">An example of a Part 3 EA case in which an injunction was ordered is </w:t>
      </w:r>
      <w:r w:rsidRPr="002A65B0">
        <w:rPr>
          <w:rStyle w:val="case"/>
        </w:rPr>
        <w:t>Royal Bank of Scotland v Allen</w:t>
      </w:r>
      <w:r w:rsidRPr="002A65B0">
        <w:rPr>
          <w:szCs w:val="36"/>
        </w:rPr>
        <w:t>,</w:t>
      </w:r>
      <w:r w:rsidRPr="002A65B0">
        <w:rPr>
          <w:rStyle w:val="FootnoteReference"/>
          <w:szCs w:val="36"/>
        </w:rPr>
        <w:footnoteReference w:id="352"/>
      </w:r>
      <w:r w:rsidRPr="002A65B0">
        <w:rPr>
          <w:szCs w:val="36"/>
        </w:rPr>
        <w:t xml:space="preserve"> </w:t>
      </w:r>
      <w:r w:rsidRPr="002A65B0">
        <w:t>where the Court of Appeal held that the anticipatory reasonable adjustment duty had been breached by the failure of a bank to provide physical access to a branch in which the claimant (a wheelchair user) was a customer. A</w:t>
      </w:r>
      <w:r w:rsidRPr="002A65B0">
        <w:rPr>
          <w:szCs w:val="36"/>
        </w:rPr>
        <w:t>n injunction was issued requiring the bank to install a platform lift (likely to cost approximately £200,000) as well as to pay Mr Allen £6,500 in damages (the highest award then available in a disability discrimination services claim).</w:t>
      </w:r>
      <w:r w:rsidRPr="002A65B0">
        <w:rPr>
          <w:rStyle w:val="FootnoteReference"/>
          <w:szCs w:val="36"/>
        </w:rPr>
        <w:footnoteReference w:id="353"/>
      </w:r>
      <w:r w:rsidRPr="002A65B0">
        <w:rPr>
          <w:szCs w:val="36"/>
        </w:rPr>
        <w:t xml:space="preserve"> This, however, is an isolated example of an injunction being ordered. </w:t>
      </w:r>
    </w:p>
    <w:p w14:paraId="5040184D" w14:textId="77777777" w:rsidR="0019789C" w:rsidRPr="002A65B0" w:rsidRDefault="0019789C" w:rsidP="0011688C"/>
    <w:p w14:paraId="57BBC401" w14:textId="2565F8E2" w:rsidR="0019789C" w:rsidRPr="002A65B0" w:rsidRDefault="0019789C" w:rsidP="00415FDA">
      <w:r w:rsidRPr="002A65B0">
        <w:t>One reason for the limited use of injunctive relief is that disabled claimants, and possibly even their legal representatives, are unaware that such relief is available.</w:t>
      </w:r>
      <w:bookmarkStart w:id="48" w:name="_Ref30514044"/>
      <w:r w:rsidRPr="002A65B0">
        <w:rPr>
          <w:rStyle w:val="FootnoteReference"/>
        </w:rPr>
        <w:footnoteReference w:id="354"/>
      </w:r>
      <w:bookmarkEnd w:id="48"/>
      <w:r w:rsidRPr="002A65B0">
        <w:t xml:space="preserve"> Accordingly, the House of Lords Select Committee on the Equality Act 2010 and Disability recommended that ‘documents issued by the courts and others relating to discrimination litigation need to give more prominence to the ability of the courts to grant </w:t>
      </w:r>
      <w:r w:rsidRPr="002A65B0">
        <w:lastRenderedPageBreak/>
        <w:t>injunctions in appropriate cases.’</w:t>
      </w:r>
      <w:r w:rsidRPr="002A65B0">
        <w:rPr>
          <w:rStyle w:val="FootnoteReference"/>
        </w:rPr>
        <w:footnoteReference w:id="355"/>
      </w:r>
      <w:r w:rsidRPr="002A65B0">
        <w:t xml:space="preserve"> Yet the Committee was also quick to note the process and other difficulties associated with seeking this form of relief: ‘Such documents will however need to stress that, particularly in cases concerning physical barriers, this will require expert evidence and likely allocation to the fast or multi track of the court. Such applications will not be easy without legal representation.’</w:t>
      </w:r>
      <w:r w:rsidRPr="002A65B0">
        <w:rPr>
          <w:rStyle w:val="FootnoteReference"/>
        </w:rPr>
        <w:footnoteReference w:id="356"/>
      </w:r>
    </w:p>
    <w:p w14:paraId="5BF9DFF2" w14:textId="77777777" w:rsidR="0019789C" w:rsidRPr="002A65B0" w:rsidRDefault="0019789C" w:rsidP="001C2C4A">
      <w:pPr>
        <w:ind w:firstLine="0"/>
      </w:pPr>
    </w:p>
    <w:p w14:paraId="1C1135BC" w14:textId="3F31EE6F" w:rsidR="0019789C" w:rsidRPr="002A65B0" w:rsidRDefault="0019789C" w:rsidP="00AE3A75">
      <w:pPr>
        <w:pStyle w:val="Heading4"/>
      </w:pPr>
      <w:bookmarkStart w:id="49" w:name="_Ref27061814"/>
      <w:r w:rsidRPr="002A65B0">
        <w:t>(c) Enforcement</w:t>
      </w:r>
      <w:bookmarkEnd w:id="49"/>
    </w:p>
    <w:p w14:paraId="42DF1FBC" w14:textId="70C63F34" w:rsidR="0019789C" w:rsidRPr="002A65B0" w:rsidRDefault="0019789C" w:rsidP="001C2C4A">
      <w:r w:rsidRPr="002A65B0">
        <w:t>There are five issues relating to enforcing EA rights, including reasonable adjustment claims, that need to be addressed here: first, time limits; second, accessing and paying for legal assistance and advice; third, the risk of costs (of the other party) being awarded against the claimant; fourth, conciliation; and fifth, the possibility of enforcement action by the Equality and Human Rights Commission (EHRC). Each of these will now be discussed in turn.</w:t>
      </w:r>
    </w:p>
    <w:p w14:paraId="697A11B5" w14:textId="77777777" w:rsidR="0019789C" w:rsidRPr="002A65B0" w:rsidRDefault="0019789C" w:rsidP="001C2C4A"/>
    <w:p w14:paraId="77B96C87" w14:textId="173F26F9" w:rsidR="0019789C" w:rsidRPr="002A65B0" w:rsidRDefault="0019789C" w:rsidP="00CF6216">
      <w:r w:rsidRPr="002A65B0">
        <w:t>First, as to time limits, the relevant rules are set out in s 118 EA. According to s 118(1), proceedings may be brought no later than the end of ‘the period of 6 months starting with the date of the act to which the claim relates’, although the county and sheriff courts have discretion to extend this for ‘such other period’ as they consider ‘just and equitable’. Where conciliation is arranged, the time limit is nine months instead of six months.</w:t>
      </w:r>
      <w:r w:rsidRPr="002A65B0">
        <w:rPr>
          <w:rStyle w:val="FootnoteReference"/>
        </w:rPr>
        <w:footnoteReference w:id="357"/>
      </w:r>
      <w:r w:rsidRPr="002A65B0">
        <w:t xml:space="preserve"> In terms of the court’s discretion to permit a claim within ‘such other period as the county court thinks just and equitable’,</w:t>
      </w:r>
      <w:r w:rsidRPr="002A65B0">
        <w:rPr>
          <w:rStyle w:val="FootnoteReference"/>
        </w:rPr>
        <w:footnoteReference w:id="358"/>
      </w:r>
      <w:r w:rsidRPr="002A65B0">
        <w:t xml:space="preserve"> there is little significant jurisprudence on the term as used in the context of s 118 EA.</w:t>
      </w:r>
      <w:r w:rsidRPr="002A65B0">
        <w:rPr>
          <w:rStyle w:val="FootnoteReference"/>
        </w:rPr>
        <w:footnoteReference w:id="359"/>
      </w:r>
      <w:r w:rsidRPr="002A65B0">
        <w:t xml:space="preserve"> However, as per the High Court in </w:t>
      </w:r>
      <w:r w:rsidRPr="002A65B0">
        <w:rPr>
          <w:i/>
        </w:rPr>
        <w:t>Hewlett v Chief Constable of Hampshire</w:t>
      </w:r>
      <w:r w:rsidRPr="002A65B0">
        <w:t>, the same phrase applies to claims before employment tribunals under s 123 EA, a provision to which ‘Parliament chose to give the widest possible discretion’ and such discretion is also available under s.118.</w:t>
      </w:r>
      <w:r w:rsidRPr="002A65B0">
        <w:rPr>
          <w:rStyle w:val="FootnoteReference"/>
        </w:rPr>
        <w:footnoteReference w:id="360"/>
      </w:r>
      <w:r w:rsidRPr="002A65B0">
        <w:t xml:space="preserve"> Moreover, unlike s 33 Limitation Act 1980, s 118 EA does not specify a list of factors to be taken into account.</w:t>
      </w:r>
      <w:r w:rsidRPr="002A65B0">
        <w:rPr>
          <w:rStyle w:val="FootnoteReference"/>
        </w:rPr>
        <w:footnoteReference w:id="361"/>
      </w:r>
      <w:r w:rsidRPr="002A65B0">
        <w:t xml:space="preserve"> While courts may take s 33 into account, they are not mandated to do so, </w:t>
      </w:r>
      <w:r w:rsidRPr="002A65B0">
        <w:lastRenderedPageBreak/>
        <w:t>and the wide discretion permitted ‘only requires consideration of all material factors.’</w:t>
      </w:r>
      <w:r w:rsidRPr="002A65B0">
        <w:rPr>
          <w:rStyle w:val="FootnoteReference"/>
        </w:rPr>
        <w:footnoteReference w:id="362"/>
      </w:r>
      <w:r w:rsidRPr="002A65B0">
        <w:t xml:space="preserve"> Nevertheless, the length of the delay and prejudice to the other party will always be relevant when considering whether an extension of the time limit is just and equitable.</w:t>
      </w:r>
      <w:r w:rsidRPr="002A65B0">
        <w:rPr>
          <w:rStyle w:val="FootnoteReference"/>
        </w:rPr>
        <w:footnoteReference w:id="363"/>
      </w:r>
    </w:p>
    <w:p w14:paraId="06C428B5" w14:textId="77777777" w:rsidR="0019789C" w:rsidRPr="002A65B0" w:rsidRDefault="0019789C" w:rsidP="00CF6216"/>
    <w:p w14:paraId="12697FAE" w14:textId="6DC6B14C" w:rsidR="0019789C" w:rsidRPr="002A65B0" w:rsidRDefault="0019789C" w:rsidP="00E057FC">
      <w:r>
        <w:t xml:space="preserve"> </w:t>
      </w:r>
      <w:r w:rsidRPr="002A65B0">
        <w:t xml:space="preserve">The case of </w:t>
      </w:r>
      <w:r w:rsidRPr="002A65B0">
        <w:rPr>
          <w:i/>
        </w:rPr>
        <w:t>Smailes v Clewer Court Residents Ltd</w:t>
      </w:r>
      <w:r w:rsidRPr="002A65B0">
        <w:t>, for example, involved a county court claim against the controller of let premises for refusing to allow a disabled tenant to make alterations to her property in order to accommodate her needs.</w:t>
      </w:r>
      <w:r w:rsidRPr="002A65B0">
        <w:rPr>
          <w:rStyle w:val="FootnoteReference"/>
        </w:rPr>
        <w:footnoteReference w:id="364"/>
      </w:r>
      <w:r w:rsidRPr="002A65B0">
        <w:t xml:space="preserve"> In deciding whether it was ‘just and equitable’ to hear a claim submitted roughly nine months after the expiration of the time limit,</w:t>
      </w:r>
      <w:r w:rsidRPr="002A65B0">
        <w:rPr>
          <w:rStyle w:val="FootnoteReference"/>
        </w:rPr>
        <w:footnoteReference w:id="365"/>
      </w:r>
      <w:r w:rsidRPr="002A65B0">
        <w:t xml:space="preserve"> the country court judge considered that while the delay was a matter of months, this should be set against the ‘very tight primary period for claims to be brought’. Moreover, both parties had been continuing efforts to find a solution, which supported an exercise of discretion, as did the fact of and nature of the claimant’s disability (Ehlers-Danlos Syndrome) and, importantly, the lack of any specific prejudice to the defendant.</w:t>
      </w:r>
      <w:r w:rsidRPr="002A65B0">
        <w:rPr>
          <w:rStyle w:val="FootnoteReference"/>
        </w:rPr>
        <w:footnoteReference w:id="366"/>
      </w:r>
    </w:p>
    <w:p w14:paraId="28CBDF03" w14:textId="540EBC77" w:rsidR="0019789C" w:rsidRPr="002A65B0" w:rsidRDefault="0019789C" w:rsidP="00501AAF">
      <w:pPr>
        <w:ind w:firstLine="0"/>
      </w:pPr>
    </w:p>
    <w:p w14:paraId="09E1FDCB" w14:textId="7C1EEFBD" w:rsidR="0019789C" w:rsidRPr="002A65B0" w:rsidRDefault="0019789C" w:rsidP="00B234FD">
      <w:r w:rsidRPr="002A65B0">
        <w:t xml:space="preserve"> Section 118(6) and (7) EA apply to situations in which the conduct alleged to be discriminatory extends over a period of time, or consists of failure to act or inaction. They are thus particularly relevant to reasonable adjustment cases. Conduct extending over a period of time is addressed by s 118(6)(a), which provides that in such cases the act to which the claim relates (and from which the time limit starts running) is to be treated as ‘the end of the period’ over which the conduct is carried out. This means that the time limit does not begin running until the conduct in question comes to an end. Situations in which the act to which the claim relates (and from which the time limit starts running) takes the form of a failure to act, is dealt with in s 118(6)(b), which provides that ‘failure to do something is to be treated as occurring when the person in question decided on it’. The point at which this takes place is clarified by s 118(7), which states that:</w:t>
      </w:r>
    </w:p>
    <w:p w14:paraId="62538B58" w14:textId="46BA771E" w:rsidR="0019789C" w:rsidRPr="002A65B0" w:rsidRDefault="0019789C" w:rsidP="00B234FD">
      <w:pPr>
        <w:pStyle w:val="Quote"/>
      </w:pPr>
      <w:r w:rsidRPr="002A65B0">
        <w:t>In the absence of evidence to the contrary, a person (P) is to be taken to decide on failure to do something— (a) when P does an act inconsistent with doing it, or (b) if P does no inconsistent act, on the expiry of the period in which P might reasonably have been expected to do it.</w:t>
      </w:r>
    </w:p>
    <w:p w14:paraId="7A788353" w14:textId="77777777" w:rsidR="0019789C" w:rsidRPr="002A65B0" w:rsidRDefault="0019789C" w:rsidP="00B234FD"/>
    <w:p w14:paraId="3DBEEEC0" w14:textId="380443E5" w:rsidR="0019789C" w:rsidRPr="002A65B0" w:rsidRDefault="0019789C" w:rsidP="00B234FD">
      <w:r w:rsidRPr="002A65B0">
        <w:t xml:space="preserve">Determining whether a failure to make a reasonable adjustment is continuing conduct or a failure to act is not straightforward. In the employment context, failures to make reasonable adjustments are generally characterised as failures to act, rather than as ongoing conduct. This was established by the Court of Appeal in </w:t>
      </w:r>
      <w:r w:rsidRPr="002A65B0">
        <w:rPr>
          <w:rStyle w:val="case"/>
        </w:rPr>
        <w:t>Matuszowicz v Kingston Upon Hull City Council</w:t>
      </w:r>
      <w:r w:rsidRPr="002A65B0">
        <w:t>,</w:t>
      </w:r>
      <w:r w:rsidRPr="002A65B0">
        <w:rPr>
          <w:rStyle w:val="FootnoteReference"/>
        </w:rPr>
        <w:footnoteReference w:id="367"/>
      </w:r>
      <w:r w:rsidRPr="002A65B0">
        <w:t xml:space="preserve"> which concerned the failure of the employer to make adjustments (possibly in the form of assigning him to a different role) for a disabled employee who worked in the prison service and experienced difficulties with the heavy prison doors after his arm was amputated. It was held that the point from which the time limit should start running was the date by which a reasonable employer would have taken action or decided not to do so. However, In the employment context, in </w:t>
      </w:r>
      <w:r w:rsidRPr="002A65B0">
        <w:rPr>
          <w:rStyle w:val="case"/>
        </w:rPr>
        <w:t>Secretary of State for Work and Pensions (Jobcentre Plus) v Jamil</w:t>
      </w:r>
      <w:r w:rsidRPr="002A65B0">
        <w:t>,</w:t>
      </w:r>
      <w:r w:rsidRPr="002A65B0">
        <w:rPr>
          <w:rStyle w:val="FootnoteReference"/>
        </w:rPr>
        <w:footnoteReference w:id="368"/>
      </w:r>
      <w:r w:rsidRPr="002A65B0">
        <w:t xml:space="preserve"> the Employment Appeal Tribunal decided that a reasonable adjustment claim was not out of time because the employer’s failure to make arrangements for a disabled employee to be relocated to an office nearer her home was ongoing conduct which had not come to an end when it sent her a letter refusing her request. This was because the letter referred to the possibility of a review and had not made it clear that its decision was final.</w:t>
      </w:r>
    </w:p>
    <w:p w14:paraId="6A38E6B5" w14:textId="77777777" w:rsidR="0019789C" w:rsidRPr="002A65B0" w:rsidRDefault="0019789C" w:rsidP="001C2C4A">
      <w:pPr>
        <w:ind w:firstLine="0"/>
      </w:pPr>
    </w:p>
    <w:p w14:paraId="06AF49AC" w14:textId="0A174565" w:rsidR="0019789C" w:rsidRPr="002A65B0" w:rsidRDefault="0019789C" w:rsidP="00501AAF">
      <w:r w:rsidRPr="002A65B0">
        <w:t>Turning to the second enforcement issue – accessing and paying for legal assistance and advice: There are two broad categories of civil legal aid – legal help (eg initial advice and assistance, and help with correspondence and negotiations with the other party); and legal representation by a solicitor or barrister.</w:t>
      </w:r>
      <w:r w:rsidRPr="002A65B0">
        <w:rPr>
          <w:rStyle w:val="FootnoteReference"/>
        </w:rPr>
        <w:footnoteReference w:id="369"/>
      </w:r>
      <w:r w:rsidRPr="002A65B0">
        <w:t xml:space="preserve"> In both areas, significant changes have taken place in England and Wales since 2012.</w:t>
      </w:r>
    </w:p>
    <w:p w14:paraId="4EFFE585" w14:textId="77777777" w:rsidR="0019789C" w:rsidRPr="002A65B0" w:rsidRDefault="0019789C" w:rsidP="001C2C4A">
      <w:pPr>
        <w:ind w:firstLine="0"/>
      </w:pPr>
    </w:p>
    <w:p w14:paraId="43133657" w14:textId="18AF4940" w:rsidR="0019789C" w:rsidRPr="002A65B0" w:rsidRDefault="0019789C" w:rsidP="00416A2B">
      <w:r w:rsidRPr="002A65B0">
        <w:t xml:space="preserve">In England and Wales, prior to 2013, legal aid was available to help people access and engage with the legal system in most areas of civil law. The legislation in place at that time – the </w:t>
      </w:r>
      <w:r w:rsidRPr="002A65B0">
        <w:rPr>
          <w:szCs w:val="17"/>
        </w:rPr>
        <w:t xml:space="preserve">Access to Justice Act 1999 </w:t>
      </w:r>
      <w:r w:rsidRPr="002A65B0">
        <w:t xml:space="preserve">– </w:t>
      </w:r>
      <w:r w:rsidRPr="002A65B0">
        <w:rPr>
          <w:szCs w:val="17"/>
        </w:rPr>
        <w:t xml:space="preserve">did not explicitly exclude legal aid in civil matters other than for a handful of narrowly defined exceptions, such as </w:t>
      </w:r>
      <w:r w:rsidRPr="002A65B0">
        <w:rPr>
          <w:shd w:val="clear" w:color="auto" w:fill="FFFFFF"/>
        </w:rPr>
        <w:t>allegations of personal injury or death (other than those for clinical negligence),</w:t>
      </w:r>
      <w:r w:rsidRPr="002A65B0">
        <w:rPr>
          <w:szCs w:val="17"/>
        </w:rPr>
        <w:t xml:space="preserve"> boundary disputes, will-making, and trust law matters.</w:t>
      </w:r>
      <w:r w:rsidRPr="002A65B0">
        <w:rPr>
          <w:rStyle w:val="FootnoteReference"/>
          <w:szCs w:val="17"/>
        </w:rPr>
        <w:footnoteReference w:id="370"/>
      </w:r>
      <w:r w:rsidRPr="002A65B0">
        <w:rPr>
          <w:szCs w:val="17"/>
        </w:rPr>
        <w:t xml:space="preserve"> In 2013, the </w:t>
      </w:r>
      <w:r w:rsidRPr="002A65B0">
        <w:t xml:space="preserve">Legal Aid, Sentencing and Punishment of Offenders Act of 2012 (LASPO) took effect, aiming ‘to make significant savings in the cost of civil legal aid’, ‘to discourage unnecessary and adversarial litigation at public </w:t>
      </w:r>
      <w:r w:rsidRPr="002A65B0">
        <w:lastRenderedPageBreak/>
        <w:t>expense’, and ‘to target legal aid to those who need it most’.</w:t>
      </w:r>
      <w:r w:rsidRPr="002A65B0">
        <w:rPr>
          <w:rStyle w:val="FootnoteReference"/>
        </w:rPr>
        <w:footnoteReference w:id="371"/>
      </w:r>
      <w:r w:rsidRPr="002A65B0">
        <w:t xml:space="preserve"> But as compared to the formerly open-ended approach, which made legal aid available in most areas of civil law, LASPO strictly limits civil legal services. The fixed list of legal issues that qualify for legal aid includes equality claims (including reasonable adjustments), breach of rights under the European Convention on Human Rights, and abuse of position or powers by public authority. Even these are subject to certain conditions, which will be discussed below.</w:t>
      </w:r>
      <w:r w:rsidRPr="002A65B0">
        <w:rPr>
          <w:rStyle w:val="FootnoteReference"/>
        </w:rPr>
        <w:footnoteReference w:id="372"/>
      </w:r>
      <w:bookmarkStart w:id="50" w:name="_Hlk513391223"/>
      <w:r w:rsidRPr="002A65B0">
        <w:t xml:space="preserve"> </w:t>
      </w:r>
      <w:bookmarkEnd w:id="50"/>
    </w:p>
    <w:p w14:paraId="53188EB5" w14:textId="77777777" w:rsidR="0019789C" w:rsidRPr="002A65B0" w:rsidRDefault="0019789C" w:rsidP="001C2C4A"/>
    <w:p w14:paraId="70278D31" w14:textId="5848CCC7" w:rsidR="0019789C" w:rsidRPr="002A65B0" w:rsidRDefault="0019789C" w:rsidP="001C2C4A">
      <w:r w:rsidRPr="002A65B0">
        <w:t>LASPO has had substantial repercussions on discrimination claims, although discrimination claims can still be funded through legal aid. A significant issue is the introduction of a mandatory telephone gateway: when an individual wishes to pursue a discrimination claim, they must use the gateway in order to access legal aid.</w:t>
      </w:r>
      <w:r w:rsidRPr="002A65B0">
        <w:rPr>
          <w:rStyle w:val="FootnoteReference"/>
        </w:rPr>
        <w:footnoteReference w:id="373"/>
      </w:r>
      <w:r w:rsidRPr="002A65B0">
        <w:t xml:space="preserve"> This approach has been criticised for a number of reasons: foremost, a legal aid system so heavily reliant on telephone services may be inaccessible to people with certain impairments; the EHRC found that between 2013 and 2018, an estimated 60% of people who received discrimination advice through the gateway were disabled, yet only 7% of the disabled users received adjustments or adaptations to access this service.</w:t>
      </w:r>
      <w:r w:rsidRPr="002A65B0">
        <w:rPr>
          <w:rStyle w:val="FootnoteReference"/>
        </w:rPr>
        <w:footnoteReference w:id="374"/>
      </w:r>
      <w:r w:rsidRPr="002A65B0">
        <w:t xml:space="preserve"> Another concern is that the gateway is failing to deliver necessary access to civil legal services. For example, if a would-be claimant is assessed as ‘unsuitable for telephone advice’, eg for a disability-related reason, they are to be referred for face-to-face legal advice; however, according to the EHRC, of the 7,768 discrimination cases taken on by specialist providers between 2013 and 2018, only 18 such referrals were made.</w:t>
      </w:r>
      <w:r w:rsidRPr="002A65B0">
        <w:rPr>
          <w:rStyle w:val="FootnoteReference"/>
        </w:rPr>
        <w:footnoteReference w:id="375"/>
      </w:r>
      <w:r w:rsidRPr="002A65B0">
        <w:t xml:space="preserve"> Moreover, in the same 5-year period, only 43 of the discrimination cases taken on by specialist providers received funding for legal representation at court, an average of nine cases per year or 0.5% of all the cases going through the gateway in this time period.</w:t>
      </w:r>
      <w:r w:rsidRPr="002A65B0">
        <w:rPr>
          <w:rStyle w:val="FootnoteReference"/>
        </w:rPr>
        <w:footnoteReference w:id="376"/>
      </w:r>
    </w:p>
    <w:p w14:paraId="38609008" w14:textId="77777777" w:rsidR="0019789C" w:rsidRPr="002A65B0" w:rsidRDefault="0019789C" w:rsidP="001C2C4A"/>
    <w:p w14:paraId="53E7B692" w14:textId="23D887EC" w:rsidR="0019789C" w:rsidRPr="002A65B0" w:rsidRDefault="0019789C" w:rsidP="00DB3EAC">
      <w:r w:rsidRPr="002A65B0">
        <w:t xml:space="preserve">The CRPD Committee was openly critical of LASPO and its effects on disabled people’s right of access to justice in its concluding observations on the UK’s initial report in October 2017. It voiced concern about the barriers faced by disabled persons in accessing civil legal aid as a consequence of LASPO and recommended that the UK </w:t>
      </w:r>
      <w:r w:rsidRPr="002A65B0">
        <w:lastRenderedPageBreak/>
        <w:t>provide ‘free or affordable legal aid’ for disabled individuals ‘in all areas of law and remove fees to access courts’.</w:t>
      </w:r>
      <w:r w:rsidRPr="002A65B0">
        <w:rPr>
          <w:rStyle w:val="FootnoteReference"/>
        </w:rPr>
        <w:footnoteReference w:id="377"/>
      </w:r>
      <w:r w:rsidRPr="002A65B0">
        <w:t xml:space="preserve"> Likewise, in a 2016 inquiry into UK social security schemes and employment, the CRPD Committee highlighted the narrowed scope of civil legal aid post-LASPO and recommended that the UK </w:t>
      </w:r>
    </w:p>
    <w:p w14:paraId="6275EB38" w14:textId="4A43963D" w:rsidR="0019789C" w:rsidRPr="002A65B0" w:rsidRDefault="0019789C" w:rsidP="00DB3EAC">
      <w:pPr>
        <w:pStyle w:val="Quote"/>
      </w:pPr>
      <w:r w:rsidRPr="002A65B0">
        <w:t>Ensure access to justice by providing appropriate legal advice and support, including through reasonable and procedural accommodation for persons with disabilities seeking redress and reparation for the alleged violation of their rights, as covered in the present report.</w:t>
      </w:r>
      <w:r w:rsidRPr="002A65B0">
        <w:rPr>
          <w:rStyle w:val="FootnoteReference"/>
        </w:rPr>
        <w:footnoteReference w:id="378"/>
      </w:r>
    </w:p>
    <w:p w14:paraId="371FDB3D" w14:textId="700A2F1B" w:rsidR="0019789C" w:rsidRPr="002A65B0" w:rsidRDefault="0019789C" w:rsidP="00EE3E11">
      <w:pPr>
        <w:ind w:firstLine="0"/>
      </w:pPr>
      <w:r w:rsidRPr="002A65B0">
        <w:t>However, to date, little action has been taken to address these concerns. The costs of bringing a discrimination case are significant. The EHRC has estimated that an individual case costs anywhere between £4,000 and £80,000, averaging around £28,000. This comprises court fees, fees related to legal help, advice or assistance, and legal representation and litigation expenses.</w:t>
      </w:r>
      <w:r w:rsidRPr="002A65B0">
        <w:rPr>
          <w:rStyle w:val="FootnoteReference"/>
        </w:rPr>
        <w:footnoteReference w:id="379"/>
      </w:r>
      <w:r w:rsidRPr="002A65B0">
        <w:t xml:space="preserve"> </w:t>
      </w:r>
    </w:p>
    <w:p w14:paraId="0937852C" w14:textId="35C4C8F1" w:rsidR="0019789C" w:rsidRPr="002A65B0" w:rsidRDefault="0019789C" w:rsidP="008914A3">
      <w:pPr>
        <w:ind w:firstLine="0"/>
      </w:pPr>
    </w:p>
    <w:p w14:paraId="04783BD8" w14:textId="5B1AC37B" w:rsidR="0019789C" w:rsidRPr="002A65B0" w:rsidRDefault="0019789C" w:rsidP="00343577">
      <w:r w:rsidRPr="002A65B0">
        <w:t>Free advice is available from the Equality Advisory Support Service (EASS), a public helpline, previously run by the EHRC, but now under a contract managed by the Government Equalities Office.</w:t>
      </w:r>
      <w:r w:rsidRPr="002A65B0">
        <w:rPr>
          <w:rStyle w:val="FootnoteReference"/>
        </w:rPr>
        <w:footnoteReference w:id="380"/>
      </w:r>
      <w:r w:rsidRPr="002A65B0">
        <w:t xml:space="preserve"> The purpose of the EASS is to promote informal resolution of claims and to support individuals ‘to achieving the best possible outcome’, but it does not provide legal advice.</w:t>
      </w:r>
      <w:r w:rsidRPr="002A65B0">
        <w:rPr>
          <w:rStyle w:val="FootnoteReference"/>
        </w:rPr>
        <w:footnoteReference w:id="381"/>
      </w:r>
      <w:r w:rsidRPr="002A65B0">
        <w:t xml:space="preserve"> The move of the helpline’s management away from the EHRC has been subject to criticism, particularly in terms of solidarity-building given that it ‘was a great source of connecting up lived experience of women on the ground … and the policy work, campaigning work and legal enforcement work we did.’</w:t>
      </w:r>
      <w:r w:rsidRPr="002A65B0">
        <w:rPr>
          <w:rStyle w:val="FootnoteReference"/>
        </w:rPr>
        <w:footnoteReference w:id="382"/>
      </w:r>
      <w:r w:rsidRPr="002A65B0">
        <w:t xml:space="preserve"> The same commenter regarded the absence of the EHRC’s helpline as ‘a weakness in its overall architecture’.</w:t>
      </w:r>
      <w:r w:rsidRPr="002A65B0">
        <w:rPr>
          <w:rStyle w:val="FootnoteReference"/>
        </w:rPr>
        <w:footnoteReference w:id="383"/>
      </w:r>
      <w:r w:rsidRPr="002A65B0">
        <w:t xml:space="preserve"> The EHRC itself has maintained that management of the </w:t>
      </w:r>
      <w:r w:rsidRPr="002A65B0">
        <w:lastRenderedPageBreak/>
        <w:t>helpline should be returned to it, noting how, as a source of intelligence, it allowed the Commission to ‘take targeted action to support more people to resolve complaints, as well as to challenge systemic discrimination.’</w:t>
      </w:r>
      <w:r w:rsidRPr="002A65B0">
        <w:rPr>
          <w:rStyle w:val="FootnoteReference"/>
        </w:rPr>
        <w:footnoteReference w:id="384"/>
      </w:r>
      <w:r w:rsidRPr="002A65B0">
        <w:t xml:space="preserve"> The Women and Equalities, however, considered that such aims should be addressed through a ‘broader strategy of engagement and intelligence gathering, rather than a narrowly focussed telephone helpline.’</w:t>
      </w:r>
      <w:r w:rsidRPr="002A65B0">
        <w:rPr>
          <w:rStyle w:val="FootnoteReference"/>
        </w:rPr>
        <w:footnoteReference w:id="385"/>
      </w:r>
    </w:p>
    <w:p w14:paraId="2E24D930" w14:textId="49CBB4A3" w:rsidR="0019789C" w:rsidRPr="002A65B0" w:rsidRDefault="0019789C" w:rsidP="00343577">
      <w:pPr>
        <w:ind w:firstLine="0"/>
      </w:pPr>
    </w:p>
    <w:p w14:paraId="5049B39C" w14:textId="255E7B7E" w:rsidR="0019789C" w:rsidRPr="002A65B0" w:rsidRDefault="0019789C" w:rsidP="00EC37BA">
      <w:r w:rsidRPr="002A65B0">
        <w:t>The EHRC does have the power to support cases with strategic significance. In England, Wales and Scotland, the EHRC, as the regulatory body responsible for enforcing the Equality Act 2010, has a range of litigation powers: to provide legal assistance for discrimination claims made under the EA, to assist with legal costs, to institute legal proceedings for judicial review, and to intervene in legal proceedings involving equality and human rights claims.</w:t>
      </w:r>
      <w:bookmarkStart w:id="51" w:name="_Ref30593374"/>
      <w:r w:rsidRPr="002A65B0">
        <w:rPr>
          <w:rStyle w:val="FootnoteReference"/>
        </w:rPr>
        <w:footnoteReference w:id="386"/>
      </w:r>
      <w:bookmarkEnd w:id="51"/>
      <w:r w:rsidRPr="002A65B0">
        <w:t xml:space="preserve"> Often referred to as ‘strategic litigation’, the Council of Europe has advocated for this approach to combat discrimination:</w:t>
      </w:r>
    </w:p>
    <w:p w14:paraId="367C5A2A" w14:textId="77777777" w:rsidR="0019789C" w:rsidRPr="002A65B0" w:rsidRDefault="0019789C" w:rsidP="00EC37BA">
      <w:pPr>
        <w:pStyle w:val="Quote"/>
      </w:pPr>
      <w:r w:rsidRPr="002A65B0">
        <w:t>Strategic litigation consists of identifying and carefully selecting cases for litigation in order to clarify, promote and protect the rights of a whole group of people who are in a similar situation, and ensuring widespread publicity for such cases and dissemination of their results including through the media. In the field of equality, the aim of strategic litigation is to (i) generate case law that clarifies the interpretation of the equal treatment legislation, (ii) ensure a critical mass of casework on the different grounds covered, (iii) develop case law on issues of structural discrimination, (iv) generate publicity and use this publicity to sensitise individuals and institutions about their obligations under the equal rights legislation and (v) motivate individuals and institutions to respect these obligations and to bring about societal change. Through such strategic litigation and its media coverage, equality bodies can substantially improve the situation of groups exposed to discrimination and intolerance and increase the impact of their support activities.</w:t>
      </w:r>
      <w:r w:rsidRPr="002A65B0">
        <w:rPr>
          <w:rStyle w:val="FootnoteReference"/>
        </w:rPr>
        <w:footnoteReference w:id="387"/>
      </w:r>
    </w:p>
    <w:p w14:paraId="26156D0C" w14:textId="416E3DF2" w:rsidR="0019789C" w:rsidRPr="002A65B0" w:rsidRDefault="0019789C" w:rsidP="00EC37BA">
      <w:pPr>
        <w:ind w:firstLine="0"/>
      </w:pPr>
      <w:r w:rsidRPr="002A65B0">
        <w:lastRenderedPageBreak/>
        <w:t>The Women and Equalities Committee has highlighted that building a ‘critical mass’ of non-discrimination case law will help ‘build a culture where compliance with the Equality Act 2010 is the norm’ and lessen the burden placed on individual claimants.</w:t>
      </w:r>
      <w:r w:rsidRPr="002A65B0">
        <w:rPr>
          <w:rStyle w:val="FootnoteReference"/>
        </w:rPr>
        <w:footnoteReference w:id="388"/>
      </w:r>
      <w:r w:rsidRPr="002A65B0">
        <w:t xml:space="preserve"> However, the ‘critical mass approach’ is reliant on, </w:t>
      </w:r>
      <w:r w:rsidRPr="002A65B0">
        <w:rPr>
          <w:i/>
        </w:rPr>
        <w:t>inter alia</w:t>
      </w:r>
      <w:r w:rsidRPr="002A65B0">
        <w:t>, greater dissemination of the legal actions taken by the EHRC,</w:t>
      </w:r>
      <w:r w:rsidRPr="002A65B0">
        <w:rPr>
          <w:rStyle w:val="FootnoteReference"/>
        </w:rPr>
        <w:footnoteReference w:id="389"/>
      </w:r>
      <w:r w:rsidRPr="002A65B0">
        <w:t xml:space="preserve"> which will help facilitate compliance with and prevent violations of the EA; and steps to secure indemnity for adverse costs in strategic litigation cases, which might permit the Commission to do more with its limited resources.</w:t>
      </w:r>
      <w:r w:rsidRPr="002A65B0">
        <w:rPr>
          <w:rStyle w:val="FootnoteReference"/>
        </w:rPr>
        <w:footnoteReference w:id="390"/>
      </w:r>
    </w:p>
    <w:p w14:paraId="22182028" w14:textId="77777777" w:rsidR="0019789C" w:rsidRPr="002A65B0" w:rsidRDefault="0019789C" w:rsidP="001C2C4A"/>
    <w:p w14:paraId="6B8246DD" w14:textId="75B8FC95" w:rsidR="0019789C" w:rsidRPr="002A65B0" w:rsidRDefault="0019789C" w:rsidP="002E7646">
      <w:r w:rsidRPr="002A65B0">
        <w:t>Turning now to the third issue: the risk of the costs of a successful defendant being awarded against a claimant. One positive feature of LASPO was to introduce ‘qualified one</w:t>
      </w:r>
      <w:r>
        <w:t>-</w:t>
      </w:r>
      <w:r w:rsidRPr="002A65B0">
        <w:t>way cost shifting’ for certain types of case, which prevents courts from ordering that a successful defendant should be able to recover their costs from the losing claimant.</w:t>
      </w:r>
      <w:r w:rsidRPr="002A65B0">
        <w:rPr>
          <w:rStyle w:val="FootnoteReference"/>
        </w:rPr>
        <w:footnoteReference w:id="391"/>
      </w:r>
      <w:r w:rsidRPr="002A65B0">
        <w:t xml:space="preserve"> The aim was to provide financial protection for certain claimants. Unfortunately, however, this provision does not apply to discrimination claims.</w:t>
      </w:r>
      <w:r w:rsidRPr="002A65B0">
        <w:rPr>
          <w:rStyle w:val="FootnoteReference"/>
        </w:rPr>
        <w:footnoteReference w:id="392"/>
      </w:r>
      <w:r w:rsidRPr="002A65B0">
        <w:t xml:space="preserve"> Hence, there is a risk that a claimant in a discrimination case may be ordered to pay significant legal costs incurred by the defendant – a risk which operates as a significant deterrent to bringing cases.</w:t>
      </w:r>
      <w:r w:rsidRPr="002A65B0">
        <w:rPr>
          <w:rStyle w:val="FootnoteReference"/>
        </w:rPr>
        <w:footnoteReference w:id="393"/>
      </w:r>
      <w:r w:rsidRPr="002A65B0">
        <w:t xml:space="preserve"> A number of bodies – namely the EHRC, the Women and Equalities Committee and the House of Lords Select Committee – have recommended that ‘qualified one</w:t>
      </w:r>
      <w:r>
        <w:t>-</w:t>
      </w:r>
      <w:r w:rsidRPr="002A65B0">
        <w:t>way cost shifting’ be applied to discrimination claims by formally amending the Civil Procedure Rules.</w:t>
      </w:r>
      <w:r w:rsidRPr="002A65B0">
        <w:rPr>
          <w:rStyle w:val="FootnoteReference"/>
        </w:rPr>
        <w:footnoteReference w:id="394"/>
      </w:r>
      <w:r w:rsidRPr="002A65B0">
        <w:t xml:space="preserve"> One could argue that an exception protecting claimants in personal injury cases</w:t>
      </w:r>
      <w:r w:rsidRPr="002A65B0">
        <w:rPr>
          <w:rStyle w:val="FootnoteReference"/>
        </w:rPr>
        <w:footnoteReference w:id="395"/>
      </w:r>
      <w:r w:rsidRPr="002A65B0">
        <w:t xml:space="preserve"> already encompasses discrimination claims; but this is only feasible if the courts interpret ‘injury to feelings’, which are recoverable damages under the EA, as part and parcel of ‘personal injury’.</w:t>
      </w:r>
      <w:r w:rsidRPr="002A65B0">
        <w:rPr>
          <w:rStyle w:val="FootnoteReference"/>
        </w:rPr>
        <w:footnoteReference w:id="396"/>
      </w:r>
    </w:p>
    <w:p w14:paraId="04E7DA35" w14:textId="4DAAE63D" w:rsidR="0019789C" w:rsidRPr="002A65B0" w:rsidRDefault="0019789C" w:rsidP="001C2C4A"/>
    <w:p w14:paraId="304F9AD6" w14:textId="03B8FBE8" w:rsidR="0019789C" w:rsidRPr="002A65B0" w:rsidRDefault="0019789C" w:rsidP="00343577">
      <w:r w:rsidRPr="002A65B0">
        <w:t>The fourth issue relating to enforcement is conciliation. Prior to 2013, the EHRC (and the Disability Rights Commission before that) offered a conciliation service whereby ‘any complaint arising out of an alleged failure to provide goods or services in a non-discriminatory way under the DDA could be referred for resolution.’</w:t>
      </w:r>
      <w:r w:rsidRPr="002A65B0">
        <w:rPr>
          <w:rStyle w:val="FootnoteReference"/>
        </w:rPr>
        <w:footnoteReference w:id="397"/>
      </w:r>
      <w:r w:rsidRPr="002A65B0">
        <w:t xml:space="preserve"> The EHRC’s power to make such arrangements was repealed in 2013 by the government, which argued that ‘[w]e do not believe that arranging conciliation services for individual cases fits with the EHRC’s strategic role.’</w:t>
      </w:r>
      <w:r w:rsidRPr="002A65B0">
        <w:rPr>
          <w:rStyle w:val="FootnoteReference"/>
        </w:rPr>
        <w:footnoteReference w:id="398"/>
      </w:r>
      <w:r w:rsidRPr="002A65B0">
        <w:t xml:space="preserve"> This move was met with considerable criticism, namely be the EHRC itself, which noted that the ‘particular concern for disabled people given that the majority of non-employment discrimination claims are disability cases’.</w:t>
      </w:r>
      <w:r w:rsidRPr="002A65B0">
        <w:rPr>
          <w:rStyle w:val="FootnoteReference"/>
        </w:rPr>
        <w:footnoteReference w:id="399"/>
      </w:r>
      <w:r w:rsidRPr="002A65B0">
        <w:t xml:space="preserve"> A number of bodies, including the Discrimination Law Association and the House of Lords Select Committee on the Equality Act 2010 and Disability have called for this power to be reinstated to the EHRC.</w:t>
      </w:r>
      <w:r w:rsidRPr="002A65B0">
        <w:rPr>
          <w:rStyle w:val="FootnoteReference"/>
        </w:rPr>
        <w:footnoteReference w:id="400"/>
      </w:r>
      <w:r w:rsidRPr="002A65B0">
        <w:t xml:space="preserve"> For now, such power rests with the Advisory, Conciliation and Arbitration Service (ACAS), but only for employment disputes and both parties must agree to participate in the conciliation process.</w:t>
      </w:r>
      <w:r w:rsidRPr="002A65B0">
        <w:rPr>
          <w:rStyle w:val="FootnoteReference"/>
        </w:rPr>
        <w:footnoteReference w:id="401"/>
      </w:r>
      <w:r w:rsidRPr="002A65B0">
        <w:t xml:space="preserve"> The House of Lords Select Committee floated the idea of a disability ombudsman to hear complaints and consider the facts of each claim,</w:t>
      </w:r>
      <w:r w:rsidRPr="002A65B0">
        <w:rPr>
          <w:rStyle w:val="FootnoteReference"/>
        </w:rPr>
        <w:footnoteReference w:id="402"/>
      </w:r>
      <w:r w:rsidRPr="002A65B0">
        <w:t xml:space="preserve"> but to date no steps have been taken in this regard.</w:t>
      </w:r>
    </w:p>
    <w:p w14:paraId="2CD9D7CB" w14:textId="3C384217" w:rsidR="0019789C" w:rsidRPr="002A65B0" w:rsidRDefault="0019789C" w:rsidP="001C2C4A"/>
    <w:p w14:paraId="272B3833" w14:textId="77777777" w:rsidR="0019789C" w:rsidRPr="002A65B0" w:rsidRDefault="0019789C" w:rsidP="00BD5449">
      <w:r w:rsidRPr="002A65B0">
        <w:t>The fifth and final issue relating to the enforcement of reasonable adjustment duties concerns the power of the EHRC to bring enforcement action independently of any particular injured individual. In addition to the EHRC’s litigation powers discussed above, the Commission’s role as a regulatory body also enables it take enforcement action to reduce inequality, eliminate discrimination and promote and protect human rights.</w:t>
      </w:r>
      <w:r w:rsidRPr="002A65B0">
        <w:rPr>
          <w:rStyle w:val="FootnoteReference"/>
        </w:rPr>
        <w:footnoteReference w:id="403"/>
      </w:r>
      <w:r w:rsidRPr="002A65B0">
        <w:t xml:space="preserve"> Such enforcement powers are set out in the Equality Act 2006 and include investigations (s 20); unlawful act notices (s 21); action plans (s 22); agreements (s 23); injunctions or interdicts (s 24); public sector duty assessments (s 31); public sector duty compliance notices (s 32).</w:t>
      </w:r>
      <w:r w:rsidRPr="002A65B0">
        <w:rPr>
          <w:rStyle w:val="FootnoteReference"/>
        </w:rPr>
        <w:footnoteReference w:id="404"/>
      </w:r>
      <w:r w:rsidRPr="002A65B0">
        <w:t xml:space="preserve"> </w:t>
      </w:r>
    </w:p>
    <w:p w14:paraId="6A2F0C5B" w14:textId="77777777" w:rsidR="0019789C" w:rsidRPr="002A65B0" w:rsidRDefault="0019789C" w:rsidP="00BD5449"/>
    <w:p w14:paraId="50FA71DE" w14:textId="62BF6A34" w:rsidR="0019789C" w:rsidRPr="002A65B0" w:rsidRDefault="0019789C" w:rsidP="00215D7C">
      <w:r w:rsidRPr="002A65B0">
        <w:lastRenderedPageBreak/>
        <w:t>In particular, the EHRC’s power to seek an injunction and ‘to enter into formal, legally binding, agreements on actions that a private or public body will take’ has been hailed as a strength due to the deterrent effect,</w:t>
      </w:r>
      <w:r w:rsidRPr="002A65B0">
        <w:rPr>
          <w:rStyle w:val="FootnoteReference"/>
        </w:rPr>
        <w:footnoteReference w:id="405"/>
      </w:r>
      <w:r w:rsidRPr="002A65B0">
        <w:t xml:space="preserve"> especially in light of the limited use of injunctive relief previously discussed. That being said, the enforcement action taken by the Commission between October 2007 and March 2018 exhibits a preference for strategic litigation over enforcement powers.</w:t>
      </w:r>
      <w:r w:rsidRPr="002A65B0">
        <w:rPr>
          <w:rStyle w:val="FootnoteReference"/>
        </w:rPr>
        <w:footnoteReference w:id="406"/>
      </w:r>
      <w:r w:rsidRPr="002A65B0">
        <w:t xml:space="preserve"> In this timeframe, for instance, the EHRC only applied for injunctions in seven instances of unlawful discrimination and conducted four formal investigations.</w:t>
      </w:r>
      <w:r w:rsidRPr="002A65B0">
        <w:rPr>
          <w:rStyle w:val="FootnoteReference"/>
        </w:rPr>
        <w:footnoteReference w:id="407"/>
      </w:r>
      <w:r w:rsidRPr="002A65B0">
        <w:t xml:space="preserve"> However, such numbers must be assessed in context, such as the elimination of the EHRC’s helpline discussed above, which has limited the Commission’s access to intelligence on occurrences of discrimination.</w:t>
      </w:r>
      <w:r w:rsidRPr="002A65B0">
        <w:rPr>
          <w:rStyle w:val="FootnoteReference"/>
        </w:rPr>
        <w:footnoteReference w:id="408"/>
      </w:r>
      <w:r w:rsidRPr="002A65B0">
        <w:t xml:space="preserve"> Moreover, the EHRC budget and staff have been reduced: in 2018, it employed 206 staff, as compared to 530 in 2010, and its budget has been reduced by nearly £42 million since 2007.</w:t>
      </w:r>
      <w:r w:rsidRPr="002A65B0">
        <w:rPr>
          <w:rStyle w:val="FootnoteReference"/>
        </w:rPr>
        <w:footnoteReference w:id="409"/>
      </w:r>
      <w:r w:rsidRPr="002A65B0">
        <w:t xml:space="preserve"> Lastly, the Commission can only launch a formal investigation if ‘it suspects that the person concerned may have committed an unlawful act’, which is arguably ‘too high a standard of proof for that threshold’.</w:t>
      </w:r>
      <w:r w:rsidRPr="002A65B0">
        <w:rPr>
          <w:rStyle w:val="FootnoteReference"/>
        </w:rPr>
        <w:footnoteReference w:id="410"/>
      </w:r>
      <w:r w:rsidRPr="002A65B0">
        <w:t xml:space="preserve"> The Women and Equalities Committee has thus recommended that</w:t>
      </w:r>
    </w:p>
    <w:p w14:paraId="5AF2ED69" w14:textId="397C9CB5" w:rsidR="0019789C" w:rsidRPr="002A65B0" w:rsidRDefault="0019789C" w:rsidP="009847F1">
      <w:pPr>
        <w:pStyle w:val="Quote"/>
      </w:pPr>
      <w:r w:rsidRPr="002A65B0">
        <w:t>the EHRC assesses its enforcement policies and practices to ensure that the threshold for suspecting an unlawful act may have taken place is no higher than required by the law. It should publicly set out the type and level of evidence that will allow it to meet that threshold. If, after changing its policies, the Commission still struggles to meet that evidence threshold then the law must be changed accordingly.</w:t>
      </w:r>
      <w:r w:rsidRPr="002A65B0">
        <w:rPr>
          <w:rStyle w:val="FootnoteReference"/>
        </w:rPr>
        <w:footnoteReference w:id="411"/>
      </w:r>
    </w:p>
    <w:p w14:paraId="387947FE" w14:textId="77777777" w:rsidR="0019789C" w:rsidRPr="002A65B0" w:rsidRDefault="0019789C" w:rsidP="001C2C4A">
      <w:pPr>
        <w:ind w:firstLine="0"/>
      </w:pPr>
    </w:p>
    <w:p w14:paraId="50CAE51E" w14:textId="4C92D81A" w:rsidR="0019789C" w:rsidRPr="002A65B0" w:rsidRDefault="0019789C" w:rsidP="009847F1">
      <w:r w:rsidRPr="002A65B0">
        <w:t>Finally, it should be noted that there is no provision for collective actions under English and Welsh or Scottish discrimination law.</w:t>
      </w:r>
    </w:p>
    <w:p w14:paraId="669F17CE" w14:textId="77777777" w:rsidR="0019789C" w:rsidRDefault="0019789C" w:rsidP="001C2C4A">
      <w:pPr>
        <w:ind w:firstLine="0"/>
      </w:pPr>
    </w:p>
    <w:p w14:paraId="6986EC7F" w14:textId="77777777" w:rsidR="0019789C" w:rsidRPr="002A65B0" w:rsidRDefault="0019789C" w:rsidP="001C2C4A">
      <w:pPr>
        <w:ind w:firstLine="0"/>
      </w:pPr>
    </w:p>
    <w:p w14:paraId="12C494E8" w14:textId="77777777" w:rsidR="0019789C" w:rsidRPr="002A65B0" w:rsidRDefault="0019789C" w:rsidP="001C2C4A">
      <w:pPr>
        <w:pStyle w:val="Heading3"/>
      </w:pPr>
      <w:r w:rsidRPr="002A65B0">
        <w:t>B1.2 Equality Act 2010: Indirect Discrimination</w:t>
      </w:r>
    </w:p>
    <w:p w14:paraId="4FD3DCFA" w14:textId="778F52FE" w:rsidR="0019789C" w:rsidRPr="002A65B0" w:rsidRDefault="0019789C" w:rsidP="00AE3A75">
      <w:pPr>
        <w:pStyle w:val="Heading4"/>
      </w:pPr>
      <w:r w:rsidRPr="002A65B0">
        <w:lastRenderedPageBreak/>
        <w:t>(a) Description and Examples</w:t>
      </w:r>
    </w:p>
    <w:p w14:paraId="2FF126FB" w14:textId="1D07BF6F" w:rsidR="0019789C" w:rsidRPr="002A65B0" w:rsidRDefault="0019789C" w:rsidP="001C2C4A">
      <w:r w:rsidRPr="002A65B0">
        <w:t>Unlike the reasonable adjustment duty, which is applicable only to the protected characteristic of disability, the prohibition of indirect discrimination, found in s 19 EA, applies to eight protected characteristics: age; disability; gender reassignment; marriage and civil partnership; race; religion or belief; sex; and sexual orientation.</w:t>
      </w:r>
      <w:r w:rsidRPr="002A65B0">
        <w:rPr>
          <w:rStyle w:val="FootnoteReference"/>
        </w:rPr>
        <w:footnoteReference w:id="412"/>
      </w:r>
      <w:r w:rsidRPr="002A65B0">
        <w:t xml:space="preserve"> In relation to age, however, claims for indirect discrimination in the provision of services or exercise of public functions cannot be made by people under the age of eighteen.</w:t>
      </w:r>
      <w:r w:rsidRPr="002A65B0">
        <w:rPr>
          <w:rStyle w:val="FootnoteReference"/>
        </w:rPr>
        <w:footnoteReference w:id="413"/>
      </w:r>
    </w:p>
    <w:p w14:paraId="51713609" w14:textId="77777777" w:rsidR="0019789C" w:rsidRPr="002A65B0" w:rsidRDefault="0019789C" w:rsidP="001C2C4A"/>
    <w:p w14:paraId="7F32E2B7" w14:textId="645A259B" w:rsidR="0019789C" w:rsidRPr="002A65B0" w:rsidRDefault="0019789C" w:rsidP="001C2C4A">
      <w:r w:rsidRPr="002A65B0">
        <w:t>Indirect discrimination is prohibited by s 19 EA. According to s 19(1), it occurs where a provision, criterion or practice (PCP) is applied to a person and discriminatory in relation to a protected characteristic of that person.</w:t>
      </w:r>
      <w:r w:rsidRPr="002A65B0">
        <w:rPr>
          <w:rStyle w:val="FootnoteReference"/>
        </w:rPr>
        <w:footnoteReference w:id="414"/>
      </w:r>
      <w:r w:rsidRPr="002A65B0">
        <w:t xml:space="preserve"> Section 19(2) then specifies that a PCP is discriminatory in relation to the person’s protected characteristic if – </w:t>
      </w:r>
    </w:p>
    <w:p w14:paraId="5E307273" w14:textId="77777777" w:rsidR="0019789C" w:rsidRPr="002A65B0" w:rsidRDefault="0019789C" w:rsidP="00427643">
      <w:pPr>
        <w:pStyle w:val="ListParagraph"/>
        <w:numPr>
          <w:ilvl w:val="0"/>
          <w:numId w:val="3"/>
        </w:numPr>
      </w:pPr>
      <w:r w:rsidRPr="002A65B0">
        <w:t xml:space="preserve">the person applies or would apply it to persons who do not share that same characteristic; </w:t>
      </w:r>
    </w:p>
    <w:p w14:paraId="03A39C3E" w14:textId="77777777" w:rsidR="0019789C" w:rsidRPr="002A65B0" w:rsidRDefault="0019789C" w:rsidP="00427643">
      <w:pPr>
        <w:pStyle w:val="ListParagraph"/>
        <w:numPr>
          <w:ilvl w:val="0"/>
          <w:numId w:val="3"/>
        </w:numPr>
      </w:pPr>
      <w:r w:rsidRPr="002A65B0">
        <w:t xml:space="preserve">it puts or would put persons who do share that characteristic at a particular disadvantage when compared with persons who do not share it; </w:t>
      </w:r>
    </w:p>
    <w:p w14:paraId="36ADB0AB" w14:textId="77777777" w:rsidR="0019789C" w:rsidRPr="002A65B0" w:rsidRDefault="0019789C" w:rsidP="00427643">
      <w:pPr>
        <w:pStyle w:val="ListParagraph"/>
        <w:numPr>
          <w:ilvl w:val="0"/>
          <w:numId w:val="3"/>
        </w:numPr>
      </w:pPr>
      <w:r w:rsidRPr="002A65B0">
        <w:t>it puts or would put the person in question at that disadvantage; and</w:t>
      </w:r>
    </w:p>
    <w:p w14:paraId="405F682A" w14:textId="0CAD4A0B" w:rsidR="0019789C" w:rsidRPr="002A65B0" w:rsidRDefault="0019789C" w:rsidP="00427643">
      <w:pPr>
        <w:pStyle w:val="ListParagraph"/>
        <w:numPr>
          <w:ilvl w:val="0"/>
          <w:numId w:val="3"/>
        </w:numPr>
      </w:pPr>
      <w:r w:rsidRPr="002A65B0">
        <w:t>it cannot be shown ‘to be a proportionate means of achieving a legitimate aim.</w:t>
      </w:r>
      <w:r w:rsidRPr="002A65B0">
        <w:rPr>
          <w:rStyle w:val="FootnoteReference"/>
        </w:rPr>
        <w:footnoteReference w:id="415"/>
      </w:r>
    </w:p>
    <w:p w14:paraId="54F249C5" w14:textId="77777777" w:rsidR="0019789C" w:rsidRPr="002A65B0" w:rsidRDefault="0019789C" w:rsidP="00DC789D"/>
    <w:p w14:paraId="5394525C" w14:textId="7EDB20AC" w:rsidR="0019789C" w:rsidRPr="002A65B0" w:rsidRDefault="0019789C" w:rsidP="00DC789D">
      <w:r w:rsidRPr="002A65B0">
        <w:t>Indirect discrimination was not part of the DDA and accordingly there is a much shorter of its operation in the disability context than there is for the reasonable adjustment duty. There is a considerable overlap between indirect discrimination and the anticipatory reasonable adjustment duty. Both, for instance, look to disadvantage caused by the operation of PCPs. Although the latter is also concerned with disadvantage caused by physical features and failures to provide auxiliary aids or services, it would generally be possible to characterise these as a form of practice. There seem to be no advantages to bringing a claim for indirect discrimination claim over bringing one for reasonable adjustments – although there might be greater awareness of indirect discrimination than anticipatory reasonable adjustment.</w:t>
      </w:r>
    </w:p>
    <w:p w14:paraId="75ED9B70" w14:textId="33BBFA65" w:rsidR="0019789C" w:rsidRPr="002A65B0" w:rsidRDefault="0019789C" w:rsidP="001C2C4A">
      <w:pPr>
        <w:ind w:firstLine="0"/>
      </w:pPr>
    </w:p>
    <w:p w14:paraId="57E96FA5" w14:textId="0F4BD7FB" w:rsidR="0019789C" w:rsidRPr="002A65B0" w:rsidRDefault="0019789C" w:rsidP="00AE3A75">
      <w:pPr>
        <w:pStyle w:val="Heading4"/>
      </w:pPr>
      <w:r w:rsidRPr="002A65B0">
        <w:t>(b) Remedies</w:t>
      </w:r>
      <w:r>
        <w:t>, Sanctions or Other Outcomes</w:t>
      </w:r>
      <w:r w:rsidRPr="002A65B0">
        <w:t xml:space="preserve"> </w:t>
      </w:r>
    </w:p>
    <w:p w14:paraId="3C8799AE" w14:textId="49033558" w:rsidR="0019789C" w:rsidRPr="002A65B0" w:rsidRDefault="0019789C" w:rsidP="001C2C4A">
      <w:pPr>
        <w:rPr>
          <w:lang w:bidi="en-US"/>
        </w:rPr>
      </w:pPr>
      <w:r w:rsidRPr="002A65B0">
        <w:rPr>
          <w:lang w:bidi="en-US"/>
        </w:rPr>
        <w:t>The remedies available for indirect discrimination are almost identical to those available for a failure to provide a reasonable adjustment.</w:t>
      </w:r>
      <w:r w:rsidRPr="002A65B0">
        <w:rPr>
          <w:rStyle w:val="FootnoteReference"/>
          <w:lang w:bidi="en-US"/>
        </w:rPr>
        <w:footnoteReference w:id="416"/>
      </w:r>
      <w:r w:rsidRPr="002A65B0">
        <w:rPr>
          <w:lang w:bidi="en-US"/>
        </w:rPr>
        <w:t xml:space="preserve"> The one key difference is that where the county court or sheriff finds ‘a contravention … established by virtue of section 19 [indirect discrimination], but is satisfied that the provision, criterion or practice was not applied with the intention of discriminating against the claimant or pursuer’, it ‘must not make an award of damages unless it first considers whether to make any other disposal.’</w:t>
      </w:r>
      <w:r w:rsidRPr="002A65B0">
        <w:rPr>
          <w:rStyle w:val="FootnoteReference"/>
          <w:lang w:bidi="en-US"/>
        </w:rPr>
        <w:footnoteReference w:id="417"/>
      </w:r>
      <w:r w:rsidRPr="002A65B0">
        <w:rPr>
          <w:lang w:bidi="en-US"/>
        </w:rPr>
        <w:t xml:space="preserve"> </w:t>
      </w:r>
    </w:p>
    <w:p w14:paraId="6EFE4090" w14:textId="1B223C33" w:rsidR="0019789C" w:rsidRPr="002A65B0" w:rsidRDefault="0019789C" w:rsidP="004B5E28">
      <w:pPr>
        <w:ind w:firstLine="0"/>
        <w:rPr>
          <w:lang w:bidi="en-US"/>
        </w:rPr>
      </w:pPr>
    </w:p>
    <w:p w14:paraId="06183D91" w14:textId="5D0467BC" w:rsidR="0019789C" w:rsidRPr="002A65B0" w:rsidRDefault="0019789C" w:rsidP="00AE3A75">
      <w:pPr>
        <w:pStyle w:val="Heading4"/>
      </w:pPr>
      <w:r w:rsidRPr="002A65B0">
        <w:t>(c) Enforcement</w:t>
      </w:r>
    </w:p>
    <w:p w14:paraId="243EF080" w14:textId="60AD987E" w:rsidR="0019789C" w:rsidRPr="002A65B0" w:rsidRDefault="0019789C" w:rsidP="00CC049D">
      <w:pPr>
        <w:rPr>
          <w:lang w:bidi="en-US"/>
        </w:rPr>
      </w:pPr>
      <w:r w:rsidRPr="002A65B0">
        <w:rPr>
          <w:lang w:bidi="en-US"/>
        </w:rPr>
        <w:t>Broadly the same issues are relevant to the enforcement of indirect discrimination as to the enforcement of the reasonable adjustment duty, discussed above B1.1 (c).</w:t>
      </w:r>
    </w:p>
    <w:p w14:paraId="614DD344" w14:textId="678D0355" w:rsidR="0019789C" w:rsidRPr="002A65B0" w:rsidRDefault="0019789C" w:rsidP="0070005D">
      <w:pPr>
        <w:ind w:firstLine="0"/>
      </w:pPr>
    </w:p>
    <w:p w14:paraId="5F10B7F8" w14:textId="1F6E8887" w:rsidR="0019789C" w:rsidRPr="002A65B0" w:rsidRDefault="0019789C" w:rsidP="001C2C4A"/>
    <w:p w14:paraId="19D29B89" w14:textId="242BD588" w:rsidR="0019789C" w:rsidRPr="002A65B0" w:rsidRDefault="0019789C" w:rsidP="0051161D">
      <w:pPr>
        <w:pStyle w:val="Heading3"/>
      </w:pPr>
      <w:r w:rsidRPr="002A65B0">
        <w:t>B1.3 Equality Act 2010: Discrimination Arising in Consequence of Disability</w:t>
      </w:r>
    </w:p>
    <w:p w14:paraId="582BDD60" w14:textId="76E98B9B" w:rsidR="0019789C" w:rsidRPr="002A65B0" w:rsidRDefault="0019789C" w:rsidP="00AE3A75">
      <w:pPr>
        <w:pStyle w:val="Heading4"/>
      </w:pPr>
      <w:r w:rsidRPr="002A65B0">
        <w:t>(a) Description and Examples</w:t>
      </w:r>
    </w:p>
    <w:p w14:paraId="27D4FC8A" w14:textId="369F0BB4" w:rsidR="0019789C" w:rsidRPr="002A65B0" w:rsidRDefault="0019789C" w:rsidP="001C2C4A">
      <w:r w:rsidRPr="002A65B0">
        <w:t>Another possible discrimination action which might in theory be used to challenge inaccessible streets is discrimination arising in consequence of disability, contrary to s 15 of the EA. Section 15 reads as follows:</w:t>
      </w:r>
    </w:p>
    <w:p w14:paraId="69DF99A5" w14:textId="77777777" w:rsidR="0019789C" w:rsidRPr="002A65B0" w:rsidRDefault="0019789C" w:rsidP="00327FC2">
      <w:pPr>
        <w:pStyle w:val="Quote"/>
      </w:pPr>
      <w:r w:rsidRPr="002A65B0">
        <w:t xml:space="preserve">(1) A person (A) discriminates against a disabled person (B) if— </w:t>
      </w:r>
    </w:p>
    <w:p w14:paraId="421642B5" w14:textId="77777777" w:rsidR="0019789C" w:rsidRPr="002A65B0" w:rsidRDefault="0019789C" w:rsidP="00327FC2">
      <w:pPr>
        <w:pStyle w:val="QuoteList"/>
        <w:ind w:left="1701"/>
      </w:pPr>
      <w:r w:rsidRPr="002A65B0">
        <w:t>(a)</w:t>
      </w:r>
      <w:r w:rsidRPr="002A65B0">
        <w:tab/>
        <w:t xml:space="preserve">A treats B unfavourably because of something arising in consequence of B’s disability, and </w:t>
      </w:r>
    </w:p>
    <w:p w14:paraId="6B09E594" w14:textId="77777777" w:rsidR="0019789C" w:rsidRPr="002A65B0" w:rsidRDefault="0019789C" w:rsidP="00327FC2">
      <w:pPr>
        <w:pStyle w:val="QuoteList"/>
        <w:ind w:left="1701"/>
      </w:pPr>
      <w:r w:rsidRPr="002A65B0">
        <w:t>(b)</w:t>
      </w:r>
      <w:r w:rsidRPr="002A65B0">
        <w:tab/>
        <w:t>A cannot show that the treatment is a proportionate means of achieving a legitimate aim.</w:t>
      </w:r>
    </w:p>
    <w:p w14:paraId="75B95812" w14:textId="77777777" w:rsidR="0019789C" w:rsidRPr="002A65B0" w:rsidRDefault="0019789C" w:rsidP="00327FC2">
      <w:pPr>
        <w:pStyle w:val="Quote"/>
      </w:pPr>
      <w:r w:rsidRPr="002A65B0">
        <w:t xml:space="preserve"> (2) Subsection (1) does not apply if A shows that A did not know, and could not reasonably have been expected to know, that B had the disability.</w:t>
      </w:r>
    </w:p>
    <w:p w14:paraId="6F86D63A" w14:textId="0E90CFC3" w:rsidR="0019789C" w:rsidRPr="002A65B0" w:rsidRDefault="0019789C" w:rsidP="00826F64">
      <w:pPr>
        <w:ind w:firstLine="0"/>
      </w:pPr>
      <w:r w:rsidRPr="002A65B0">
        <w:lastRenderedPageBreak/>
        <w:t xml:space="preserve">This form of discrimination is very similar to ‘disability-related discrimination’, which was a form of discrimination prohibited by the DDA but which was interpreted very restrictively by the House of Lords in </w:t>
      </w:r>
      <w:r w:rsidRPr="002A65B0">
        <w:rPr>
          <w:rStyle w:val="case"/>
        </w:rPr>
        <w:t>Lewisham v Malcolm</w:t>
      </w:r>
      <w:r w:rsidRPr="002A65B0">
        <w:t>.</w:t>
      </w:r>
      <w:r w:rsidRPr="002A65B0">
        <w:rPr>
          <w:rStyle w:val="FootnoteReference"/>
        </w:rPr>
        <w:footnoteReference w:id="418"/>
      </w:r>
    </w:p>
    <w:p w14:paraId="30666CE2" w14:textId="2F20A77E" w:rsidR="0019789C" w:rsidRPr="002A65B0" w:rsidRDefault="0019789C" w:rsidP="00D33CDF"/>
    <w:p w14:paraId="12C659CE" w14:textId="16D576C0" w:rsidR="0019789C" w:rsidRPr="002A65B0" w:rsidRDefault="0019789C" w:rsidP="00D33CDF">
      <w:r w:rsidRPr="002A65B0">
        <w:t>Like the reasonable adjustment duty, this form of discrimination claim is available only to disabled people. What makes it unlikely to be as useful as the reasonable adjustment duty, in the context of pedestrian access to streets, is the requirement that the defendant knew or ought to have known of their disability. It is mentioned here, however, for the sake of completeness.</w:t>
      </w:r>
    </w:p>
    <w:p w14:paraId="502AE3AD" w14:textId="25A478D3" w:rsidR="0019789C" w:rsidRPr="002A65B0" w:rsidRDefault="0019789C" w:rsidP="00EF643E">
      <w:pPr>
        <w:ind w:firstLine="0"/>
      </w:pPr>
    </w:p>
    <w:p w14:paraId="7EB10D99" w14:textId="5DEFFFED" w:rsidR="0019789C" w:rsidRPr="002A65B0" w:rsidRDefault="0019789C" w:rsidP="00AE3A75">
      <w:pPr>
        <w:pStyle w:val="Heading4"/>
        <w:ind w:left="0" w:firstLine="720"/>
      </w:pPr>
      <w:r w:rsidRPr="002A65B0">
        <w:t>(b) Remedies</w:t>
      </w:r>
      <w:r>
        <w:t>, Sanctions or Other Outcomes</w:t>
      </w:r>
    </w:p>
    <w:p w14:paraId="288FF2B4" w14:textId="68DE9A09" w:rsidR="0019789C" w:rsidRPr="002A65B0" w:rsidRDefault="0019789C" w:rsidP="00882843">
      <w:r w:rsidRPr="002A65B0">
        <w:t>See above B1.1 (b) on remedies in the context of reasonable adjustments.</w:t>
      </w:r>
    </w:p>
    <w:p w14:paraId="0908F572" w14:textId="321F53B1" w:rsidR="0019789C" w:rsidRPr="002A65B0" w:rsidRDefault="0019789C" w:rsidP="00EF643E">
      <w:pPr>
        <w:ind w:firstLine="0"/>
      </w:pPr>
    </w:p>
    <w:p w14:paraId="65B33528" w14:textId="5F52B1E8" w:rsidR="0019789C" w:rsidRPr="002A65B0" w:rsidRDefault="0019789C" w:rsidP="00AE3A75">
      <w:pPr>
        <w:pStyle w:val="Heading4"/>
        <w:ind w:left="0" w:firstLine="720"/>
      </w:pPr>
      <w:r w:rsidRPr="002A65B0">
        <w:t>(c) Enforcement</w:t>
      </w:r>
    </w:p>
    <w:p w14:paraId="6199D5FD" w14:textId="7E2BE85D" w:rsidR="0019789C" w:rsidRPr="002A65B0" w:rsidRDefault="0019789C" w:rsidP="00882843">
      <w:r w:rsidRPr="002A65B0">
        <w:t>See above B1.1 (c) on enforcement in the context of reasonable adjustments.</w:t>
      </w:r>
    </w:p>
    <w:p w14:paraId="47DF1D72" w14:textId="76DA8D95" w:rsidR="0019789C" w:rsidRPr="002A65B0" w:rsidRDefault="0019789C" w:rsidP="001C2C4A"/>
    <w:p w14:paraId="397676A1" w14:textId="77777777" w:rsidR="0019789C" w:rsidRPr="002A65B0" w:rsidRDefault="0019789C" w:rsidP="001C2C4A"/>
    <w:p w14:paraId="315A5807" w14:textId="59C1619D" w:rsidR="0019789C" w:rsidRPr="002A65B0" w:rsidRDefault="0019789C" w:rsidP="00E46097">
      <w:pPr>
        <w:pStyle w:val="Heading2"/>
      </w:pPr>
      <w:r w:rsidRPr="002A65B0">
        <w:t>B2 Other Equality-Based Actions</w:t>
      </w:r>
    </w:p>
    <w:p w14:paraId="37B26148" w14:textId="296D7EBC" w:rsidR="0019789C" w:rsidRPr="002A65B0" w:rsidRDefault="0019789C" w:rsidP="00EF643E">
      <w:pPr>
        <w:pStyle w:val="Heading3"/>
      </w:pPr>
      <w:bookmarkStart w:id="52" w:name="_Ref30500099"/>
      <w:r w:rsidRPr="002A65B0">
        <w:t>B2.1 Equality Act 2010: Public Sector Equality Duty</w:t>
      </w:r>
      <w:bookmarkEnd w:id="52"/>
    </w:p>
    <w:p w14:paraId="41C8BB3F" w14:textId="7F0FE282" w:rsidR="0019789C" w:rsidRPr="002A65B0" w:rsidRDefault="0019789C" w:rsidP="00AE3A75">
      <w:pPr>
        <w:pStyle w:val="Heading4"/>
        <w:ind w:left="0" w:firstLine="720"/>
      </w:pPr>
      <w:r w:rsidRPr="002A65B0">
        <w:t>(a) Description and Examples</w:t>
      </w:r>
    </w:p>
    <w:p w14:paraId="1FB37D10" w14:textId="56FB84AF" w:rsidR="0019789C" w:rsidRPr="002A65B0" w:rsidRDefault="0019789C" w:rsidP="001C2C4A">
      <w:r w:rsidRPr="002A65B0">
        <w:t xml:space="preserve">Section 149 EA imposes the public sector equality duty (PSED). This requires a public authority, in the exercise of its functions, to have ‘due regard’ to the need to </w:t>
      </w:r>
    </w:p>
    <w:p w14:paraId="43D19026" w14:textId="77777777" w:rsidR="0019789C" w:rsidRPr="002A65B0" w:rsidRDefault="0019789C" w:rsidP="001C2C4A">
      <w:pPr>
        <w:pStyle w:val="QuoteList"/>
      </w:pPr>
      <w:r w:rsidRPr="002A65B0">
        <w:t>(1)</w:t>
      </w:r>
      <w:r w:rsidRPr="002A65B0">
        <w:tab/>
        <w:t>eliminate discrimination, harassment, victimisation and any other conduct that is prohibited by or under the Equality Act 2010;</w:t>
      </w:r>
    </w:p>
    <w:p w14:paraId="5993EAA1" w14:textId="77777777" w:rsidR="0019789C" w:rsidRPr="002A65B0" w:rsidRDefault="0019789C" w:rsidP="001C2C4A">
      <w:pPr>
        <w:pStyle w:val="QuoteList"/>
      </w:pPr>
      <w:r w:rsidRPr="002A65B0">
        <w:t>(2)</w:t>
      </w:r>
      <w:r w:rsidRPr="002A65B0">
        <w:tab/>
        <w:t>advance equality of opportunity between persons who share a relevant protected characteristic and persons who do not share it; and</w:t>
      </w:r>
    </w:p>
    <w:p w14:paraId="1A9D00C0" w14:textId="77777777" w:rsidR="0019789C" w:rsidRPr="002A65B0" w:rsidRDefault="0019789C" w:rsidP="001C2C4A">
      <w:pPr>
        <w:pStyle w:val="QuoteList"/>
      </w:pPr>
      <w:r w:rsidRPr="002A65B0">
        <w:t>(3)</w:t>
      </w:r>
      <w:r w:rsidRPr="002A65B0">
        <w:tab/>
        <w:t>foster good relations between persons who share a relevant protected characteristic and persons who do not share it.</w:t>
      </w:r>
    </w:p>
    <w:p w14:paraId="14328C8F" w14:textId="77777777" w:rsidR="0019789C" w:rsidRPr="002A65B0" w:rsidRDefault="0019789C" w:rsidP="001C2C4A">
      <w:pPr>
        <w:ind w:firstLine="0"/>
      </w:pPr>
    </w:p>
    <w:p w14:paraId="72471660" w14:textId="576B5C1E" w:rsidR="0019789C" w:rsidRPr="002A65B0" w:rsidRDefault="0019789C" w:rsidP="001C2C4A">
      <w:r w:rsidRPr="002A65B0">
        <w:lastRenderedPageBreak/>
        <w:t xml:space="preserve">Further detail on what is meant or required is provided in relation to the second and third of the aims. In relation to the second aim – ie to advance equality of opportunity – s 149(3) states that it involves having due regard to the need to: </w:t>
      </w:r>
    </w:p>
    <w:p w14:paraId="2C324535" w14:textId="77777777" w:rsidR="0019789C" w:rsidRPr="002A65B0" w:rsidRDefault="0019789C" w:rsidP="001C2C4A">
      <w:pPr>
        <w:pStyle w:val="QuoteList"/>
      </w:pPr>
      <w:r w:rsidRPr="002A65B0">
        <w:t>(a)</w:t>
      </w:r>
      <w:r w:rsidRPr="002A65B0">
        <w:tab/>
        <w:t>remove or minimise disadvantages suffered by persons who share a relevant protected characteristic that are connected to that characteristic;</w:t>
      </w:r>
    </w:p>
    <w:p w14:paraId="1F95BE20" w14:textId="673BD49B" w:rsidR="0019789C" w:rsidRPr="002A65B0" w:rsidRDefault="0019789C" w:rsidP="001C2C4A">
      <w:pPr>
        <w:pStyle w:val="QuoteList"/>
      </w:pPr>
      <w:r w:rsidRPr="002A65B0">
        <w:t>(b)</w:t>
      </w:r>
      <w:r w:rsidRPr="002A65B0">
        <w:tab/>
        <w:t>take steps to meet the needs of persons who share a relevant protected characteristic that are different from the needs of persons who do not share it - which, as is specified in s 149(4), in the case of disabled persons, include steps to take account of disabled persons' disabilities);</w:t>
      </w:r>
    </w:p>
    <w:p w14:paraId="4EAB8A1F" w14:textId="77777777" w:rsidR="0019789C" w:rsidRPr="002A65B0" w:rsidRDefault="0019789C" w:rsidP="001C2C4A">
      <w:pPr>
        <w:pStyle w:val="QuoteList"/>
      </w:pPr>
      <w:r w:rsidRPr="002A65B0">
        <w:t>(c)</w:t>
      </w:r>
      <w:r w:rsidRPr="002A65B0">
        <w:tab/>
        <w:t>encourage persons who share a relevant protected characteristic to participate in public life or in any other activity in which participation by such persons is disproportionately low.</w:t>
      </w:r>
      <w:r w:rsidRPr="002A65B0">
        <w:rPr>
          <w:rStyle w:val="FootnoteReference"/>
        </w:rPr>
        <w:footnoteReference w:id="419"/>
      </w:r>
    </w:p>
    <w:p w14:paraId="25DE9F74" w14:textId="77777777" w:rsidR="0019789C" w:rsidRPr="002A65B0" w:rsidRDefault="0019789C" w:rsidP="001C2C4A"/>
    <w:p w14:paraId="6897F6F6" w14:textId="77777777" w:rsidR="0019789C" w:rsidRPr="002A65B0" w:rsidRDefault="0019789C" w:rsidP="001C2C4A">
      <w:r w:rsidRPr="002A65B0">
        <w:t>The third aim – ie to foster good relations – involves having due regard to the need to tackle prejudice and promote understanding.</w:t>
      </w:r>
      <w:r w:rsidRPr="002A65B0">
        <w:rPr>
          <w:rStyle w:val="FootnoteReference"/>
        </w:rPr>
        <w:footnoteReference w:id="420"/>
      </w:r>
      <w:r w:rsidRPr="002A65B0">
        <w:t xml:space="preserve"> Section 149(7) lists the relevant protected characteristics: age; disability; gender reassignment; pregnancy and maternity; race; religion or belief; sex; and sexual orientation. Complying with the PSED may require treating some persons, such as disabled or elderly people, more favourably than others.</w:t>
      </w:r>
      <w:r w:rsidRPr="002A65B0">
        <w:rPr>
          <w:rStyle w:val="FootnoteReference"/>
        </w:rPr>
        <w:footnoteReference w:id="421"/>
      </w:r>
    </w:p>
    <w:p w14:paraId="28EA22B2" w14:textId="77777777" w:rsidR="0019789C" w:rsidRPr="002A65B0" w:rsidRDefault="0019789C" w:rsidP="001C2C4A">
      <w:pPr>
        <w:ind w:firstLine="0"/>
      </w:pPr>
    </w:p>
    <w:p w14:paraId="6ABF40DB" w14:textId="031491BF" w:rsidR="0019789C" w:rsidRPr="002A65B0" w:rsidRDefault="0019789C" w:rsidP="00C07EBF">
      <w:r w:rsidRPr="002A65B0">
        <w:t>Schedule 19 EA lists public bodies that must abide by the PSED, including county councils, district councils and parish councils in England; the duty also extends to other persons who are not public authorities but who exercise public functions, in the exercise of those functions.</w:t>
      </w:r>
      <w:r w:rsidRPr="002A65B0">
        <w:rPr>
          <w:rStyle w:val="FootnoteReference"/>
        </w:rPr>
        <w:footnoteReference w:id="422"/>
      </w:r>
      <w:r w:rsidRPr="002A65B0">
        <w:t xml:space="preserve"> The PSED applies to the formulation of policy and services, as well as in individual cases, as both of those are aspects of carrying out a local authority’s functions.</w:t>
      </w:r>
      <w:r w:rsidRPr="002A65B0">
        <w:rPr>
          <w:rStyle w:val="FootnoteReference"/>
        </w:rPr>
        <w:footnoteReference w:id="423"/>
      </w:r>
      <w:r w:rsidRPr="002A65B0">
        <w:t xml:space="preserve"> For example, planning authorities at both the national and local levels would need to demonstrate ‘due regard’ to the aims of the PSED when preparing development plans for street design or applying policies and practices. The duty set out in s 149 to </w:t>
      </w:r>
      <w:r w:rsidRPr="002A65B0">
        <w:lastRenderedPageBreak/>
        <w:t>‘have due regard’ is often referred to as the ‘general duty’. It is purely procedural – a duty to have ‘due regard’ regardless of the outcome of the decision. Hepple, among others, has criticised the vagueness of the ‘due regard’ standard, which he argues should have been replaced by an obligation to ‘take such steps as are necessary and proportionate for the progressive realisation of equality.’</w:t>
      </w:r>
      <w:r w:rsidRPr="002A65B0">
        <w:rPr>
          <w:rStyle w:val="FootnoteReference"/>
        </w:rPr>
        <w:footnoteReference w:id="424"/>
      </w:r>
    </w:p>
    <w:p w14:paraId="2C5CAF9B" w14:textId="77777777" w:rsidR="0019789C" w:rsidRPr="002A65B0" w:rsidRDefault="0019789C" w:rsidP="00D15FB9"/>
    <w:p w14:paraId="36A9153B" w14:textId="3F6DCA36" w:rsidR="0019789C" w:rsidRPr="002A65B0" w:rsidRDefault="0019789C" w:rsidP="009C5904">
      <w:r w:rsidRPr="002A65B0">
        <w:t>A key feature of the PSED in the context of street design is engagement, which is necessary if public authorities are to understand the impact of their decisions on different groups of people, such as disabled or older pedestrians or parents of young children. This sentiment was highlighted in a report by the Women and Equalities Commission on disability and the built environment:</w:t>
      </w:r>
    </w:p>
    <w:p w14:paraId="4DF01A73" w14:textId="6523E52E" w:rsidR="0019789C" w:rsidRPr="002A65B0" w:rsidRDefault="0019789C" w:rsidP="009C5904">
      <w:pPr>
        <w:pStyle w:val="Quote"/>
      </w:pPr>
      <w:r w:rsidRPr="002A65B0">
        <w:t>Meaningful conversations about accessibility can be had if disabled people are consulted and listened to during the design process. By improving the built environment through discussion, there is a possibility for real innovation in regard to accessibility.</w:t>
      </w:r>
      <w:bookmarkStart w:id="53" w:name="_Ref30690996"/>
      <w:r w:rsidRPr="002A65B0">
        <w:rPr>
          <w:rStyle w:val="FootnoteReference"/>
        </w:rPr>
        <w:footnoteReference w:id="425"/>
      </w:r>
      <w:bookmarkEnd w:id="53"/>
    </w:p>
    <w:p w14:paraId="0DF60E59" w14:textId="5A361FC2" w:rsidR="0019789C" w:rsidRPr="002A65B0" w:rsidRDefault="0019789C" w:rsidP="009C5904">
      <w:pPr>
        <w:ind w:firstLine="0"/>
      </w:pPr>
      <w:r w:rsidRPr="002A65B0">
        <w:t xml:space="preserve">English courts have also stressed the importance of engagement: </w:t>
      </w:r>
    </w:p>
    <w:p w14:paraId="3941CCA6" w14:textId="271235AA" w:rsidR="0019789C" w:rsidRPr="002A65B0" w:rsidRDefault="0019789C" w:rsidP="00D15FB9">
      <w:pPr>
        <w:pStyle w:val="Quote"/>
      </w:pPr>
      <w:r w:rsidRPr="002A65B0">
        <w:t>To be proper, consultation must be undertaken at a time when proposals are still at a formative stage; it must include sufficient reasons for consideration and proposals to allow those consulted to give intelligent consideration and intelligent response; adequate time must be given for this purpose; and the product of consultation must be conscientiously taken into account when the ultimate decision is taken.</w:t>
      </w:r>
      <w:r w:rsidRPr="002A65B0">
        <w:rPr>
          <w:rStyle w:val="FootnoteReference"/>
        </w:rPr>
        <w:footnoteReference w:id="426"/>
      </w:r>
    </w:p>
    <w:p w14:paraId="2621931A" w14:textId="34F7E82E" w:rsidR="0019789C" w:rsidRPr="002A65B0" w:rsidRDefault="0019789C" w:rsidP="00660A16">
      <w:pPr>
        <w:ind w:firstLine="0"/>
      </w:pPr>
      <w:r w:rsidRPr="002A65B0">
        <w:t>Nevertheless, care needs to be taken that such consultation does not engage only those stakeholders with the most resources, visibility or expertise, and neglect the voices and concerns of those who are harder-to-reach.</w:t>
      </w:r>
      <w:bookmarkStart w:id="54" w:name="_Ref30776670"/>
      <w:r w:rsidRPr="002A65B0">
        <w:rPr>
          <w:rStyle w:val="FootnoteReference"/>
        </w:rPr>
        <w:footnoteReference w:id="427"/>
      </w:r>
      <w:bookmarkEnd w:id="54"/>
    </w:p>
    <w:p w14:paraId="0E71729C" w14:textId="77777777" w:rsidR="0019789C" w:rsidRPr="002A65B0" w:rsidRDefault="0019789C" w:rsidP="00C07EBF">
      <w:pPr>
        <w:ind w:firstLine="0"/>
      </w:pPr>
    </w:p>
    <w:p w14:paraId="4825287C" w14:textId="2411855C" w:rsidR="0019789C" w:rsidRPr="002A65B0" w:rsidRDefault="0019789C" w:rsidP="00025464">
      <w:r w:rsidRPr="002A65B0">
        <w:lastRenderedPageBreak/>
        <w:t>Specific equality duties are set out in statutory instruments and are designed to support performance of the general duty, giving further detail about how the PSED should be discharged. Yet the specific duties are different in England, Scotland and Wales. In England, there are two sets of requirements in the specific duties:</w:t>
      </w:r>
    </w:p>
    <w:p w14:paraId="5944E087" w14:textId="2BEF35E2" w:rsidR="0019789C" w:rsidRPr="002A65B0" w:rsidRDefault="0019789C" w:rsidP="00427643">
      <w:pPr>
        <w:pStyle w:val="QuoteList"/>
        <w:numPr>
          <w:ilvl w:val="0"/>
          <w:numId w:val="3"/>
        </w:numPr>
      </w:pPr>
      <w:r w:rsidRPr="002A65B0">
        <w:t>The first set requires listed authorities to publish information to demonstrate their compliance with the general equality duty (‘equality information’).</w:t>
      </w:r>
    </w:p>
    <w:p w14:paraId="141885F0" w14:textId="5D442371" w:rsidR="0019789C" w:rsidRPr="002A65B0" w:rsidRDefault="0019789C" w:rsidP="00427643">
      <w:pPr>
        <w:pStyle w:val="QuoteList"/>
        <w:numPr>
          <w:ilvl w:val="0"/>
          <w:numId w:val="3"/>
        </w:numPr>
      </w:pPr>
      <w:r w:rsidRPr="002A65B0">
        <w:t>The second requires the preparation and publication of one or more equality objectives which it thinks it should achieve to do any of the things mentioned in the general equality duty (‘equality objectives’).</w:t>
      </w:r>
      <w:bookmarkStart w:id="55" w:name="_Ref30764257"/>
      <w:r w:rsidRPr="002A65B0">
        <w:rPr>
          <w:rStyle w:val="FootnoteReference"/>
        </w:rPr>
        <w:footnoteReference w:id="428"/>
      </w:r>
      <w:bookmarkEnd w:id="55"/>
    </w:p>
    <w:p w14:paraId="31C8F8B3" w14:textId="224E11A5" w:rsidR="0019789C" w:rsidRPr="002A65B0" w:rsidRDefault="0019789C" w:rsidP="00025464">
      <w:pPr>
        <w:ind w:firstLine="0"/>
      </w:pPr>
      <w:r w:rsidRPr="002A65B0">
        <w:t>The specific duties in Wales and Scotland are more extensive and more precise. In Wales, for example, public authorities are required to draw up and publish a Strategic Equality Plan;</w:t>
      </w:r>
      <w:bookmarkStart w:id="56" w:name="_Ref30764251"/>
      <w:r w:rsidRPr="002A65B0">
        <w:rPr>
          <w:rStyle w:val="FootnoteReference"/>
        </w:rPr>
        <w:footnoteReference w:id="429"/>
      </w:r>
      <w:bookmarkEnd w:id="56"/>
      <w:r w:rsidRPr="002A65B0">
        <w:t xml:space="preserve"> in Scotland, public authorities are required to publish, every two years, a report on the progress it has made to make the general duty integral to the exercise of its functions.</w:t>
      </w:r>
      <w:bookmarkStart w:id="57" w:name="_Ref30764245"/>
      <w:r w:rsidRPr="002A65B0">
        <w:rPr>
          <w:rStyle w:val="FootnoteReference"/>
        </w:rPr>
        <w:footnoteReference w:id="430"/>
      </w:r>
      <w:bookmarkEnd w:id="57"/>
      <w:r w:rsidRPr="002A65B0">
        <w:t xml:space="preserve"> Moreover, unlike the Scotland and Wales specific duties (and the former specific duties accompanying the Disability Equality Duty under the DDA), the England duties contain no requirement to ‘involve’ disabled people in the drawing up of equality plans or objectives.</w:t>
      </w:r>
      <w:r w:rsidRPr="002A65B0">
        <w:rPr>
          <w:rStyle w:val="FootnoteReference"/>
        </w:rPr>
        <w:footnoteReference w:id="431"/>
      </w:r>
    </w:p>
    <w:p w14:paraId="5F325063" w14:textId="49BE29E2" w:rsidR="0019789C" w:rsidRPr="002A65B0" w:rsidRDefault="0019789C" w:rsidP="006B19EB">
      <w:pPr>
        <w:ind w:firstLine="0"/>
      </w:pPr>
    </w:p>
    <w:p w14:paraId="4BA87222" w14:textId="379C4870" w:rsidR="0019789C" w:rsidRPr="002A65B0" w:rsidRDefault="0019789C" w:rsidP="001C2C4A">
      <w:r w:rsidRPr="002A65B0">
        <w:t>In the context of street design, the PSED has been used to challenge the decision-making processes of relevant authorities, particularly in connection with disability. In</w:t>
      </w:r>
      <w:r w:rsidRPr="002A65B0">
        <w:rPr>
          <w:rStyle w:val="case"/>
        </w:rPr>
        <w:t xml:space="preserve"> R (on the application of Ali) v Newham LBC</w:t>
      </w:r>
      <w:r w:rsidRPr="002A65B0">
        <w:t>,</w:t>
      </w:r>
      <w:r w:rsidRPr="002A65B0">
        <w:rPr>
          <w:rStyle w:val="FootnoteReference"/>
          <w:rFonts w:cs="Times New Roman"/>
          <w:szCs w:val="24"/>
          <w:lang w:eastAsia="en-GB"/>
        </w:rPr>
        <w:footnoteReference w:id="432"/>
      </w:r>
      <w:r w:rsidRPr="002A65B0">
        <w:t xml:space="preserve"> for instance, it was argued that the Newham local authority had not had due regard to the need to promote equality of opportunity for people with visual impairments when it revised its local design guidance and decided not to comply with national guidance relating to the design and specification of tactile </w:t>
      </w:r>
      <w:r w:rsidRPr="002A65B0">
        <w:lastRenderedPageBreak/>
        <w:t>paving.</w:t>
      </w:r>
      <w:r w:rsidRPr="002A65B0">
        <w:rPr>
          <w:rStyle w:val="FootnoteReference"/>
        </w:rPr>
        <w:footnoteReference w:id="433"/>
      </w:r>
      <w:r w:rsidRPr="002A65B0">
        <w:t xml:space="preserve"> The objective of the national guidance was to ensure uniformity and consistency in tactile paving across all localities, and that objective would have been undermined if local authorities could depart from the guidance in the absence of good reason.</w:t>
      </w:r>
      <w:r w:rsidRPr="002A65B0">
        <w:rPr>
          <w:rStyle w:val="FootnoteReference"/>
        </w:rPr>
        <w:footnoteReference w:id="434"/>
      </w:r>
      <w:r w:rsidRPr="002A65B0">
        <w:t xml:space="preserve"> It was held that there was no such good reason in this case, and the claimant was entitled to the relief sought: a declaration that Newham acted unlawfully in adopting the local guidance and an order to quash the guidance.</w:t>
      </w:r>
      <w:r w:rsidRPr="002A65B0">
        <w:rPr>
          <w:rStyle w:val="FootnoteReference"/>
        </w:rPr>
        <w:footnoteReference w:id="435"/>
      </w:r>
    </w:p>
    <w:p w14:paraId="6A72C4FD" w14:textId="4FFC0CA7" w:rsidR="0019789C" w:rsidRPr="002A65B0" w:rsidRDefault="0019789C" w:rsidP="001C2C4A"/>
    <w:p w14:paraId="137E4E58" w14:textId="4F35ED38" w:rsidR="0019789C" w:rsidRPr="002A65B0" w:rsidRDefault="0019789C" w:rsidP="001C2C4A">
      <w:r w:rsidRPr="002A65B0">
        <w:t xml:space="preserve">In </w:t>
      </w:r>
      <w:r w:rsidRPr="002A65B0">
        <w:rPr>
          <w:rStyle w:val="case"/>
        </w:rPr>
        <w:t>R (on the application of Goodall) v Reading Borough Council</w:t>
      </w:r>
      <w:bookmarkStart w:id="58" w:name="_Ref30691399"/>
      <w:r w:rsidRPr="002A65B0">
        <w:rPr>
          <w:rStyle w:val="case"/>
          <w:i w:val="0"/>
        </w:rPr>
        <w:t>,</w:t>
      </w:r>
      <w:r w:rsidRPr="002A65B0">
        <w:rPr>
          <w:rStyle w:val="FootnoteReference"/>
        </w:rPr>
        <w:footnoteReference w:id="436"/>
      </w:r>
      <w:bookmarkEnd w:id="58"/>
      <w:r w:rsidRPr="002A65B0">
        <w:t xml:space="preserve"> an unsuccessful application for permission to bring a PSED judicial review claim was made in respect of a decision by the Council not to restore a set of traffic lights, which had failed, at a 4-way junction. Disabled people expressed concern to Council officials that this would make crossing the relevant roads much more difficult – a problem which was mitigated to some extent by the installation of alternative traffic arrangements.</w:t>
      </w:r>
      <w:r w:rsidRPr="002A65B0">
        <w:rPr>
          <w:rStyle w:val="FootnoteReference"/>
        </w:rPr>
        <w:footnoteReference w:id="437"/>
      </w:r>
      <w:r w:rsidRPr="002A65B0">
        <w:t xml:space="preserve"> It was held that there was no basis for a claim under the PSED because the Council had had due regard to the need to promote equality of opportunity of disabled people. The judge stressed that the duty was one of process, not outcome, saying:</w:t>
      </w:r>
    </w:p>
    <w:p w14:paraId="60C9A63B" w14:textId="179311A7" w:rsidR="0019789C" w:rsidRPr="002A65B0" w:rsidRDefault="0019789C" w:rsidP="008C49D7">
      <w:pPr>
        <w:pStyle w:val="Quote"/>
      </w:pPr>
      <w:r w:rsidRPr="002A65B0">
        <w:t>Section 149 of the Equality Act is essentially a due process provision. It requires the Council to have due regard. It does not mandate a particular outcome. It is clear from the documentation in this case that the Council did give proper, sufficient and relevant consideration to the requirements of the duty and the need to promote the equality of opportunity and other requirements under section 149.</w:t>
      </w:r>
      <w:r w:rsidRPr="002A65B0">
        <w:rPr>
          <w:rStyle w:val="FootnoteReference"/>
          <w:rFonts w:cs="Times New Roman"/>
        </w:rPr>
        <w:footnoteReference w:id="438"/>
      </w:r>
    </w:p>
    <w:p w14:paraId="2AFFC546" w14:textId="77777777" w:rsidR="0019789C" w:rsidRPr="002A65B0" w:rsidRDefault="0019789C" w:rsidP="001C2C4A"/>
    <w:p w14:paraId="7CFED6AF" w14:textId="75DB08D1" w:rsidR="0019789C" w:rsidRPr="002A65B0" w:rsidRDefault="0019789C" w:rsidP="002052FE">
      <w:r w:rsidRPr="002A65B0">
        <w:t xml:space="preserve">Also relevant in this context is the Northern Ireland case of </w:t>
      </w:r>
      <w:r w:rsidRPr="002A65B0">
        <w:rPr>
          <w:rStyle w:val="case"/>
        </w:rPr>
        <w:t>R (on the application of Toner) v Lisburn City Council</w:t>
      </w:r>
      <w:r w:rsidRPr="002A65B0">
        <w:t>.</w:t>
      </w:r>
      <w:r w:rsidRPr="002A65B0">
        <w:rPr>
          <w:rStyle w:val="FootnoteReference"/>
        </w:rPr>
        <w:footnoteReference w:id="439"/>
      </w:r>
      <w:r w:rsidRPr="002A65B0">
        <w:t xml:space="preserve"> Although the PSED did not apply in this case, the ruling turned on a very similar duty to have due regard to the need to promote equality of opportunity imposed on public sector organisations by s 75 of the Northern Ireland Act 1998. The case concerned a judicial review of the Council’s authorisation of a public realm scheme in which the height of kerbs was unusually low (30 millimetres, compared </w:t>
      </w:r>
      <w:r w:rsidRPr="002A65B0">
        <w:lastRenderedPageBreak/>
        <w:t>with a more standard height of between 100 and 130 millimetres). The low kerb heights had made navigating the streets very difficult for Ms Toner, who was blind.</w:t>
      </w:r>
      <w:r w:rsidRPr="002A65B0">
        <w:rPr>
          <w:rStyle w:val="FootnoteReference"/>
        </w:rPr>
        <w:footnoteReference w:id="440"/>
      </w:r>
      <w:r w:rsidRPr="002A65B0">
        <w:t xml:space="preserve"> The case succeeded, it being ruled that the Council had not had due regard to evidence of the potential difficulties which low kerb heights might present for people with visual impairments.</w:t>
      </w:r>
      <w:r w:rsidRPr="002A65B0">
        <w:rPr>
          <w:rStyle w:val="FootnoteReference"/>
        </w:rPr>
        <w:footnoteReference w:id="441"/>
      </w:r>
      <w:r w:rsidRPr="002A65B0">
        <w:t xml:space="preserve"> Ms Toner also argued a violation of Art 8 HRA (respect for private and family life); however, the court was unconvinced: </w:t>
      </w:r>
    </w:p>
    <w:p w14:paraId="6327339F" w14:textId="45D3BD30" w:rsidR="0019789C" w:rsidRPr="002A65B0" w:rsidRDefault="0019789C" w:rsidP="002052FE">
      <w:pPr>
        <w:pStyle w:val="Quote"/>
      </w:pPr>
      <w:r w:rsidRPr="002A65B0">
        <w:t>The court is not persuaded that the construction of a city centre landscape in the circumstances which occurred here, initially without complaint, despite consultation and with the benefit of a recent planning permission, which was not objected to, could be viewed as an affront to the Applicant's personal development and ability to develop relationships with others. The court is even less convinced that art 8 is engaged in this case on the basis of the Applicant's family life, as claimed, as there is nothing of substance which causes the court to accept the argument that this right is in any substantial way being affected.</w:t>
      </w:r>
      <w:r w:rsidRPr="002A65B0">
        <w:rPr>
          <w:rStyle w:val="FootnoteReference"/>
        </w:rPr>
        <w:footnoteReference w:id="442"/>
      </w:r>
    </w:p>
    <w:p w14:paraId="2721EFC1" w14:textId="77777777" w:rsidR="0019789C" w:rsidRPr="002A65B0" w:rsidRDefault="0019789C" w:rsidP="001C2C4A"/>
    <w:p w14:paraId="6FE5968A" w14:textId="7EA43700" w:rsidR="0019789C" w:rsidRPr="002A65B0" w:rsidRDefault="0019789C" w:rsidP="0080041A">
      <w:pPr>
        <w:ind w:firstLine="0"/>
      </w:pPr>
    </w:p>
    <w:p w14:paraId="6C918E3A" w14:textId="023DF244" w:rsidR="0019789C" w:rsidRPr="002A65B0" w:rsidRDefault="0019789C" w:rsidP="00AE3A75">
      <w:pPr>
        <w:pStyle w:val="Heading4"/>
      </w:pPr>
      <w:r w:rsidRPr="002A65B0">
        <w:t>(b) Remedies</w:t>
      </w:r>
      <w:r>
        <w:t>, Sanctions or Other Outcomes</w:t>
      </w:r>
    </w:p>
    <w:p w14:paraId="0F360B0B" w14:textId="10DD092B" w:rsidR="0019789C" w:rsidRPr="002A65B0" w:rsidRDefault="0019789C" w:rsidP="0046429E">
      <w:r w:rsidRPr="002A65B0">
        <w:t>If the court finds that the public authority in question has acted unlawfully and breached the PSED, it may order one or more of the following remedies:</w:t>
      </w:r>
    </w:p>
    <w:p w14:paraId="275253C1" w14:textId="633DF26A" w:rsidR="0019789C" w:rsidRPr="002A65B0" w:rsidRDefault="0019789C" w:rsidP="00427643">
      <w:pPr>
        <w:pStyle w:val="QuoteList"/>
        <w:numPr>
          <w:ilvl w:val="0"/>
          <w:numId w:val="8"/>
        </w:numPr>
      </w:pPr>
      <w:r w:rsidRPr="002A65B0">
        <w:t>a mandatory order (ie an order requiring the public authority to do something);</w:t>
      </w:r>
    </w:p>
    <w:p w14:paraId="1C63D3C7" w14:textId="5C4112AC" w:rsidR="0019789C" w:rsidRPr="002A65B0" w:rsidRDefault="0019789C" w:rsidP="00427643">
      <w:pPr>
        <w:pStyle w:val="QuoteList"/>
        <w:numPr>
          <w:ilvl w:val="0"/>
          <w:numId w:val="8"/>
        </w:numPr>
      </w:pPr>
      <w:r w:rsidRPr="002A65B0">
        <w:t>a prohibiting order (ie an order preventing the public authority from doing something);</w:t>
      </w:r>
    </w:p>
    <w:p w14:paraId="3CC049C4" w14:textId="6BCA25C1" w:rsidR="0019789C" w:rsidRPr="002A65B0" w:rsidRDefault="0019789C" w:rsidP="00427643">
      <w:pPr>
        <w:pStyle w:val="QuoteList"/>
        <w:numPr>
          <w:ilvl w:val="0"/>
          <w:numId w:val="8"/>
        </w:numPr>
      </w:pPr>
      <w:r w:rsidRPr="002A65B0">
        <w:t>a quashing order (ie an order quashing the public authority’s decision);</w:t>
      </w:r>
    </w:p>
    <w:p w14:paraId="3FB74325" w14:textId="77777777" w:rsidR="0019789C" w:rsidRPr="002A65B0" w:rsidRDefault="0019789C" w:rsidP="00427643">
      <w:pPr>
        <w:pStyle w:val="QuoteList"/>
        <w:numPr>
          <w:ilvl w:val="0"/>
          <w:numId w:val="8"/>
        </w:numPr>
      </w:pPr>
      <w:r w:rsidRPr="002A65B0">
        <w:t>a declaration;</w:t>
      </w:r>
    </w:p>
    <w:p w14:paraId="06CDBDB3" w14:textId="77777777" w:rsidR="0019789C" w:rsidRPr="002A65B0" w:rsidRDefault="0019789C" w:rsidP="00427643">
      <w:pPr>
        <w:pStyle w:val="QuoteList"/>
        <w:numPr>
          <w:ilvl w:val="0"/>
          <w:numId w:val="8"/>
        </w:numPr>
      </w:pPr>
      <w:r w:rsidRPr="002A65B0">
        <w:t>an injunction;</w:t>
      </w:r>
    </w:p>
    <w:p w14:paraId="5E32383C" w14:textId="0AC1C612" w:rsidR="0019789C" w:rsidRPr="002A65B0" w:rsidRDefault="0019789C" w:rsidP="00427643">
      <w:pPr>
        <w:pStyle w:val="QuoteList"/>
        <w:numPr>
          <w:ilvl w:val="0"/>
          <w:numId w:val="8"/>
        </w:numPr>
      </w:pPr>
      <w:r w:rsidRPr="002A65B0">
        <w:lastRenderedPageBreak/>
        <w:t>damages, restitution or the recovery of a sum due (a claim for judicial review may include one of these remedies, which cannot be sought alone).</w:t>
      </w:r>
      <w:bookmarkStart w:id="59" w:name="_Ref30768279"/>
      <w:r w:rsidRPr="002A65B0">
        <w:rPr>
          <w:rStyle w:val="FootnoteReference"/>
        </w:rPr>
        <w:footnoteReference w:id="443"/>
      </w:r>
      <w:bookmarkEnd w:id="59"/>
    </w:p>
    <w:p w14:paraId="4DC76ADF" w14:textId="77777777" w:rsidR="0019789C" w:rsidRPr="002A65B0" w:rsidRDefault="0019789C" w:rsidP="00DE201F">
      <w:pPr>
        <w:ind w:firstLine="0"/>
      </w:pPr>
    </w:p>
    <w:p w14:paraId="5A91B27E" w14:textId="5B10FDD7" w:rsidR="0019789C" w:rsidRPr="002A65B0" w:rsidRDefault="0019789C" w:rsidP="00EA5F94">
      <w:r w:rsidRPr="002A65B0">
        <w:t>Whereas damages are the most common remedy in discrimination claims under the EA,</w:t>
      </w:r>
      <w:r w:rsidRPr="002A65B0">
        <w:rPr>
          <w:rStyle w:val="FootnoteReference"/>
        </w:rPr>
        <w:footnoteReference w:id="444"/>
      </w:r>
      <w:r w:rsidRPr="002A65B0">
        <w:t xml:space="preserve"> and may be awarded in judicial review cases involving a breach of the Human Rights Act 1998,</w:t>
      </w:r>
      <w:r w:rsidRPr="002A65B0">
        <w:rPr>
          <w:rStyle w:val="FootnoteReference"/>
        </w:rPr>
        <w:footnoteReference w:id="445"/>
      </w:r>
      <w:r w:rsidRPr="002A65B0">
        <w:t xml:space="preserve"> they are rare in PSED judicial review cases.</w:t>
      </w:r>
      <w:r w:rsidRPr="002A65B0">
        <w:rPr>
          <w:rStyle w:val="FootnoteReference"/>
        </w:rPr>
        <w:footnoteReference w:id="446"/>
      </w:r>
      <w:r w:rsidRPr="002A65B0">
        <w:t xml:space="preserve"> Where an application for judicial review involving the PSED is successful, the most likely result is that the court will quash the challenged decision taken by the public authority. This means that the public authority will have to repeat the decision-making process, taking steps to ensure it gives ‘due regard’ to the aims of the PSED, which it failed to do in reaching its original decision.</w:t>
      </w:r>
      <w:r w:rsidRPr="002A65B0">
        <w:rPr>
          <w:rStyle w:val="FootnoteReference"/>
        </w:rPr>
        <w:footnoteReference w:id="447"/>
      </w:r>
    </w:p>
    <w:p w14:paraId="08998815" w14:textId="4AD3AD47" w:rsidR="0019789C" w:rsidRPr="002A65B0" w:rsidRDefault="0019789C" w:rsidP="00DE201F">
      <w:pPr>
        <w:ind w:firstLine="0"/>
      </w:pPr>
    </w:p>
    <w:p w14:paraId="5034DBFD" w14:textId="2B2B3ABA" w:rsidR="0019789C" w:rsidRPr="002A65B0" w:rsidRDefault="0019789C" w:rsidP="00AE3A75">
      <w:pPr>
        <w:pStyle w:val="Heading4"/>
      </w:pPr>
      <w:r w:rsidRPr="002A65B0">
        <w:t>(c) Enforcement</w:t>
      </w:r>
    </w:p>
    <w:p w14:paraId="4746A8C3" w14:textId="0C8081D8" w:rsidR="0019789C" w:rsidRPr="002A65B0" w:rsidRDefault="0019789C" w:rsidP="00A05AB5">
      <w:pPr>
        <w:ind w:firstLine="0"/>
      </w:pPr>
    </w:p>
    <w:p w14:paraId="2BB43996" w14:textId="788C0DC1" w:rsidR="0019789C" w:rsidRPr="002A65B0" w:rsidRDefault="0019789C" w:rsidP="00A05AB5">
      <w:r w:rsidRPr="002A65B0">
        <w:t>There are two main issues relevant to enforcing the PSED that need to be addressed here: first, is the type of cause action available and to whom; second, the time limits for bringing a claim. Each will now be discussed in turn.</w:t>
      </w:r>
    </w:p>
    <w:p w14:paraId="18666819" w14:textId="77777777" w:rsidR="0019789C" w:rsidRPr="002A65B0" w:rsidRDefault="0019789C" w:rsidP="00481642"/>
    <w:p w14:paraId="3155AB6C" w14:textId="5302F2FD" w:rsidR="0019789C" w:rsidRPr="002A65B0" w:rsidRDefault="0019789C" w:rsidP="00481642">
      <w:r w:rsidRPr="002A65B0">
        <w:t xml:space="preserve">First, as to the type of action available, according to s 156 EA: ‘A failure in respect of a performance of a duty imposed by or under this Chapter does not confer a cause of action at private law’. This means that a claim may only be brought in the High Court (or the Court of Session in Scotland) by way of judicial review, which is public law. When the decisions taken by public authorities are subject to judicial review, the focus is on procedural matters, ie the decision-making process, rather than assessing the results of </w:t>
      </w:r>
      <w:r w:rsidRPr="002A65B0">
        <w:lastRenderedPageBreak/>
        <w:t>such decisions through an equality lens.</w:t>
      </w:r>
      <w:r w:rsidRPr="002A65B0">
        <w:rPr>
          <w:rStyle w:val="FootnoteReference"/>
        </w:rPr>
        <w:footnoteReference w:id="448"/>
      </w:r>
      <w:r w:rsidRPr="002A65B0">
        <w:t xml:space="preserve"> A claim for judicial review can only be made in respect of the general PSED, but not the specific duties, which can only be enforced by means of a compliance notice as discussed below.</w:t>
      </w:r>
      <w:r w:rsidRPr="002A65B0">
        <w:rPr>
          <w:rStyle w:val="FootnoteReference"/>
        </w:rPr>
        <w:footnoteReference w:id="449"/>
      </w:r>
    </w:p>
    <w:p w14:paraId="504122F1" w14:textId="77777777" w:rsidR="0019789C" w:rsidRPr="002A65B0" w:rsidRDefault="0019789C" w:rsidP="003A452C"/>
    <w:p w14:paraId="1E02A929" w14:textId="57D9201A" w:rsidR="0019789C" w:rsidRPr="002A65B0" w:rsidRDefault="0019789C" w:rsidP="00481642">
      <w:r w:rsidRPr="002A65B0">
        <w:t>The EHRC may apply for judicial review, as can individuals and organisations provided they have sufficient interest in the issue – ie if they have been affected by a public authority’s failure to comply with the PSED.</w:t>
      </w:r>
      <w:r w:rsidRPr="002A65B0">
        <w:rPr>
          <w:rStyle w:val="FootnoteReference"/>
        </w:rPr>
        <w:footnoteReference w:id="450"/>
      </w:r>
      <w:r w:rsidRPr="002A65B0">
        <w:t xml:space="preserve"> As discussed above, the EHRC has certain enforcement and litigation powers.</w:t>
      </w:r>
      <w:r w:rsidRPr="002A65B0">
        <w:rPr>
          <w:rStyle w:val="FootnoteReference"/>
        </w:rPr>
        <w:footnoteReference w:id="451"/>
      </w:r>
      <w:r w:rsidRPr="002A65B0">
        <w:t xml:space="preserve"> It has a statutory power to institute judicial review proceedings where a public authority may have breached the PSED.</w:t>
      </w:r>
      <w:r w:rsidRPr="002A65B0">
        <w:rPr>
          <w:rStyle w:val="FootnoteReference"/>
        </w:rPr>
        <w:footnoteReference w:id="452"/>
      </w:r>
      <w:r w:rsidRPr="002A65B0">
        <w:t xml:space="preserve"> The EHRC may also assess the extent to which or the manner in which a public authority has complied with the PSED or the specific duties.</w:t>
      </w:r>
      <w:r w:rsidRPr="002A65B0">
        <w:rPr>
          <w:rStyle w:val="FootnoteReference"/>
        </w:rPr>
        <w:footnoteReference w:id="453"/>
      </w:r>
      <w:r w:rsidRPr="002A65B0">
        <w:t xml:space="preserve"> Where the Commission carries out such an assessment and thinks that a person has failed to comply with the PSED, it may give the authority a notice requiring them to comply with the duty and to give the Commission written information of steps taken or proposed for the purpose of complying with the duty.</w:t>
      </w:r>
      <w:r w:rsidRPr="002A65B0">
        <w:rPr>
          <w:rStyle w:val="FootnoteReference"/>
        </w:rPr>
        <w:footnoteReference w:id="454"/>
      </w:r>
      <w:r w:rsidRPr="002A65B0">
        <w:t xml:space="preserve"> A notice may also be given in respect to the specific duties imposed pursuant to the PSED regardless of whether an assessment has taken place.</w:t>
      </w:r>
      <w:r w:rsidRPr="002A65B0">
        <w:rPr>
          <w:rStyle w:val="FootnoteReference"/>
        </w:rPr>
        <w:footnoteReference w:id="455"/>
      </w:r>
      <w:r w:rsidRPr="002A65B0">
        <w:t xml:space="preserve"> If an authority who is given a notice must comply with it and, if the EHRC thinks that they have failed to comply with a requirement of the notice, it may apply to the court for an order requiring compliance.</w:t>
      </w:r>
      <w:r w:rsidRPr="002A65B0">
        <w:rPr>
          <w:rStyle w:val="FootnoteReference"/>
        </w:rPr>
        <w:footnoteReference w:id="456"/>
      </w:r>
      <w:r w:rsidRPr="002A65B0">
        <w:t xml:space="preserve"> However, the Commission’s power to conduct assessments and issue compliance notices is used infrequently: between October 2007 and March 2011, the Commission conducted nine assessments and issued seven compliance notices; but it used neither of these powers in the seven years that followed (March 2011 to March 2018).</w:t>
      </w:r>
      <w:r w:rsidRPr="002A65B0">
        <w:rPr>
          <w:rStyle w:val="FootnoteReference"/>
        </w:rPr>
        <w:footnoteReference w:id="457"/>
      </w:r>
      <w:r w:rsidRPr="002A65B0">
        <w:t xml:space="preserve"> </w:t>
      </w:r>
    </w:p>
    <w:p w14:paraId="038A6C05" w14:textId="705EB68F" w:rsidR="0019789C" w:rsidRPr="002A65B0" w:rsidRDefault="0019789C" w:rsidP="00481642"/>
    <w:p w14:paraId="0039AD3C" w14:textId="718A8575" w:rsidR="0019789C" w:rsidRPr="002A65B0" w:rsidRDefault="0019789C" w:rsidP="00580386">
      <w:r w:rsidRPr="002A65B0">
        <w:lastRenderedPageBreak/>
        <w:t>The Women and Equalities Committee has called on the EHRC to use its enforcement powers in relation to the PSED. Much like the lack of awareness about the reasonable adjustment duty, there is similar confusion over the scope and requirements of the PSED. For example, evidence submitted to the Committee suggested that ‘the Planning Inspectorate may have approved Local Plans that pay insufficient regard to the needs of disabled people, risking a breach of the anticipatory reasonable adjustments duty and the public sector equality duty.’</w:t>
      </w:r>
      <w:r w:rsidRPr="002A65B0">
        <w:rPr>
          <w:rStyle w:val="FootnoteReference"/>
        </w:rPr>
        <w:footnoteReference w:id="458"/>
      </w:r>
      <w:r w:rsidRPr="002A65B0">
        <w:t xml:space="preserve"> The Committee thus recommended that </w:t>
      </w:r>
    </w:p>
    <w:p w14:paraId="3FB783AE" w14:textId="77777777" w:rsidR="0019789C" w:rsidRPr="002A65B0" w:rsidRDefault="0019789C" w:rsidP="00580386">
      <w:pPr>
        <w:pStyle w:val="Quote"/>
      </w:pPr>
      <w:r w:rsidRPr="002A65B0">
        <w:t>We recommend that the Equality and Human Rights Commission undertake a formal investigation into and/or assessment of the compliance of the Planning Inspectorate with the Equality Act 2010.</w:t>
      </w:r>
    </w:p>
    <w:p w14:paraId="7C8E755F" w14:textId="1EC53025" w:rsidR="0019789C" w:rsidRPr="002A65B0" w:rsidRDefault="0019789C" w:rsidP="00E33A6F">
      <w:pPr>
        <w:pStyle w:val="Quote"/>
      </w:pPr>
      <w:r w:rsidRPr="002A65B0">
        <w:t>We recommend that, while this work is ongoing, the Government direct the Planning Inspectorate to pay closer attention to ensuring, as the NPPF sets out, that plans are founded on an inclusive design approach, and specifically that no Local Plan documents are to be judged ‘sound’ without evidence that they address access for disabled people in terms of housing, public spaces and the wider built environment.</w:t>
      </w:r>
      <w:r w:rsidRPr="002A65B0">
        <w:rPr>
          <w:rStyle w:val="FootnoteReference"/>
        </w:rPr>
        <w:footnoteReference w:id="459"/>
      </w:r>
    </w:p>
    <w:p w14:paraId="54FB1E6C" w14:textId="503323FF" w:rsidR="0019789C" w:rsidRPr="002A65B0" w:rsidRDefault="0019789C" w:rsidP="003A452C"/>
    <w:p w14:paraId="5629B7AB" w14:textId="5E587B11" w:rsidR="0019789C" w:rsidRPr="002A65B0" w:rsidRDefault="0019789C" w:rsidP="00FB7EAE">
      <w:r w:rsidRPr="002A65B0">
        <w:t>Turning to the second enforcement issue, a claim for judicial review must be brought no later than three months after the decision was made.</w:t>
      </w:r>
      <w:r w:rsidRPr="002A65B0">
        <w:rPr>
          <w:rStyle w:val="FootnoteReference"/>
        </w:rPr>
        <w:footnoteReference w:id="460"/>
      </w:r>
      <w:r w:rsidRPr="002A65B0">
        <w:t xml:space="preserve"> Similar to the time limits in reasonable adjustment claims, the Court of Session in Scotland has the discretion to permit a petition outside this timeframe as it ‘considers equitable having regard to all the circumstances’.</w:t>
      </w:r>
      <w:r w:rsidRPr="002A65B0">
        <w:rPr>
          <w:rStyle w:val="FootnoteReference"/>
        </w:rPr>
        <w:footnoteReference w:id="461"/>
      </w:r>
      <w:r w:rsidRPr="002A65B0">
        <w:t xml:space="preserve"> However, in England and Wales, the relevant provision includes the language that the claim must be brought ‘promptly’,</w:t>
      </w:r>
      <w:r w:rsidRPr="002A65B0">
        <w:rPr>
          <w:rStyle w:val="FootnoteReference"/>
        </w:rPr>
        <w:footnoteReference w:id="462"/>
      </w:r>
      <w:r w:rsidRPr="002A65B0">
        <w:t xml:space="preserve"> and the High Court has the discretion to ‘extend or shorten’ the time limit.</w:t>
      </w:r>
      <w:r w:rsidRPr="002A65B0">
        <w:rPr>
          <w:rStyle w:val="FootnoteReference"/>
        </w:rPr>
        <w:footnoteReference w:id="463"/>
      </w:r>
      <w:r w:rsidRPr="002A65B0">
        <w:t xml:space="preserve"> The ‘promptly’ aspect of the rule has been criticised as positioning the three month limit as a ‘backstop’ rather than a definite three month timeframe, and thus ‘a case can be dismissed as out of time even before the expiry of the three month period if the court takes the view that it was not brought </w:t>
      </w:r>
      <w:r w:rsidRPr="002A65B0">
        <w:lastRenderedPageBreak/>
        <w:t>promptly.’</w:t>
      </w:r>
      <w:r w:rsidRPr="002A65B0">
        <w:rPr>
          <w:rStyle w:val="FootnoteReference"/>
        </w:rPr>
        <w:footnoteReference w:id="464"/>
      </w:r>
      <w:r w:rsidRPr="002A65B0">
        <w:t xml:space="preserve"> Incidentally, the word ‘promptly’ was specifically excluded from the relevant provision in Scotland:</w:t>
      </w:r>
    </w:p>
    <w:p w14:paraId="5077C933" w14:textId="276B3053" w:rsidR="0019789C" w:rsidRPr="002A65B0" w:rsidRDefault="0019789C" w:rsidP="00FB7EAE">
      <w:pPr>
        <w:pStyle w:val="Quote"/>
      </w:pPr>
      <w:r w:rsidRPr="002A65B0">
        <w:t>The Scottish Government has not taken forward the suggestion in the Review that petitions should be raised promptly or within three months. Case law has established that in the context of EU law a requirement that proceedings should be raised promptly and in any event within three months was not sufficiently certain … The Bill does not attempt to make different provision for cases raising matters of EU law and sets out a fixed time period of three months for all judicial reviews.</w:t>
      </w:r>
      <w:r w:rsidRPr="002A65B0">
        <w:rPr>
          <w:rStyle w:val="FootnoteReference"/>
        </w:rPr>
        <w:footnoteReference w:id="465"/>
      </w:r>
    </w:p>
    <w:p w14:paraId="1D7A6310" w14:textId="77777777" w:rsidR="0019789C" w:rsidRPr="002A65B0" w:rsidRDefault="0019789C" w:rsidP="00FB7EAE"/>
    <w:p w14:paraId="5E29714A" w14:textId="24FDF7AC" w:rsidR="0019789C" w:rsidRPr="002A65B0" w:rsidRDefault="0019789C" w:rsidP="001C2C4A">
      <w:r w:rsidRPr="002A65B0">
        <w:t xml:space="preserve">Nevertheless, in England, Wales and Scotland, the three-month timeframe can be quite limiting given its narrow interpretation. For example, in the case of </w:t>
      </w:r>
      <w:r w:rsidRPr="002A65B0">
        <w:rPr>
          <w:i/>
        </w:rPr>
        <w:t>Odubajo v Secretary of State for the Home Department</w:t>
      </w:r>
      <w:r w:rsidRPr="002A65B0">
        <w:t>,</w:t>
      </w:r>
      <w:r w:rsidRPr="002A65B0">
        <w:rPr>
          <w:rStyle w:val="FootnoteReference"/>
        </w:rPr>
        <w:footnoteReference w:id="466"/>
      </w:r>
      <w:r w:rsidRPr="002A65B0">
        <w:t xml:space="preserve"> the Court of Session in Scotland clarified that the time limit for raising judicial review proceedings starts on the date that the decision was made, not the date it the affected person became aware of the decision.</w:t>
      </w:r>
      <w:r w:rsidRPr="002A65B0">
        <w:rPr>
          <w:rStyle w:val="FootnoteReference"/>
        </w:rPr>
        <w:footnoteReference w:id="467"/>
      </w:r>
      <w:r w:rsidRPr="002A65B0">
        <w:t xml:space="preserve"> However, if the decision is not received until a later date, this may be a factor relevant to the Court’s discretion to extend the time limit.</w:t>
      </w:r>
      <w:r w:rsidRPr="002A65B0">
        <w:rPr>
          <w:rStyle w:val="FootnoteReference"/>
        </w:rPr>
        <w:footnoteReference w:id="468"/>
      </w:r>
      <w:r w:rsidRPr="002A65B0">
        <w:t xml:space="preserve"> Similar case law exists in England and Wales.</w:t>
      </w:r>
      <w:r w:rsidRPr="002A65B0">
        <w:rPr>
          <w:rStyle w:val="FootnoteReference"/>
        </w:rPr>
        <w:footnoteReference w:id="469"/>
      </w:r>
      <w:r w:rsidRPr="002A65B0">
        <w:t xml:space="preserve"> </w:t>
      </w:r>
    </w:p>
    <w:p w14:paraId="20D95F09" w14:textId="42B3DDB2" w:rsidR="0019789C" w:rsidRPr="002A65B0" w:rsidRDefault="0019789C" w:rsidP="001C2C4A">
      <w:pPr>
        <w:ind w:firstLine="0"/>
      </w:pPr>
    </w:p>
    <w:p w14:paraId="6231A000" w14:textId="34F41F7B" w:rsidR="0019789C" w:rsidRPr="002A65B0" w:rsidRDefault="0019789C" w:rsidP="001D4B30">
      <w:r w:rsidRPr="002A65B0">
        <w:t>Lastly, many of the difficulties with enforcement, discussed in connection with reasonable adjustments above, also apply in this context.</w:t>
      </w:r>
      <w:r w:rsidRPr="002A65B0">
        <w:rPr>
          <w:rStyle w:val="FootnoteReference"/>
        </w:rPr>
        <w:footnoteReference w:id="470"/>
      </w:r>
      <w:r w:rsidRPr="002A65B0">
        <w:t xml:space="preserve"> There are similar concerns regarding the cost seeking judicial review, which ranges from £11,000 up to £30,000.</w:t>
      </w:r>
      <w:r w:rsidRPr="002A65B0">
        <w:rPr>
          <w:rStyle w:val="FootnoteReference"/>
        </w:rPr>
        <w:footnoteReference w:id="471"/>
      </w:r>
      <w:r w:rsidRPr="002A65B0">
        <w:t xml:space="preserve"> </w:t>
      </w:r>
      <w:r w:rsidRPr="002A65B0">
        <w:rPr>
          <w:rStyle w:val="case"/>
        </w:rPr>
        <w:t>Goodall v Reading Borough Council</w:t>
      </w:r>
      <w:r w:rsidRPr="002A65B0">
        <w:t xml:space="preserve"> provides a good illustration of the concern relating to the unsuccessful claimant being ordered to pay the defendant’s costs. As to the costs ordered, they were relatively low as it did not progress to a full hearing. Nevertheless, at </w:t>
      </w:r>
      <w:r w:rsidRPr="002A65B0">
        <w:lastRenderedPageBreak/>
        <w:t>£3,250,</w:t>
      </w:r>
      <w:r w:rsidRPr="002A65B0">
        <w:rPr>
          <w:rStyle w:val="FootnoteReference"/>
        </w:rPr>
        <w:footnoteReference w:id="472"/>
      </w:r>
      <w:r w:rsidRPr="002A65B0">
        <w:t xml:space="preserve"> they would have been extremely burdensome to many disabled people and potential claimants. </w:t>
      </w:r>
    </w:p>
    <w:p w14:paraId="094CCBC3" w14:textId="54E02328" w:rsidR="0019789C" w:rsidRPr="002A65B0" w:rsidRDefault="0019789C" w:rsidP="001C2C4A">
      <w:pPr>
        <w:ind w:firstLine="0"/>
      </w:pPr>
    </w:p>
    <w:p w14:paraId="72914750" w14:textId="77777777" w:rsidR="0019789C" w:rsidRPr="002A65B0" w:rsidRDefault="0019789C" w:rsidP="001C2C4A">
      <w:pPr>
        <w:ind w:firstLine="0"/>
      </w:pPr>
    </w:p>
    <w:p w14:paraId="22B4D9DC" w14:textId="523159EA" w:rsidR="0019789C" w:rsidRPr="002A65B0" w:rsidRDefault="0019789C" w:rsidP="00E46097">
      <w:pPr>
        <w:pStyle w:val="Heading2"/>
      </w:pPr>
      <w:r w:rsidRPr="002A65B0">
        <w:t>B3 Other Types of Action Only Relating to Pedestrians with Specific Identity Characteristics</w:t>
      </w:r>
    </w:p>
    <w:p w14:paraId="0A399651" w14:textId="68A05581" w:rsidR="0019789C" w:rsidRPr="002A65B0" w:rsidRDefault="0019789C" w:rsidP="006C2F03">
      <w:pPr>
        <w:ind w:firstLine="0"/>
        <w:rPr>
          <w:rFonts w:eastAsiaTheme="majorEastAsia"/>
          <w:lang w:bidi="en-US"/>
        </w:rPr>
      </w:pPr>
    </w:p>
    <w:p w14:paraId="6646E8C2" w14:textId="3D47A336" w:rsidR="0019789C" w:rsidRPr="002A65B0" w:rsidRDefault="0019789C" w:rsidP="00F85F5B">
      <w:pPr>
        <w:pStyle w:val="Heading3"/>
      </w:pPr>
      <w:r w:rsidRPr="002A65B0">
        <w:t xml:space="preserve">B.3.1 Chronically Sick and Disabled Persons Act 1970 </w:t>
      </w:r>
    </w:p>
    <w:p w14:paraId="72F945F4" w14:textId="754F099B" w:rsidR="0019789C" w:rsidRPr="002A65B0" w:rsidRDefault="0019789C" w:rsidP="00AE3A75">
      <w:pPr>
        <w:pStyle w:val="Heading4"/>
      </w:pPr>
      <w:r w:rsidRPr="002A65B0">
        <w:t>(a) Description and Examples</w:t>
      </w:r>
    </w:p>
    <w:p w14:paraId="20BAE745" w14:textId="77777777" w:rsidR="0019789C" w:rsidRPr="002A65B0" w:rsidRDefault="0019789C" w:rsidP="00F85F5B">
      <w:r w:rsidRPr="002A65B0">
        <w:t>Under s 4(1) Chronically Sick and Disabled Persons Act 1970, provision must be made, as is practicable and reasonable in the circumstances,</w:t>
      </w:r>
      <w:r w:rsidRPr="002A65B0">
        <w:rPr>
          <w:rStyle w:val="FootnoteReference"/>
        </w:rPr>
        <w:footnoteReference w:id="473"/>
      </w:r>
      <w:r w:rsidRPr="002A65B0">
        <w:t xml:space="preserve"> for disabled visitors and users in the means of access to and within buildings or premises, and in the parking facilities and sanitary conveniences to be available. This provision applies to:</w:t>
      </w:r>
    </w:p>
    <w:p w14:paraId="3D46FE4F" w14:textId="77777777" w:rsidR="0019789C" w:rsidRPr="002A65B0" w:rsidRDefault="0019789C" w:rsidP="00F85F5B"/>
    <w:p w14:paraId="6796F809" w14:textId="77777777" w:rsidR="0019789C" w:rsidRPr="002A65B0" w:rsidRDefault="0019789C" w:rsidP="00427643">
      <w:pPr>
        <w:pStyle w:val="ListParagraph"/>
        <w:numPr>
          <w:ilvl w:val="0"/>
          <w:numId w:val="9"/>
        </w:numPr>
      </w:pPr>
      <w:r w:rsidRPr="002A65B0">
        <w:t>any building or premises to which the public are to be admitted (s 4(1));</w:t>
      </w:r>
    </w:p>
    <w:p w14:paraId="25B65B38" w14:textId="77777777" w:rsidR="0019789C" w:rsidRPr="002A65B0" w:rsidRDefault="0019789C" w:rsidP="00427643">
      <w:pPr>
        <w:pStyle w:val="ListParagraph"/>
        <w:numPr>
          <w:ilvl w:val="0"/>
          <w:numId w:val="9"/>
        </w:numPr>
      </w:pPr>
      <w:r w:rsidRPr="002A65B0">
        <w:t>office, shop and railway premises and factories, being premises in which persons are employed to work (s 8A(2));</w:t>
      </w:r>
    </w:p>
    <w:p w14:paraId="5FD64709" w14:textId="77777777" w:rsidR="0019789C" w:rsidRPr="002A65B0" w:rsidRDefault="0019789C" w:rsidP="00427643">
      <w:pPr>
        <w:pStyle w:val="ListParagraph"/>
        <w:numPr>
          <w:ilvl w:val="0"/>
          <w:numId w:val="9"/>
        </w:numPr>
      </w:pPr>
      <w:r w:rsidRPr="002A65B0">
        <w:t>universities, university colleges and colleges, schools and halls of universities; institutions within the higher and further education sector (s 8(2)).</w:t>
      </w:r>
    </w:p>
    <w:p w14:paraId="3A70205A" w14:textId="77777777" w:rsidR="0019789C" w:rsidRPr="002A65B0" w:rsidRDefault="0019789C" w:rsidP="00F85F5B">
      <w:pPr>
        <w:ind w:left="360" w:firstLine="0"/>
      </w:pPr>
    </w:p>
    <w:p w14:paraId="7A95EEBD" w14:textId="77777777" w:rsidR="0019789C" w:rsidRPr="002A65B0" w:rsidRDefault="0019789C" w:rsidP="00F85F5B">
      <w:pPr>
        <w:ind w:firstLine="0"/>
      </w:pPr>
      <w:r w:rsidRPr="002A65B0">
        <w:t>In all these cases, a notice or sign indicating that provision is made for disabled persons must be displayed outside the building or premises, or be visible from the outside; and inside the building or premises indicating where the provision is made and appropriate routes to it.</w:t>
      </w:r>
      <w:r w:rsidRPr="002A65B0">
        <w:rPr>
          <w:rStyle w:val="FootnoteReference"/>
        </w:rPr>
        <w:footnoteReference w:id="474"/>
      </w:r>
      <w:r w:rsidRPr="002A65B0">
        <w:t xml:space="preserve"> </w:t>
      </w:r>
    </w:p>
    <w:p w14:paraId="64F4C4E4" w14:textId="77777777" w:rsidR="0019789C" w:rsidRPr="002A65B0" w:rsidRDefault="0019789C" w:rsidP="00F85F5B">
      <w:pPr>
        <w:ind w:firstLine="0"/>
      </w:pPr>
    </w:p>
    <w:p w14:paraId="1D323EF7" w14:textId="77777777" w:rsidR="0019789C" w:rsidRPr="002A65B0" w:rsidRDefault="0019789C" w:rsidP="00F85F5B">
      <w:r w:rsidRPr="002A65B0">
        <w:t>Most of the provisions of the Chronically Sick and Disabled Persons Act 1970 are not directly relevant to the topic at hand and are included for the sake of completeness. However, s 5 is pertinent when considering how disabled persons experience public spaces as it provides that:</w:t>
      </w:r>
    </w:p>
    <w:p w14:paraId="2BA63EEE" w14:textId="7AC12666" w:rsidR="0019789C" w:rsidRPr="002A65B0" w:rsidRDefault="0019789C" w:rsidP="00F85F5B">
      <w:pPr>
        <w:pStyle w:val="Quote"/>
      </w:pPr>
      <w:r w:rsidRPr="002A65B0">
        <w:t xml:space="preserve">Where any local authority undertakes the provision of a public sanitary convenience, it shall be the duty of the authority, in doing so, to make provision, </w:t>
      </w:r>
      <w:r w:rsidRPr="002A65B0">
        <w:lastRenderedPageBreak/>
        <w:t>in so far as it is in the circumstances both practicable and reasonable, for the needs of disabled persons.</w:t>
      </w:r>
      <w:r w:rsidRPr="002A65B0">
        <w:rPr>
          <w:rStyle w:val="FootnoteReference"/>
        </w:rPr>
        <w:footnoteReference w:id="475"/>
      </w:r>
    </w:p>
    <w:p w14:paraId="23C908F4" w14:textId="795BA515" w:rsidR="0019789C" w:rsidRPr="002A65B0" w:rsidRDefault="0019789C" w:rsidP="00F85F5B">
      <w:pPr>
        <w:ind w:firstLine="0"/>
      </w:pPr>
      <w:r w:rsidRPr="002A65B0">
        <w:t>Further, local authorities must take steps to indicate the whereabouts of the convenience, by signposts or similar notices, as is reasonable.</w:t>
      </w:r>
      <w:r w:rsidRPr="002A65B0">
        <w:rPr>
          <w:rStyle w:val="FootnoteReference"/>
        </w:rPr>
        <w:footnoteReference w:id="476"/>
      </w:r>
    </w:p>
    <w:p w14:paraId="72693FF8" w14:textId="77777777" w:rsidR="0019789C" w:rsidRPr="002A65B0" w:rsidRDefault="0019789C" w:rsidP="00F85F5B">
      <w:pPr>
        <w:ind w:firstLine="0"/>
      </w:pPr>
    </w:p>
    <w:p w14:paraId="4AC80A4C" w14:textId="617E8F6E" w:rsidR="0019789C" w:rsidRPr="002A65B0" w:rsidRDefault="0019789C" w:rsidP="00AE3A75">
      <w:pPr>
        <w:pStyle w:val="Heading4"/>
      </w:pPr>
      <w:r w:rsidRPr="002A65B0">
        <w:t>(b) Remedies</w:t>
      </w:r>
      <w:r>
        <w:t>, Sanctions or Other Outcomes</w:t>
      </w:r>
    </w:p>
    <w:p w14:paraId="6B6E6DCA" w14:textId="5AB2F077" w:rsidR="0019789C" w:rsidRPr="002A65B0" w:rsidRDefault="0019789C" w:rsidP="00F85F5B">
      <w:pPr>
        <w:rPr>
          <w:lang w:bidi="en-US"/>
        </w:rPr>
      </w:pPr>
      <w:r w:rsidRPr="002A65B0">
        <w:rPr>
          <w:lang w:bidi="en-US"/>
        </w:rPr>
        <w:t xml:space="preserve">There is no case law on the scope of the s 5 </w:t>
      </w:r>
      <w:r w:rsidRPr="002A65B0">
        <w:t xml:space="preserve">Chronically Sick and Disabled Persons Act 1970 </w:t>
      </w:r>
      <w:r w:rsidRPr="002A65B0">
        <w:rPr>
          <w:lang w:bidi="en-US"/>
        </w:rPr>
        <w:t>provision on public toilets, suggesting that it is a statutory right, but not one which is actionable by individuals.</w:t>
      </w:r>
      <w:r w:rsidRPr="002A65B0">
        <w:rPr>
          <w:rStyle w:val="FootnoteReference"/>
          <w:lang w:bidi="en-US"/>
        </w:rPr>
        <w:footnoteReference w:id="477"/>
      </w:r>
      <w:r w:rsidRPr="002A65B0">
        <w:rPr>
          <w:lang w:bidi="en-US"/>
        </w:rPr>
        <w:t xml:space="preserve"> Yet, if a public toilet were inaccessible to a disabled person, this could be argued as a failure to provide a reasonable adjustment.</w:t>
      </w:r>
      <w:r w:rsidRPr="002A65B0">
        <w:rPr>
          <w:rStyle w:val="FootnoteReference"/>
          <w:lang w:bidi="en-US"/>
        </w:rPr>
        <w:footnoteReference w:id="478"/>
      </w:r>
    </w:p>
    <w:p w14:paraId="0676C005" w14:textId="77777777" w:rsidR="0019789C" w:rsidRPr="002A65B0" w:rsidRDefault="0019789C" w:rsidP="00F85F5B">
      <w:pPr>
        <w:rPr>
          <w:lang w:bidi="en-US"/>
        </w:rPr>
      </w:pPr>
    </w:p>
    <w:p w14:paraId="14B12702" w14:textId="3FA77FCB" w:rsidR="0019789C" w:rsidRPr="002A65B0" w:rsidRDefault="0019789C" w:rsidP="00AE3A75">
      <w:pPr>
        <w:pStyle w:val="Heading4"/>
      </w:pPr>
      <w:r w:rsidRPr="002A65B0">
        <w:t>(c) Enforcement</w:t>
      </w:r>
    </w:p>
    <w:p w14:paraId="7EAD5BB0" w14:textId="77777777" w:rsidR="0019789C" w:rsidRPr="002A65B0" w:rsidRDefault="0019789C" w:rsidP="00F85F5B">
      <w:pPr>
        <w:spacing w:line="276" w:lineRule="auto"/>
        <w:ind w:firstLine="0"/>
        <w:jc w:val="left"/>
      </w:pPr>
      <w:r w:rsidRPr="002A65B0">
        <w:t>N/A.</w:t>
      </w:r>
    </w:p>
    <w:p w14:paraId="5BA372E3" w14:textId="35F2B846" w:rsidR="0019789C" w:rsidRPr="002A65B0" w:rsidRDefault="0019789C" w:rsidP="00F85F5B">
      <w:pPr>
        <w:spacing w:line="276" w:lineRule="auto"/>
        <w:ind w:firstLine="0"/>
        <w:jc w:val="left"/>
      </w:pPr>
    </w:p>
    <w:p w14:paraId="39DFF391" w14:textId="09AA8463" w:rsidR="0019789C" w:rsidRPr="002A65B0" w:rsidRDefault="0019789C" w:rsidP="00F85F5B">
      <w:pPr>
        <w:ind w:firstLine="0"/>
      </w:pPr>
    </w:p>
    <w:p w14:paraId="0AAE3CBD" w14:textId="48DBB67B" w:rsidR="0019789C" w:rsidRPr="002A65B0" w:rsidRDefault="0019789C" w:rsidP="00E46097">
      <w:pPr>
        <w:pStyle w:val="Heading2"/>
      </w:pPr>
      <w:r w:rsidRPr="002A65B0">
        <w:t>B4 Noteworthy Project-Related Observations and Concerns</w:t>
      </w:r>
    </w:p>
    <w:p w14:paraId="562640AD" w14:textId="669621F7" w:rsidR="0019789C" w:rsidRPr="002A65B0" w:rsidRDefault="0019789C" w:rsidP="0009395E">
      <w:r w:rsidRPr="002A65B0">
        <w:t>There are two main categories of project-related observations and concerns to be discussed here: the first is the heavy reliance on individual enforcement of EA rights and the high costs associated with legal action; the second category is how EA legal obligations will be interpreted in the context of accessible streets.</w:t>
      </w:r>
    </w:p>
    <w:p w14:paraId="2340A08F" w14:textId="77777777" w:rsidR="0019789C" w:rsidRPr="002A65B0" w:rsidRDefault="0019789C" w:rsidP="00EF643E"/>
    <w:p w14:paraId="015C54FC" w14:textId="1DCFCB73" w:rsidR="0019789C" w:rsidRPr="002A65B0" w:rsidRDefault="0019789C" w:rsidP="008914A3">
      <w:r w:rsidRPr="002A65B0">
        <w:t xml:space="preserve">While the Equality and Human Rights Commission has the power to support litigation and take certain types of action, the rights contained in the EA are largely dependent on individual enforcement, which is a primary concern. On the one hand, the individual enforcement mechanism serves a range of purposes from the vindication of individual rights to broader societal goals like awareness-raising, changing policy or removing a barrier to prevent future exclusion of others. Individual enforcement also creates legal precedents that lead to wider change to ‘a means by which we create the “critical mass” of discrimination cases needed to build a culture where compliance is the norm because </w:t>
      </w:r>
      <w:r w:rsidRPr="002A65B0">
        <w:lastRenderedPageBreak/>
        <w:t>employers, service providers and public authorities know they will face consequences for discrimination.’</w:t>
      </w:r>
      <w:r w:rsidRPr="002A65B0">
        <w:rPr>
          <w:rStyle w:val="FootnoteReference"/>
        </w:rPr>
        <w:footnoteReference w:id="479"/>
      </w:r>
      <w:r w:rsidRPr="002A65B0">
        <w:t xml:space="preserve"> </w:t>
      </w:r>
    </w:p>
    <w:p w14:paraId="0D580A50" w14:textId="0F63D93C" w:rsidR="0019789C" w:rsidRPr="002A65B0" w:rsidRDefault="0019789C" w:rsidP="008914A3"/>
    <w:p w14:paraId="03A3F93C" w14:textId="0D976F12" w:rsidR="0019789C" w:rsidRPr="002A65B0" w:rsidRDefault="0019789C" w:rsidP="00CC6139">
      <w:r w:rsidRPr="002A65B0">
        <w:t>At the same time, the role of disabled people as the enforcers of the EA and responsible for ensuring the accessibility of public space has been heavily criticised. Indeed, there is concern that too few people are aware of the anticipatory reasonable adjustment duty, which weakens a person’s capacity to take legal action. According to evidence presented before the House of Lords Select Committee on the Equality Act 2010 and Disability, the duty is ‘neither well known nor well understood’, and there is a ‘lack of awareness amongst individuals about what they can do if they feel they have suffered discrimination’.</w:t>
      </w:r>
      <w:r w:rsidRPr="002A65B0">
        <w:rPr>
          <w:rStyle w:val="FootnoteReference"/>
        </w:rPr>
        <w:footnoteReference w:id="480"/>
      </w:r>
      <w:r w:rsidRPr="002A65B0">
        <w:t xml:space="preserve"> Even when there is knowledge of ‘law that may provide them with some protection’, disabled service users ‘do not understand the scope and ambit of the reasonable adjustment duty.’</w:t>
      </w:r>
      <w:r w:rsidRPr="002A65B0">
        <w:rPr>
          <w:rStyle w:val="FootnoteReference"/>
        </w:rPr>
        <w:footnoteReference w:id="481"/>
      </w:r>
      <w:r w:rsidRPr="002A65B0">
        <w:t xml:space="preserve"> A later report on Disability and the Built Environment echoed the earlier criticisms, adding that ‘an approach that relies on individual disabled people bringing a challenge each and every time they encounter a disabling barrier is neither morally nor practically sustainable.’</w:t>
      </w:r>
      <w:r w:rsidRPr="002A65B0">
        <w:rPr>
          <w:rStyle w:val="FootnoteReference"/>
        </w:rPr>
        <w:footnoteReference w:id="482"/>
      </w:r>
    </w:p>
    <w:p w14:paraId="7DA88E98" w14:textId="77777777" w:rsidR="0019789C" w:rsidRPr="002A65B0" w:rsidRDefault="0019789C" w:rsidP="00CC6139"/>
    <w:p w14:paraId="072F0396" w14:textId="407A1C4C" w:rsidR="0019789C" w:rsidRPr="002A65B0" w:rsidRDefault="0019789C" w:rsidP="00BC0482">
      <w:r w:rsidRPr="002A65B0">
        <w:t>Additionally, for individuals with ‘hidden’ impairments, such concerns may be particularly acute. The evidence offered to the Select Committee for this stance included that of Autistic UK, which ‘felt that the anticipatory duty was enjoyed only by those with “physical or sensory disabilities” and that “the access issues of autistic people (and others), both to the built environment and otherwise, will in all probability remain unaddressed.”’</w:t>
      </w:r>
      <w:r w:rsidRPr="002A65B0">
        <w:rPr>
          <w:rStyle w:val="FootnoteReference"/>
        </w:rPr>
        <w:footnoteReference w:id="483"/>
      </w:r>
      <w:r w:rsidRPr="002A65B0">
        <w:t xml:space="preserve"> As per The Mental Health Foundation, ‘people with dementia are [often] not considered to be disabled and therefore are not considered as rights holders.’</w:t>
      </w:r>
      <w:r w:rsidRPr="002A65B0">
        <w:rPr>
          <w:rStyle w:val="FootnoteReference"/>
        </w:rPr>
        <w:footnoteReference w:id="484"/>
      </w:r>
      <w:r w:rsidRPr="002A65B0">
        <w:t xml:space="preserve"> </w:t>
      </w:r>
      <w:r w:rsidRPr="002A65B0">
        <w:rPr>
          <w:noProof/>
        </w:rPr>
        <w:t>Mind</w:t>
      </w:r>
      <w:r w:rsidRPr="002A65B0">
        <w:t xml:space="preserve"> has stated that there is a lack of confidence and understanding about what ‘an adjustment could look like for someone living with a mental health problem’ on the part of service providers, which means that these individuals ‘far too often do not benefit from full protection under the Act’</w:t>
      </w:r>
      <w:r w:rsidRPr="002A65B0">
        <w:rPr>
          <w:szCs w:val="18"/>
        </w:rPr>
        <w:t>.</w:t>
      </w:r>
      <w:r w:rsidRPr="002A65B0">
        <w:rPr>
          <w:rStyle w:val="FootnoteReference"/>
        </w:rPr>
        <w:footnoteReference w:id="485"/>
      </w:r>
      <w:r w:rsidRPr="002A65B0">
        <w:t xml:space="preserve"> </w:t>
      </w:r>
    </w:p>
    <w:p w14:paraId="279C5E83" w14:textId="77777777" w:rsidR="0019789C" w:rsidRPr="002A65B0" w:rsidRDefault="0019789C" w:rsidP="00BC0482"/>
    <w:p w14:paraId="05832F75" w14:textId="5E628855" w:rsidR="0019789C" w:rsidRPr="002A65B0" w:rsidRDefault="0019789C" w:rsidP="00396AC8">
      <w:pPr>
        <w:rPr>
          <w:szCs w:val="18"/>
        </w:rPr>
      </w:pPr>
      <w:r w:rsidRPr="002A65B0">
        <w:lastRenderedPageBreak/>
        <w:t>The issues surrounding individual litigation – which extend to power imbalances between the parties and the daunting prospect of going up against a public authority with more resources</w:t>
      </w:r>
      <w:r w:rsidRPr="002A65B0">
        <w:rPr>
          <w:rStyle w:val="FootnoteReference"/>
        </w:rPr>
        <w:footnoteReference w:id="486"/>
      </w:r>
      <w:r w:rsidRPr="002A65B0">
        <w:t xml:space="preserve"> – are compounded by the difficulties discussed previously in terms of accessing legal advice and representation, the high cost of legal action, and the limited availability of legal aid.</w:t>
      </w:r>
      <w:r w:rsidRPr="002A65B0">
        <w:rPr>
          <w:rStyle w:val="FootnoteReference"/>
        </w:rPr>
        <w:footnoteReference w:id="487"/>
      </w:r>
      <w:r w:rsidRPr="002A65B0">
        <w:rPr>
          <w:szCs w:val="18"/>
        </w:rPr>
        <w:t xml:space="preserve"> </w:t>
      </w:r>
      <w:r w:rsidRPr="002A65B0">
        <w:t xml:space="preserve">Given that the individual mechanism is not receiving sufficient support, how we can make it more effective? Disabled people alone should not be responsible for bringing legal action and ensuring inclusive public space, which can also be enabled through public enforcement mechanisms. Enforcement by public bodies like the EHRC serves multiple goals: it can to promote the public’s interest in deterring unlawful or discriminatory behaviour, it may lessen the financial burden on individuals, and high-profile cases can raise awareness about the existence of EA rights. Perhaps most importantly, public bodies can take pre-emptive legal action before situations of exclusion occur. However, while the EHRC has the power to take action independently of individual claimants, such power has not been used in the context of pedestrian access to streets and seems unlikely to be used. Thus, how can we use public enforcement mechanisms to supplement and strengthen individual enforcement mechanisms? </w:t>
      </w:r>
    </w:p>
    <w:p w14:paraId="7BD6C095" w14:textId="2E50BD67" w:rsidR="0019789C" w:rsidRPr="002A65B0" w:rsidRDefault="0019789C" w:rsidP="00BC0482">
      <w:pPr>
        <w:ind w:firstLine="0"/>
      </w:pPr>
    </w:p>
    <w:p w14:paraId="0C709C9C" w14:textId="5B2DB7D2" w:rsidR="0019789C" w:rsidRPr="002A65B0" w:rsidRDefault="0019789C" w:rsidP="00075806">
      <w:r w:rsidRPr="002A65B0">
        <w:t xml:space="preserve">The points discussed thus far feed directly into the third concern: given that there is very little litigation in terms of pedestrian access to streets, what are the confines of the reasonable adjustment duty and the PSED in this context? There is a lack of clarity about when the time limit begins to run in reasonable adjustment cases, and the time limit could present difficulties if the clock starts running when a reasonable public authority would have taken action, or decided not to do so. Even if an individual were to get past the enforcement-related hurdles, uncertainty remains about how courts will assess whether particular PCPs or physical features, in the context of pedestrian access to streets, can be anticipated to put groups of disabled people at a substantial disadvantage, thus triggering the anticipatory reasonable adjustment duty. There is similar uncertainty about how courts will assess whether particular PCPs or physical features have actually put a particular claimant at a substantial disadvantage, and how will the reasonableness of steps taken be assessed? </w:t>
      </w:r>
    </w:p>
    <w:p w14:paraId="5C541341" w14:textId="77777777" w:rsidR="0019789C" w:rsidRPr="002A65B0" w:rsidRDefault="0019789C" w:rsidP="00075806"/>
    <w:p w14:paraId="0D840F5D" w14:textId="13FC4CFF" w:rsidR="0019789C" w:rsidRPr="002A65B0" w:rsidRDefault="0019789C" w:rsidP="00075806">
      <w:r w:rsidRPr="002A65B0">
        <w:lastRenderedPageBreak/>
        <w:t>Indeed, in the context of inclusive shared space schemes, the Women and Equalities Committee recommended that guidance be produced on how the PSED and the duty to make reasonable adjustments apply to the design and implementation of such schemes.</w:t>
      </w:r>
      <w:r w:rsidRPr="002A65B0">
        <w:rPr>
          <w:rStyle w:val="FootnoteReference"/>
        </w:rPr>
        <w:footnoteReference w:id="488"/>
      </w:r>
      <w:r w:rsidRPr="002A65B0">
        <w:t xml:space="preserve"> The Committee further implied that a failure to consider such guidance would never be reasonable: </w:t>
      </w:r>
    </w:p>
    <w:p w14:paraId="2A2216AC" w14:textId="37B671BC" w:rsidR="0019789C" w:rsidRPr="002A65B0" w:rsidRDefault="0019789C" w:rsidP="00FE0295">
      <w:pPr>
        <w:pStyle w:val="Quote"/>
      </w:pPr>
      <w:r w:rsidRPr="002A65B0">
        <w:t>Adequate guidance is important, but individuals also need an accessible means to challenge decisions when such guidance is not adhered to. We recommend that the Government bring forward Regulations under section 22(2)(a) of the Equality Act 2010 to specify that organisations which fail to comply with the new guidance recommended above will not be considered to have taken reasonable steps for purposes of the duty to make reasonable adjustments. This will make it easier for disabled individuals to establish discrimination contrary to section 21 of the Equality Act 2010.</w:t>
      </w:r>
      <w:r w:rsidRPr="002A65B0">
        <w:rPr>
          <w:rStyle w:val="FootnoteReference"/>
        </w:rPr>
        <w:footnoteReference w:id="489"/>
      </w:r>
    </w:p>
    <w:p w14:paraId="1C743578" w14:textId="72B6F57E" w:rsidR="0019789C" w:rsidRPr="002A65B0" w:rsidRDefault="0019789C" w:rsidP="00075806">
      <w:pPr>
        <w:ind w:firstLine="0"/>
      </w:pPr>
      <w:r w:rsidRPr="002A65B0">
        <w:t>Yet the Committee’s recommended guidance remains unwritten, which, in addition to the dearth of case law, means that there are more questions than answers at this stage.</w:t>
      </w:r>
    </w:p>
    <w:p w14:paraId="4B39F46B" w14:textId="37700070" w:rsidR="0019789C" w:rsidRDefault="0019789C" w:rsidP="00683CF7">
      <w:pPr>
        <w:pStyle w:val="Heading2"/>
      </w:pPr>
      <w:r w:rsidRPr="002A65B0">
        <w:br w:type="page"/>
      </w:r>
    </w:p>
    <w:p w14:paraId="5E69FF53" w14:textId="77777777" w:rsidR="0019789C" w:rsidRPr="0080041A" w:rsidRDefault="0019789C" w:rsidP="00C25857">
      <w:pPr>
        <w:pStyle w:val="Heading1"/>
        <w:ind w:left="0" w:firstLine="0"/>
      </w:pPr>
      <w:r w:rsidRPr="0080041A">
        <w:lastRenderedPageBreak/>
        <w:t xml:space="preserve">C Laws that can be used by pedestrians generally or NGOs on behalf of pedestrians generally </w:t>
      </w:r>
    </w:p>
    <w:p w14:paraId="23750AAA" w14:textId="77777777" w:rsidR="0019789C" w:rsidRPr="0080041A" w:rsidRDefault="0019789C" w:rsidP="00683CF7">
      <w:pPr>
        <w:rPr>
          <w:lang w:bidi="en-US"/>
        </w:rPr>
      </w:pPr>
    </w:p>
    <w:p w14:paraId="5C26EABB" w14:textId="571A8F47" w:rsidR="0019789C" w:rsidRPr="0080041A" w:rsidRDefault="0019789C" w:rsidP="00683CF7">
      <w:pPr>
        <w:pStyle w:val="Heading2"/>
      </w:pPr>
      <w:r w:rsidRPr="0080041A">
        <w:t xml:space="preserve">C1 </w:t>
      </w:r>
      <w:r>
        <w:t>Failing</w:t>
      </w:r>
      <w:r w:rsidRPr="0080041A">
        <w:t xml:space="preserve"> to </w:t>
      </w:r>
      <w:r>
        <w:t>s</w:t>
      </w:r>
      <w:r w:rsidRPr="0080041A">
        <w:t xml:space="preserve">afeguard </w:t>
      </w:r>
      <w:r>
        <w:t>p</w:t>
      </w:r>
      <w:r w:rsidRPr="0080041A">
        <w:t xml:space="preserve">edestrians from </w:t>
      </w:r>
      <w:r>
        <w:t>h</w:t>
      </w:r>
      <w:r w:rsidRPr="0080041A">
        <w:t xml:space="preserve">oles, </w:t>
      </w:r>
      <w:r>
        <w:t>r</w:t>
      </w:r>
      <w:r w:rsidRPr="0080041A">
        <w:t xml:space="preserve">oadworks, </w:t>
      </w:r>
      <w:r>
        <w:t>t</w:t>
      </w:r>
      <w:r w:rsidRPr="0080041A">
        <w:t xml:space="preserve">raffic </w:t>
      </w:r>
      <w:r>
        <w:t>f</w:t>
      </w:r>
      <w:r w:rsidRPr="0080041A">
        <w:t xml:space="preserve">low and </w:t>
      </w:r>
      <w:r>
        <w:t>o</w:t>
      </w:r>
      <w:r w:rsidRPr="0080041A">
        <w:t xml:space="preserve">ther </w:t>
      </w:r>
      <w:r>
        <w:t>h</w:t>
      </w:r>
      <w:r w:rsidRPr="0080041A">
        <w:t>azards</w:t>
      </w:r>
    </w:p>
    <w:p w14:paraId="38025CDB" w14:textId="77777777" w:rsidR="0019789C" w:rsidRPr="0080041A" w:rsidRDefault="0019789C" w:rsidP="00683CF7">
      <w:pPr>
        <w:pStyle w:val="Heading3"/>
      </w:pPr>
      <w:r w:rsidRPr="0080041A">
        <w:t xml:space="preserve">C1.1 Common Law Negligence </w:t>
      </w:r>
    </w:p>
    <w:p w14:paraId="1F79631B" w14:textId="5829C3FD" w:rsidR="0019789C" w:rsidRPr="0080041A" w:rsidRDefault="0019789C" w:rsidP="00683CF7">
      <w:r w:rsidRPr="0080041A">
        <w:t xml:space="preserve">The tort of negligence exists at common law and thus is not derived from legislation. Negligence </w:t>
      </w:r>
      <w:r>
        <w:t>has been</w:t>
      </w:r>
      <w:r w:rsidRPr="0080041A">
        <w:t xml:space="preserve"> defined as</w:t>
      </w:r>
    </w:p>
    <w:p w14:paraId="0EDBCA38" w14:textId="7C93CD35" w:rsidR="0019789C" w:rsidRPr="0080041A" w:rsidRDefault="0019789C" w:rsidP="00683CF7">
      <w:pPr>
        <w:pStyle w:val="Quote"/>
      </w:pPr>
      <w:r w:rsidRPr="0080041A">
        <w:t>the omission to do something which a reasonable man, guided upon those considerations which ordinarily regulate the conduct of human affairs, would do, or doing something which a prudent and reasonable man would not do.</w:t>
      </w:r>
      <w:r w:rsidRPr="0080041A">
        <w:rPr>
          <w:rStyle w:val="FootnoteReference"/>
        </w:rPr>
        <w:footnoteReference w:id="490"/>
      </w:r>
    </w:p>
    <w:p w14:paraId="20E97DCB" w14:textId="77777777" w:rsidR="0019789C" w:rsidRPr="0080041A" w:rsidRDefault="0019789C" w:rsidP="00683CF7">
      <w:r w:rsidRPr="0080041A">
        <w:t xml:space="preserve">To establish liability in negligence for injury, loss or harm caused to a pedestrian, the </w:t>
      </w:r>
      <w:r>
        <w:t xml:space="preserve">following </w:t>
      </w:r>
      <w:r w:rsidRPr="0080041A">
        <w:t xml:space="preserve">basic </w:t>
      </w:r>
      <w:r>
        <w:t>elements</w:t>
      </w:r>
      <w:r w:rsidRPr="0080041A">
        <w:t xml:space="preserve"> of the tort of negligence </w:t>
      </w:r>
      <w:r>
        <w:t>must be established</w:t>
      </w:r>
      <w:r w:rsidRPr="0080041A">
        <w:t>:</w:t>
      </w:r>
    </w:p>
    <w:p w14:paraId="388B981B" w14:textId="77777777" w:rsidR="0019789C" w:rsidRPr="0080041A" w:rsidRDefault="0019789C" w:rsidP="00683CF7">
      <w:pPr>
        <w:pStyle w:val="Quote"/>
        <w:ind w:left="1134" w:hanging="454"/>
      </w:pPr>
      <w:r w:rsidRPr="0080041A">
        <w:t>(1)</w:t>
      </w:r>
      <w:r w:rsidRPr="0080041A">
        <w:tab/>
        <w:t>the defendant (eg a public authority, driver</w:t>
      </w:r>
      <w:r>
        <w:t xml:space="preserve"> or</w:t>
      </w:r>
      <w:r w:rsidRPr="0080041A">
        <w:t xml:space="preserve"> cyclist) must owe a duty of care to the claimant pedestrian; </w:t>
      </w:r>
    </w:p>
    <w:p w14:paraId="5E5728F6" w14:textId="5C047324" w:rsidR="0019789C" w:rsidRPr="0080041A" w:rsidRDefault="0019789C" w:rsidP="00683CF7">
      <w:pPr>
        <w:pStyle w:val="Quote"/>
        <w:ind w:left="1134" w:hanging="454"/>
      </w:pPr>
      <w:r w:rsidRPr="0080041A">
        <w:t>(2)</w:t>
      </w:r>
      <w:r w:rsidRPr="0080041A">
        <w:tab/>
        <w:t xml:space="preserve">there must be a breach of that duty because the defendant did not act as a reasonable public authority, driver, cyclist, etc would act in </w:t>
      </w:r>
      <w:r>
        <w:t xml:space="preserve">similar </w:t>
      </w:r>
      <w:r w:rsidRPr="0080041A">
        <w:t xml:space="preserve">circumstances; and </w:t>
      </w:r>
    </w:p>
    <w:p w14:paraId="50CB4773" w14:textId="77777777" w:rsidR="0019789C" w:rsidRPr="0080041A" w:rsidRDefault="0019789C" w:rsidP="00683CF7">
      <w:pPr>
        <w:pStyle w:val="Quote"/>
        <w:ind w:left="1134" w:hanging="454"/>
      </w:pPr>
      <w:r w:rsidRPr="0080041A">
        <w:t>(3)</w:t>
      </w:r>
      <w:r w:rsidRPr="0080041A">
        <w:tab/>
        <w:t xml:space="preserve">there must be a causal link between the injury, loss or harm sustained by the claimant pedestrian and the breach of duty. </w:t>
      </w:r>
    </w:p>
    <w:p w14:paraId="2180D7B4" w14:textId="6E6DCEA8" w:rsidR="0019789C" w:rsidRPr="0080041A" w:rsidRDefault="0019789C" w:rsidP="00683CF7">
      <w:pPr>
        <w:rPr>
          <w:lang w:bidi="en-US"/>
        </w:rPr>
      </w:pPr>
      <w:r w:rsidRPr="0080041A">
        <w:t>There are two complete defences to a negligence claim – illegality and voluntary assumption of the ris</w:t>
      </w:r>
      <w:r>
        <w:t>k. T</w:t>
      </w:r>
      <w:r w:rsidRPr="0080041A">
        <w:t>h</w:t>
      </w:r>
      <w:r>
        <w:t>ere is</w:t>
      </w:r>
      <w:r w:rsidRPr="0080041A">
        <w:t xml:space="preserve"> </w:t>
      </w:r>
      <w:r>
        <w:t xml:space="preserve">also a </w:t>
      </w:r>
      <w:r w:rsidRPr="0080041A">
        <w:t>partial defence of contributory negligence, according to which damages may be reduced to reflect the claimant’s contribution</w:t>
      </w:r>
      <w:r>
        <w:t xml:space="preserve"> injury, harm or loss</w:t>
      </w:r>
      <w:r w:rsidRPr="0080041A">
        <w:t xml:space="preserve">. These defences will be discussed in the </w:t>
      </w:r>
      <w:r>
        <w:t xml:space="preserve">following </w:t>
      </w:r>
      <w:r w:rsidRPr="0080041A">
        <w:t>section</w:t>
      </w:r>
      <w:r>
        <w:t xml:space="preserve"> </w:t>
      </w:r>
      <w:r w:rsidRPr="0080041A">
        <w:t>in the context of remedies.</w:t>
      </w:r>
      <w:r>
        <w:t xml:space="preserve"> For current purposes, the term ‘damage’ refers to the injury, loss or harm suffered by a person, whereas the term ‘damages’ refers to a monetary remedy – the </w:t>
      </w:r>
      <w:r w:rsidRPr="00C51E0A">
        <w:t xml:space="preserve">money </w:t>
      </w:r>
      <w:r>
        <w:t>a court orders must be paid</w:t>
      </w:r>
      <w:r w:rsidRPr="00C51E0A">
        <w:t xml:space="preserve"> </w:t>
      </w:r>
      <w:r>
        <w:t xml:space="preserve">in order </w:t>
      </w:r>
      <w:r w:rsidRPr="00C51E0A">
        <w:t xml:space="preserve">to compensate </w:t>
      </w:r>
      <w:r>
        <w:t>the</w:t>
      </w:r>
      <w:r w:rsidRPr="00C51E0A">
        <w:t xml:space="preserve"> claiman</w:t>
      </w:r>
      <w:r>
        <w:t>t.</w:t>
      </w:r>
    </w:p>
    <w:p w14:paraId="66DFCE75" w14:textId="77777777" w:rsidR="0019789C" w:rsidRPr="0080041A" w:rsidRDefault="0019789C" w:rsidP="00683CF7">
      <w:pPr>
        <w:rPr>
          <w:lang w:bidi="en-US"/>
        </w:rPr>
      </w:pPr>
    </w:p>
    <w:p w14:paraId="330055F1" w14:textId="77777777" w:rsidR="0019789C" w:rsidRPr="0080041A" w:rsidRDefault="0019789C" w:rsidP="00683CF7">
      <w:pPr>
        <w:pStyle w:val="Heading4"/>
      </w:pPr>
      <w:r>
        <w:t xml:space="preserve">(a) </w:t>
      </w:r>
      <w:r w:rsidRPr="0080041A">
        <w:t>Description and Examples</w:t>
      </w:r>
    </w:p>
    <w:p w14:paraId="72E724C7" w14:textId="77777777" w:rsidR="0019789C" w:rsidRPr="0080041A" w:rsidRDefault="0019789C" w:rsidP="00683CF7">
      <w:pPr>
        <w:pStyle w:val="Heading5"/>
      </w:pPr>
      <w:r w:rsidRPr="0080041A">
        <w:lastRenderedPageBreak/>
        <w:t>Duty of Care</w:t>
      </w:r>
    </w:p>
    <w:p w14:paraId="287AD56A" w14:textId="77777777" w:rsidR="0019789C" w:rsidRPr="0080041A" w:rsidRDefault="0019789C" w:rsidP="00683CF7">
      <w:pPr>
        <w:rPr>
          <w:lang w:bidi="en-US"/>
        </w:rPr>
      </w:pPr>
    </w:p>
    <w:p w14:paraId="0B5A0560" w14:textId="7CA03E49" w:rsidR="0019789C" w:rsidRPr="0080041A" w:rsidRDefault="0019789C" w:rsidP="00683CF7">
      <w:pPr>
        <w:rPr>
          <w:lang w:bidi="en-US"/>
        </w:rPr>
      </w:pPr>
      <w:r w:rsidRPr="0080041A">
        <w:rPr>
          <w:lang w:bidi="en-US"/>
        </w:rPr>
        <w:t xml:space="preserve">A public authority may owe a general duty of care to pedestrians, road users and the community at large; other road users, such as drivers and cyclists, also owe a duty of care to pedestrians. The case of </w:t>
      </w:r>
      <w:r w:rsidRPr="00B93E9F">
        <w:rPr>
          <w:rStyle w:val="case"/>
        </w:rPr>
        <w:t>Caparo Industries v Dickman</w:t>
      </w:r>
      <w:r w:rsidRPr="00B93E9F">
        <w:rPr>
          <w:rStyle w:val="FootnoteReference"/>
          <w:iCs/>
        </w:rPr>
        <w:footnoteReference w:id="491"/>
      </w:r>
      <w:r w:rsidRPr="0080041A">
        <w:rPr>
          <w:lang w:bidi="en-US"/>
        </w:rPr>
        <w:t xml:space="preserve"> </w:t>
      </w:r>
      <w:r w:rsidRPr="0080041A">
        <w:t xml:space="preserve">sets out </w:t>
      </w:r>
      <w:r>
        <w:t xml:space="preserve">the following </w:t>
      </w:r>
      <w:r w:rsidRPr="0080041A">
        <w:t>three steps for this inquir</w:t>
      </w:r>
      <w:r>
        <w:t xml:space="preserve">y, and these have become </w:t>
      </w:r>
      <w:r w:rsidRPr="0080041A">
        <w:t>known as the ‘</w:t>
      </w:r>
      <w:r w:rsidRPr="00283DF6">
        <w:rPr>
          <w:rStyle w:val="case"/>
        </w:rPr>
        <w:t>Caparo</w:t>
      </w:r>
      <w:r w:rsidRPr="0080041A">
        <w:t xml:space="preserve"> test’: (1) Was the damage reasonably foreseeable? (2) Was there a sufficiently proximate relationship between the parties? (3) Would it be ‘fair, just and reasonable’ for the court to impose a duty of care, having regard to policy concerns?</w:t>
      </w:r>
      <w:r w:rsidRPr="0080041A">
        <w:rPr>
          <w:rStyle w:val="FootnoteReference"/>
        </w:rPr>
        <w:footnoteReference w:id="492"/>
      </w:r>
      <w:r w:rsidRPr="0080041A">
        <w:t xml:space="preserve"> Recent case law, however, has clarified that </w:t>
      </w:r>
      <w:r>
        <w:t xml:space="preserve">it is only necessary to rely on </w:t>
      </w:r>
      <w:r w:rsidRPr="0080041A">
        <w:t xml:space="preserve">the </w:t>
      </w:r>
      <w:r w:rsidRPr="00283DF6">
        <w:rPr>
          <w:rStyle w:val="case"/>
        </w:rPr>
        <w:t>Caparo</w:t>
      </w:r>
      <w:r w:rsidRPr="0080041A">
        <w:t xml:space="preserve"> test in novel situations where the courts cannot rely on established authority.</w:t>
      </w:r>
      <w:bookmarkStart w:id="60" w:name="_Ref32914378"/>
      <w:r w:rsidRPr="0080041A">
        <w:rPr>
          <w:rStyle w:val="FootnoteReference"/>
        </w:rPr>
        <w:footnoteReference w:id="493"/>
      </w:r>
      <w:bookmarkEnd w:id="60"/>
    </w:p>
    <w:p w14:paraId="178CDA64" w14:textId="77777777" w:rsidR="0019789C" w:rsidRPr="0080041A" w:rsidRDefault="0019789C" w:rsidP="00683CF7"/>
    <w:p w14:paraId="11A2EFBE" w14:textId="252D29FF" w:rsidR="0019789C" w:rsidRPr="0080041A" w:rsidRDefault="0019789C" w:rsidP="00683CF7">
      <w:r w:rsidRPr="0080041A">
        <w:t>Thus</w:t>
      </w:r>
      <w:r>
        <w:t xml:space="preserve">, assessments of whether there is </w:t>
      </w:r>
      <w:r w:rsidRPr="0080041A">
        <w:t xml:space="preserve">a duty of care in negligence involve several steps: (1) Was there a relationship between the defendant and the claimant which the law already recognises as giving rise to a duty of care? For example, thanks to cases like </w:t>
      </w:r>
      <w:r w:rsidRPr="000558B4">
        <w:rPr>
          <w:rStyle w:val="case"/>
        </w:rPr>
        <w:t>Owens v Brimmell</w:t>
      </w:r>
      <w:r w:rsidRPr="0080041A">
        <w:rPr>
          <w:i/>
        </w:rPr>
        <w:t>,</w:t>
      </w:r>
      <w:r w:rsidRPr="0080041A">
        <w:rPr>
          <w:rStyle w:val="FootnoteReference"/>
        </w:rPr>
        <w:footnoteReference w:id="494"/>
      </w:r>
      <w:r w:rsidRPr="0080041A">
        <w:t xml:space="preserve"> it is well-established in law that a driver owes a duty of care to other road</w:t>
      </w:r>
      <w:r>
        <w:t xml:space="preserve"> </w:t>
      </w:r>
      <w:r w:rsidRPr="0080041A">
        <w:t>users. (2) If no precedent exists, can an analogy be drawn between the facts at hand and an established authority based on ‘legally significant features of the situations with which the earlier authorities were concerned’?</w:t>
      </w:r>
      <w:r>
        <w:rPr>
          <w:rStyle w:val="FootnoteReference"/>
        </w:rPr>
        <w:footnoteReference w:id="495"/>
      </w:r>
      <w:r w:rsidRPr="0080041A">
        <w:t xml:space="preserve"> For example, can an analogy be drawn between the driver of car and an electric scooter? And, if such an analogy can be drawn, would the imposition of the claimed duty be fair, just or reasonable? (3) If neither of the previous questions can address the duty of care inquiry, only then will the Caparo test require consideration. </w:t>
      </w:r>
      <w:r>
        <w:t>Thus, w</w:t>
      </w:r>
      <w:r w:rsidRPr="0080041A">
        <w:t xml:space="preserve">hile the </w:t>
      </w:r>
      <w:r w:rsidRPr="000558B4">
        <w:rPr>
          <w:rStyle w:val="case"/>
        </w:rPr>
        <w:t>Caparo</w:t>
      </w:r>
      <w:r w:rsidRPr="0080041A">
        <w:t xml:space="preserve"> case is still highly influential in duty of care inquiries, the courts have been hesitant to employ the </w:t>
      </w:r>
      <w:r w:rsidRPr="0080041A">
        <w:rPr>
          <w:i/>
        </w:rPr>
        <w:t>test</w:t>
      </w:r>
      <w:r w:rsidRPr="0080041A">
        <w:t xml:space="preserve"> as a standalone test. In the recent cases of </w:t>
      </w:r>
      <w:r w:rsidRPr="000558B4">
        <w:rPr>
          <w:rStyle w:val="case"/>
        </w:rPr>
        <w:t>James-Bowen</w:t>
      </w:r>
      <w:r w:rsidRPr="0080041A">
        <w:t xml:space="preserve"> and </w:t>
      </w:r>
      <w:r w:rsidRPr="000558B4">
        <w:rPr>
          <w:rStyle w:val="case"/>
        </w:rPr>
        <w:t>Robinson</w:t>
      </w:r>
      <w:r w:rsidRPr="0080041A">
        <w:t xml:space="preserve">, for example, the Supreme Court placed far more emphasis on the importance of developing </w:t>
      </w:r>
      <w:r w:rsidRPr="0080041A">
        <w:lastRenderedPageBreak/>
        <w:t>the law ‘incrementally and by analogy with established authority’ than in pursuance of the Caparo test.</w:t>
      </w:r>
      <w:r w:rsidRPr="0080041A">
        <w:rPr>
          <w:rStyle w:val="FootnoteReference"/>
        </w:rPr>
        <w:footnoteReference w:id="496"/>
      </w:r>
      <w:r w:rsidRPr="0080041A">
        <w:t xml:space="preserve"> </w:t>
      </w:r>
    </w:p>
    <w:p w14:paraId="32D41574" w14:textId="77777777" w:rsidR="0019789C" w:rsidRPr="0080041A" w:rsidRDefault="0019789C" w:rsidP="00683CF7"/>
    <w:p w14:paraId="0D47DD48" w14:textId="77777777" w:rsidR="0019789C" w:rsidRPr="0080041A" w:rsidRDefault="0019789C" w:rsidP="00683CF7">
      <w:r w:rsidRPr="0080041A">
        <w:t>In addition to their statutory duties, which will be discussed below,</w:t>
      </w:r>
      <w:r w:rsidRPr="0080041A">
        <w:rPr>
          <w:rStyle w:val="FootnoteReference"/>
        </w:rPr>
        <w:footnoteReference w:id="497"/>
      </w:r>
      <w:r w:rsidRPr="0080041A">
        <w:t xml:space="preserve"> public authorit</w:t>
      </w:r>
      <w:r>
        <w:t>ies</w:t>
      </w:r>
      <w:r w:rsidRPr="0080041A">
        <w:t xml:space="preserve"> may owe a general duty of care to pedestrians, road users and the community at large, but </w:t>
      </w:r>
      <w:r>
        <w:t>such</w:t>
      </w:r>
      <w:r w:rsidRPr="0080041A">
        <w:t xml:space="preserve"> </w:t>
      </w:r>
      <w:r>
        <w:t xml:space="preserve">a duty would </w:t>
      </w:r>
      <w:r w:rsidRPr="0080041A">
        <w:t xml:space="preserve">arise in the same way </w:t>
      </w:r>
      <w:r>
        <w:t xml:space="preserve">as </w:t>
      </w:r>
      <w:r w:rsidRPr="0080041A">
        <w:t xml:space="preserve">it </w:t>
      </w:r>
      <w:r>
        <w:t>would</w:t>
      </w:r>
      <w:r w:rsidRPr="0080041A">
        <w:t xml:space="preserve"> for private individuals – through the incremental, analogical approach, rather than </w:t>
      </w:r>
      <w:r>
        <w:t xml:space="preserve">by </w:t>
      </w:r>
      <w:r w:rsidRPr="0080041A">
        <w:t xml:space="preserve">statute. But if they do not owe duty of care to the claimant, then their failure to take reasonable care </w:t>
      </w:r>
      <w:r>
        <w:t>in</w:t>
      </w:r>
      <w:r w:rsidRPr="0080041A">
        <w:t xml:space="preserve"> safeguard</w:t>
      </w:r>
      <w:r>
        <w:t>ing</w:t>
      </w:r>
      <w:r w:rsidRPr="0080041A">
        <w:t xml:space="preserve"> pedestrians cannot give rise to liability in negligence. </w:t>
      </w:r>
    </w:p>
    <w:p w14:paraId="1900DA57" w14:textId="77777777" w:rsidR="0019789C" w:rsidRPr="0080041A" w:rsidRDefault="0019789C" w:rsidP="00683CF7"/>
    <w:p w14:paraId="50C50483" w14:textId="50B0E2BE" w:rsidR="0019789C" w:rsidRPr="0080041A" w:rsidRDefault="0019789C" w:rsidP="00683CF7">
      <w:r w:rsidRPr="0080041A">
        <w:t xml:space="preserve">In the Scottish case of </w:t>
      </w:r>
      <w:r w:rsidRPr="000558B4">
        <w:rPr>
          <w:rStyle w:val="case"/>
        </w:rPr>
        <w:t>M’Kibbin v Glasgow Corporation</w:t>
      </w:r>
      <w:r w:rsidRPr="0080041A">
        <w:t>,</w:t>
      </w:r>
      <w:bookmarkStart w:id="61" w:name="_Ref39501196"/>
      <w:r w:rsidRPr="0080041A">
        <w:rPr>
          <w:rStyle w:val="FootnoteReference"/>
        </w:rPr>
        <w:footnoteReference w:id="498"/>
      </w:r>
      <w:bookmarkEnd w:id="61"/>
      <w:r w:rsidRPr="0080041A">
        <w:t xml:space="preserve"> the claimant was 60 years of age and nearly blind; she was walking on the pavement and was injured when she fell into an open water hydrant left unguarded by the defendant corporation.</w:t>
      </w:r>
      <w:r w:rsidRPr="0080041A">
        <w:rPr>
          <w:rStyle w:val="FootnoteReference"/>
        </w:rPr>
        <w:footnoteReference w:id="499"/>
      </w:r>
      <w:r w:rsidRPr="0080041A">
        <w:t xml:space="preserve"> The lower court found in favour of the claimant</w:t>
      </w:r>
      <w:r>
        <w:t>. On appeal to</w:t>
      </w:r>
      <w:r w:rsidRPr="0080041A">
        <w:t xml:space="preserve"> the Court of Sessio</w:t>
      </w:r>
      <w:r>
        <w:t>n, the issue</w:t>
      </w:r>
      <w:r w:rsidRPr="0080041A">
        <w:t xml:space="preserve"> was the judge’s refusal to give the following direction to the jury as to the duty of care:</w:t>
      </w:r>
    </w:p>
    <w:p w14:paraId="314AE551" w14:textId="0970440D" w:rsidR="0019789C" w:rsidRDefault="0019789C" w:rsidP="00683CF7">
      <w:pPr>
        <w:pStyle w:val="Quote"/>
      </w:pPr>
      <w:r w:rsidRPr="0080041A">
        <w:t>That it is incumbent on the defenders as street authority to take only such precautions in the matter of the streets as are necessary to safeguard members of the public who are normal in mind and body, and that a special duty to the blind does not arise unless the special infirmity is brought directly to the defenders' notice in the individual instance.</w:t>
      </w:r>
      <w:r w:rsidRPr="0080041A">
        <w:rPr>
          <w:rStyle w:val="FootnoteReference"/>
        </w:rPr>
        <w:footnoteReference w:id="500"/>
      </w:r>
      <w:r w:rsidRPr="0080041A">
        <w:t xml:space="preserve"> </w:t>
      </w:r>
    </w:p>
    <w:p w14:paraId="32EF58C7" w14:textId="77777777" w:rsidR="0019789C" w:rsidRPr="00FA2EE6" w:rsidRDefault="0019789C" w:rsidP="00FA2EE6"/>
    <w:p w14:paraId="214C1218" w14:textId="5C2819BD" w:rsidR="0019789C" w:rsidRPr="0080041A" w:rsidRDefault="0019789C" w:rsidP="00683CF7">
      <w:r w:rsidRPr="0080041A">
        <w:t>The Court held that the refusal to give such direction was appropriate, but not because ‘there is any special duty to the blind of the city so far as the condition of the streets is concerned’, but rather because public authorities are under a duty to ensure that they do not leave open holes into which any pedestrian might fall.</w:t>
      </w:r>
      <w:r w:rsidRPr="0080041A">
        <w:rPr>
          <w:rStyle w:val="FootnoteReference"/>
        </w:rPr>
        <w:footnoteReference w:id="501"/>
      </w:r>
      <w:r w:rsidRPr="0080041A">
        <w:t xml:space="preserve"> Indeed, the arguments made by the def</w:t>
      </w:r>
      <w:r>
        <w:t>endant are a product of the times (1920),</w:t>
      </w:r>
      <w:r w:rsidRPr="0080041A">
        <w:rPr>
          <w:rStyle w:val="FootnoteReference"/>
        </w:rPr>
        <w:footnoteReference w:id="502"/>
      </w:r>
      <w:r w:rsidRPr="0080041A">
        <w:t xml:space="preserve"> </w:t>
      </w:r>
      <w:r>
        <w:t xml:space="preserve">the following words of </w:t>
      </w:r>
      <w:r w:rsidRPr="0080041A">
        <w:t xml:space="preserve">Lord Justice-Clerk </w:t>
      </w:r>
      <w:r>
        <w:t>are</w:t>
      </w:r>
      <w:r w:rsidRPr="0080041A">
        <w:t xml:space="preserve"> of note (again, given </w:t>
      </w:r>
      <w:r>
        <w:t>that they were spoken in 1920</w:t>
      </w:r>
      <w:r w:rsidRPr="0080041A">
        <w:t xml:space="preserve">): </w:t>
      </w:r>
    </w:p>
    <w:p w14:paraId="7E5EE8FF" w14:textId="77777777" w:rsidR="0019789C" w:rsidRPr="0080041A" w:rsidRDefault="0019789C" w:rsidP="00683CF7">
      <w:pPr>
        <w:pStyle w:val="Quote"/>
      </w:pPr>
      <w:r w:rsidRPr="0080041A">
        <w:lastRenderedPageBreak/>
        <w:t>I confess I demur to the view that blind people are not entitled to walk about the streets unless accompanied by some person in charge of them. I do not think that is the law. … [the claimant] was entitled to be on the street; and was entitled, in my judgment, to assume that the street was reasonably safe for her.</w:t>
      </w:r>
      <w:r w:rsidRPr="0080041A">
        <w:rPr>
          <w:rStyle w:val="FootnoteReference"/>
        </w:rPr>
        <w:footnoteReference w:id="503"/>
      </w:r>
    </w:p>
    <w:p w14:paraId="1A1D8D61" w14:textId="77777777" w:rsidR="0019789C" w:rsidRPr="0080041A" w:rsidRDefault="0019789C" w:rsidP="00683CF7"/>
    <w:p w14:paraId="7AC576C2" w14:textId="77777777" w:rsidR="0019789C" w:rsidRPr="0080041A" w:rsidRDefault="0019789C" w:rsidP="00683CF7">
      <w:r w:rsidRPr="0080041A">
        <w:t xml:space="preserve">Thirty years later in England, the Court of Appeal took the differing view in </w:t>
      </w:r>
      <w:r w:rsidRPr="00FA2EE6">
        <w:rPr>
          <w:rStyle w:val="case"/>
        </w:rPr>
        <w:t>Pritchard v Post Office</w:t>
      </w:r>
      <w:r w:rsidRPr="0080041A">
        <w:t>,</w:t>
      </w:r>
      <w:r w:rsidRPr="0080041A">
        <w:rPr>
          <w:rStyle w:val="FootnoteReference"/>
        </w:rPr>
        <w:footnoteReference w:id="504"/>
      </w:r>
      <w:r w:rsidRPr="0080041A">
        <w:t xml:space="preserve"> where the defendant opened a manhole in a pavement, and, in line with the usual practice, placed around it a light wooden structure, which was a ‘perfectly adequate warning and guard to any ordinary normal person.’</w:t>
      </w:r>
      <w:r w:rsidRPr="0080041A">
        <w:rPr>
          <w:rStyle w:val="FootnoteReference"/>
        </w:rPr>
        <w:footnoteReference w:id="505"/>
      </w:r>
      <w:r w:rsidRPr="0080041A">
        <w:t xml:space="preserve"> The plaintiff, who was blind, did not see the structure, and she fell into the manhole and sustained injury. She brought a legal action against the Post Office for negligence and nuisance. The Court of Appeal found that, in the circumstances, there was no special duty owed to ‘infirm persons’ and the Post Office was therefore not under a duty to the claimant, which was not adequately discharged by the steps taken.</w:t>
      </w:r>
      <w:r w:rsidRPr="0080041A">
        <w:rPr>
          <w:rStyle w:val="FootnoteReference"/>
        </w:rPr>
        <w:footnoteReference w:id="506"/>
      </w:r>
    </w:p>
    <w:p w14:paraId="0469FD59" w14:textId="77777777" w:rsidR="0019789C" w:rsidRPr="0080041A" w:rsidRDefault="0019789C" w:rsidP="00683CF7"/>
    <w:p w14:paraId="7128DF06" w14:textId="77777777" w:rsidR="0019789C" w:rsidRPr="0080041A" w:rsidRDefault="0019789C" w:rsidP="00683CF7">
      <w:pPr>
        <w:rPr>
          <w:lang w:bidi="en-US"/>
        </w:rPr>
      </w:pPr>
      <w:r>
        <w:rPr>
          <w:lang w:bidi="en-US"/>
        </w:rPr>
        <w:t xml:space="preserve">In </w:t>
      </w:r>
      <w:r w:rsidRPr="00FA2EE6">
        <w:rPr>
          <w:rStyle w:val="case"/>
        </w:rPr>
        <w:t>Haley v London Electricity Board</w:t>
      </w:r>
      <w:r w:rsidRPr="0080041A">
        <w:rPr>
          <w:iCs/>
          <w:lang w:bidi="en-US"/>
        </w:rPr>
        <w:t>,</w:t>
      </w:r>
      <w:bookmarkStart w:id="62" w:name="_Ref30770777"/>
      <w:r w:rsidRPr="0080041A">
        <w:rPr>
          <w:rStyle w:val="FootnoteReference"/>
          <w:lang w:bidi="en-US"/>
        </w:rPr>
        <w:footnoteReference w:id="507"/>
      </w:r>
      <w:bookmarkEnd w:id="62"/>
      <w:r w:rsidRPr="0080041A">
        <w:rPr>
          <w:iCs/>
          <w:lang w:bidi="en-US"/>
        </w:rPr>
        <w:t xml:space="preserve"> however,</w:t>
      </w:r>
      <w:r w:rsidRPr="0080041A">
        <w:rPr>
          <w:lang w:bidi="en-US"/>
        </w:rPr>
        <w:t xml:space="preserve"> </w:t>
      </w:r>
      <w:r>
        <w:rPr>
          <w:lang w:bidi="en-US"/>
        </w:rPr>
        <w:t xml:space="preserve">the House of Lords </w:t>
      </w:r>
      <w:r w:rsidRPr="0080041A">
        <w:rPr>
          <w:lang w:bidi="en-US"/>
        </w:rPr>
        <w:t>doubted the finding in</w:t>
      </w:r>
      <w:r w:rsidRPr="0080041A">
        <w:t xml:space="preserve"> Pritchard</w:t>
      </w:r>
      <w:r w:rsidRPr="0080041A">
        <w:rPr>
          <w:lang w:bidi="en-US"/>
        </w:rPr>
        <w:t xml:space="preserve">. In </w:t>
      </w:r>
      <w:r w:rsidRPr="00FA2EE6">
        <w:rPr>
          <w:rStyle w:val="case"/>
        </w:rPr>
        <w:t>Haley</w:t>
      </w:r>
      <w:r w:rsidRPr="0080041A">
        <w:rPr>
          <w:lang w:bidi="en-US"/>
        </w:rPr>
        <w:t>, the defendant company had dug up a trench and left hammer on the ground as a warning to pedestrians; the claimant was a blind man who tripped over the hammer, fell into a trench, and became almost totally deaf as a result.</w:t>
      </w:r>
      <w:r w:rsidRPr="0080041A">
        <w:rPr>
          <w:rStyle w:val="FootnoteReference"/>
          <w:lang w:bidi="en-US"/>
        </w:rPr>
        <w:footnoteReference w:id="508"/>
      </w:r>
      <w:r w:rsidRPr="0080041A">
        <w:rPr>
          <w:lang w:bidi="en-US"/>
        </w:rPr>
        <w:t xml:space="preserve"> The House of Lords debated the decision in </w:t>
      </w:r>
      <w:r w:rsidRPr="00FA2EE6">
        <w:rPr>
          <w:rStyle w:val="case"/>
        </w:rPr>
        <w:t>Pritchard</w:t>
      </w:r>
      <w:r w:rsidRPr="0080041A">
        <w:rPr>
          <w:lang w:bidi="en-US"/>
        </w:rPr>
        <w:t xml:space="preserve">, in particular whether it was authoritative and good law, as detailed by Lord Guest: ‘If </w:t>
      </w:r>
      <w:r w:rsidRPr="0080041A">
        <w:rPr>
          <w:i/>
          <w:lang w:bidi="en-US"/>
        </w:rPr>
        <w:t>Pritchard’s case</w:t>
      </w:r>
      <w:r w:rsidRPr="0080041A">
        <w:rPr>
          <w:lang w:bidi="en-US"/>
        </w:rPr>
        <w:t xml:space="preserve"> is regarded as authority for the view that there is no special duty on undertakers who interfere with the footway to take precautions for the blind, then, in my view, it was wrongly decided.’</w:t>
      </w:r>
      <w:r w:rsidRPr="0080041A">
        <w:rPr>
          <w:rStyle w:val="FootnoteReference"/>
          <w:lang w:bidi="en-US"/>
        </w:rPr>
        <w:footnoteReference w:id="509"/>
      </w:r>
      <w:r w:rsidRPr="0080041A">
        <w:rPr>
          <w:lang w:bidi="en-US"/>
        </w:rPr>
        <w:t xml:space="preserve"> </w:t>
      </w:r>
      <w:r>
        <w:rPr>
          <w:lang w:bidi="en-US"/>
        </w:rPr>
        <w:t xml:space="preserve">In the words of </w:t>
      </w:r>
      <w:r w:rsidRPr="0080041A">
        <w:rPr>
          <w:lang w:bidi="en-US"/>
        </w:rPr>
        <w:t xml:space="preserve">Lord Reid: </w:t>
      </w:r>
    </w:p>
    <w:p w14:paraId="4800E303" w14:textId="77777777" w:rsidR="0019789C" w:rsidRPr="0080041A" w:rsidRDefault="0019789C" w:rsidP="00683CF7">
      <w:pPr>
        <w:pStyle w:val="Quote"/>
      </w:pPr>
      <w:r w:rsidRPr="0080041A">
        <w:lastRenderedPageBreak/>
        <w:t>We are all accustomed to meeting blind people walking alone with their white sticks on city pavements. No doubt there are many places open to the public where for one reason or another one would be surprised to see a blind person walking alone, but a city pavement is not one of them. … There is evidence in this case about the number of blind people in London and it appears from Government publications that the proportion in the whole country is near one in 500. By no means all are sufficiently skilled or confident to venture out alone but the number who habitually do so must be very large. I find it quite impossible to say that it is not reasonably foreseeable that a blind person may pass along a particular pavement on a particular day.</w:t>
      </w:r>
      <w:r w:rsidRPr="0080041A">
        <w:rPr>
          <w:rStyle w:val="FootnoteReference"/>
        </w:rPr>
        <w:t xml:space="preserve"> </w:t>
      </w:r>
      <w:r w:rsidRPr="0080041A">
        <w:rPr>
          <w:rStyle w:val="FootnoteReference"/>
        </w:rPr>
        <w:footnoteReference w:id="510"/>
      </w:r>
    </w:p>
    <w:p w14:paraId="6511D16A" w14:textId="2C144FB0" w:rsidR="0019789C" w:rsidRDefault="0019789C" w:rsidP="00FA2EE6">
      <w:pPr>
        <w:ind w:firstLine="0"/>
        <w:rPr>
          <w:lang w:bidi="en-US"/>
        </w:rPr>
      </w:pPr>
      <w:r w:rsidRPr="0080041A">
        <w:rPr>
          <w:lang w:bidi="en-US"/>
        </w:rPr>
        <w:t>Hence, the House of Lords held that the duty of care owed by persons excavating a highway to guard such excavations extended to all persons who may be reasonably expected to use the highway, and this does not exclude ‘the blind or infirm’.</w:t>
      </w:r>
      <w:r w:rsidRPr="0080041A">
        <w:rPr>
          <w:rStyle w:val="FootnoteReference"/>
          <w:lang w:bidi="en-US"/>
        </w:rPr>
        <w:footnoteReference w:id="511"/>
      </w:r>
    </w:p>
    <w:p w14:paraId="779BBBDA" w14:textId="77777777" w:rsidR="0019789C" w:rsidRPr="0080041A" w:rsidRDefault="0019789C" w:rsidP="000C2325">
      <w:pPr>
        <w:ind w:firstLine="0"/>
      </w:pPr>
    </w:p>
    <w:p w14:paraId="2C828D10" w14:textId="77777777" w:rsidR="0019789C" w:rsidRPr="0080041A" w:rsidRDefault="0019789C" w:rsidP="00683CF7">
      <w:pPr>
        <w:pStyle w:val="Heading5"/>
      </w:pPr>
      <w:r w:rsidRPr="0080041A">
        <w:t>Breach of Duty</w:t>
      </w:r>
    </w:p>
    <w:p w14:paraId="3784544B" w14:textId="77777777" w:rsidR="0019789C" w:rsidRPr="0080041A" w:rsidRDefault="0019789C" w:rsidP="00683CF7">
      <w:pPr>
        <w:rPr>
          <w:lang w:bidi="en-US"/>
        </w:rPr>
      </w:pPr>
      <w:r w:rsidRPr="0080041A">
        <w:rPr>
          <w:lang w:bidi="en-US"/>
        </w:rPr>
        <w:t>Once it has been established that a duty of care exists between the claimant and the defendant, the next question is whether that duty was breached by reference to the standard of care. To clarify, the duty of care is the relationship between the claimant and the defendant, and thus may rest with anyone in a certain situation. By comparison, the standard of care is the amount of care required by people in certain situations; thus, it is a measure of care, which marks out areas that give rise to legal liability.</w:t>
      </w:r>
    </w:p>
    <w:p w14:paraId="6AA29563" w14:textId="77777777" w:rsidR="0019789C" w:rsidRPr="0080041A" w:rsidRDefault="0019789C" w:rsidP="00683CF7">
      <w:pPr>
        <w:rPr>
          <w:lang w:bidi="en-US"/>
        </w:rPr>
      </w:pPr>
    </w:p>
    <w:p w14:paraId="7A49F67D" w14:textId="3972E0A8" w:rsidR="0019789C" w:rsidRPr="0080041A" w:rsidRDefault="0019789C" w:rsidP="00683CF7">
      <w:pPr>
        <w:rPr>
          <w:lang w:bidi="en-US"/>
        </w:rPr>
      </w:pPr>
      <w:r w:rsidRPr="0080041A">
        <w:rPr>
          <w:lang w:bidi="en-US"/>
        </w:rPr>
        <w:t xml:space="preserve">A breach of duty on the part of the defendant provides the basis of fault that is generally required to establish legal liability and </w:t>
      </w:r>
      <w:r>
        <w:rPr>
          <w:lang w:bidi="en-US"/>
        </w:rPr>
        <w:t>involves two questions.</w:t>
      </w:r>
      <w:r w:rsidRPr="0080041A">
        <w:rPr>
          <w:lang w:bidi="en-US"/>
        </w:rPr>
        <w:t xml:space="preserve"> </w:t>
      </w:r>
      <w:r>
        <w:rPr>
          <w:lang w:bidi="en-US"/>
        </w:rPr>
        <w:t>First,</w:t>
      </w:r>
      <w:r w:rsidRPr="0080041A">
        <w:rPr>
          <w:lang w:bidi="en-US"/>
        </w:rPr>
        <w:t xml:space="preserve"> </w:t>
      </w:r>
      <w:r>
        <w:rPr>
          <w:lang w:bidi="en-US"/>
        </w:rPr>
        <w:t>w</w:t>
      </w:r>
      <w:r w:rsidRPr="0080041A">
        <w:rPr>
          <w:lang w:bidi="en-US"/>
        </w:rPr>
        <w:t>hat standard of care does the defendant owe the claimant?</w:t>
      </w:r>
      <w:r>
        <w:rPr>
          <w:lang w:bidi="en-US"/>
        </w:rPr>
        <w:t xml:space="preserve"> Second, w</w:t>
      </w:r>
      <w:r w:rsidRPr="0080041A">
        <w:rPr>
          <w:lang w:bidi="en-US"/>
        </w:rPr>
        <w:t xml:space="preserve">hat factors are relevant in assessing whether the defendant attained that standard – or breached the duty of care – on specific facts? </w:t>
      </w:r>
    </w:p>
    <w:p w14:paraId="02821F76" w14:textId="77777777" w:rsidR="0019789C" w:rsidRPr="0080041A" w:rsidRDefault="0019789C" w:rsidP="00683CF7">
      <w:pPr>
        <w:rPr>
          <w:lang w:bidi="en-US"/>
        </w:rPr>
      </w:pPr>
    </w:p>
    <w:p w14:paraId="54FDA3B2" w14:textId="4D3316CA" w:rsidR="0019789C" w:rsidRDefault="0019789C" w:rsidP="00683CF7">
      <w:pPr>
        <w:rPr>
          <w:lang w:bidi="en-US"/>
        </w:rPr>
      </w:pPr>
      <w:r w:rsidRPr="0080041A">
        <w:rPr>
          <w:lang w:bidi="en-US"/>
        </w:rPr>
        <w:t xml:space="preserve">As to the first </w:t>
      </w:r>
      <w:r>
        <w:rPr>
          <w:lang w:bidi="en-US"/>
        </w:rPr>
        <w:t>question</w:t>
      </w:r>
      <w:r w:rsidRPr="0080041A">
        <w:rPr>
          <w:lang w:bidi="en-US"/>
        </w:rPr>
        <w:t xml:space="preserve"> </w:t>
      </w:r>
      <w:r>
        <w:rPr>
          <w:lang w:bidi="en-US"/>
        </w:rPr>
        <w:t>regards the</w:t>
      </w:r>
      <w:r w:rsidRPr="0080041A">
        <w:rPr>
          <w:lang w:bidi="en-US"/>
        </w:rPr>
        <w:t xml:space="preserve"> standard of care</w:t>
      </w:r>
      <w:r>
        <w:rPr>
          <w:lang w:bidi="en-US"/>
        </w:rPr>
        <w:t>, and</w:t>
      </w:r>
      <w:r w:rsidRPr="0080041A">
        <w:rPr>
          <w:lang w:bidi="en-US"/>
        </w:rPr>
        <w:t xml:space="preserve"> the general test is whether the defendant acted as a reasonable, prudent person would</w:t>
      </w:r>
      <w:r>
        <w:rPr>
          <w:lang w:bidi="en-US"/>
        </w:rPr>
        <w:t xml:space="preserve"> have done</w:t>
      </w:r>
      <w:r w:rsidRPr="0080041A">
        <w:rPr>
          <w:lang w:bidi="en-US"/>
        </w:rPr>
        <w:t>.</w:t>
      </w:r>
      <w:r w:rsidRPr="0080041A">
        <w:rPr>
          <w:rStyle w:val="FootnoteReference"/>
          <w:lang w:bidi="en-US"/>
        </w:rPr>
        <w:footnoteReference w:id="512"/>
      </w:r>
      <w:r w:rsidRPr="0080041A">
        <w:t xml:space="preserve"> </w:t>
      </w:r>
      <w:r w:rsidRPr="0080041A">
        <w:rPr>
          <w:lang w:bidi="en-US"/>
        </w:rPr>
        <w:t xml:space="preserve">It is not a question of what a particular defendant should have done, but what a reasonable person </w:t>
      </w:r>
      <w:r w:rsidRPr="0080041A">
        <w:rPr>
          <w:lang w:bidi="en-US"/>
        </w:rPr>
        <w:lastRenderedPageBreak/>
        <w:t>would do in similar circumstances</w:t>
      </w:r>
      <w:r>
        <w:t>. T</w:t>
      </w:r>
      <w:r w:rsidRPr="0080041A">
        <w:rPr>
          <w:lang w:bidi="en-US"/>
        </w:rPr>
        <w:t>he obligation to take reasonable care only arises with regard to harm that is foreseeable.</w:t>
      </w:r>
      <w:bookmarkStart w:id="63" w:name="_Ref94099700"/>
      <w:r w:rsidRPr="0080041A">
        <w:rPr>
          <w:rStyle w:val="FootnoteReference"/>
          <w:lang w:bidi="en-US"/>
        </w:rPr>
        <w:footnoteReference w:id="513"/>
      </w:r>
      <w:bookmarkEnd w:id="63"/>
      <w:r w:rsidRPr="0080041A">
        <w:t xml:space="preserve"> </w:t>
      </w:r>
      <w:r w:rsidRPr="0080041A">
        <w:rPr>
          <w:lang w:bidi="en-US"/>
        </w:rPr>
        <w:t>It is an objective, rather than subjective, test in that ‘[i]t eliminates the personal equation and is independent of the idiosyncrasies of the particular person whose conduct is in question.’</w:t>
      </w:r>
      <w:r w:rsidRPr="0080041A">
        <w:rPr>
          <w:rStyle w:val="FootnoteReference"/>
          <w:lang w:bidi="en-US"/>
        </w:rPr>
        <w:footnoteReference w:id="514"/>
      </w:r>
      <w:r w:rsidRPr="0080041A">
        <w:rPr>
          <w:lang w:bidi="en-US"/>
        </w:rPr>
        <w:t xml:space="preserve"> In </w:t>
      </w:r>
      <w:r w:rsidRPr="00FA2EE6">
        <w:rPr>
          <w:rStyle w:val="case"/>
        </w:rPr>
        <w:t>Nettleship v Weston</w:t>
      </w:r>
      <w:r w:rsidRPr="0080041A">
        <w:t>,</w:t>
      </w:r>
      <w:r w:rsidRPr="0080041A">
        <w:rPr>
          <w:lang w:bidi="en-US"/>
        </w:rPr>
        <w:t xml:space="preserve"> for example, the Court of Appeal held that the duty of care owed by a learner driver to her instructor is to be judged by the same objective standard that qualified drivers owe to their passengers and other road users.</w:t>
      </w:r>
      <w:r w:rsidRPr="0080041A">
        <w:rPr>
          <w:rStyle w:val="FootnoteReference"/>
          <w:lang w:bidi="en-US"/>
        </w:rPr>
        <w:footnoteReference w:id="515"/>
      </w:r>
      <w:r w:rsidRPr="0080041A">
        <w:rPr>
          <w:lang w:bidi="en-US"/>
        </w:rPr>
        <w:t xml:space="preserve"> </w:t>
      </w:r>
    </w:p>
    <w:p w14:paraId="217DB57E" w14:textId="77777777" w:rsidR="0019789C" w:rsidRDefault="0019789C" w:rsidP="00683CF7">
      <w:pPr>
        <w:rPr>
          <w:lang w:bidi="en-US"/>
        </w:rPr>
      </w:pPr>
    </w:p>
    <w:p w14:paraId="6EA85460" w14:textId="42E4A770" w:rsidR="0019789C" w:rsidRPr="0080041A" w:rsidRDefault="0019789C" w:rsidP="00683CF7">
      <w:pPr>
        <w:rPr>
          <w:lang w:bidi="en-US"/>
        </w:rPr>
      </w:pPr>
      <w:r w:rsidRPr="0080041A">
        <w:rPr>
          <w:lang w:bidi="en-US"/>
        </w:rPr>
        <w:t>There are scenarios, however, where the ‘personal equation’ of a defendant will be taken into account; the objective ‘reasonable person’ standard of care is retained, albeit slightly modified. A modified standard is commonly seen in cases involving children (</w:t>
      </w:r>
      <w:r>
        <w:rPr>
          <w:lang w:bidi="en-US"/>
        </w:rPr>
        <w:t xml:space="preserve">a child being </w:t>
      </w:r>
      <w:r w:rsidRPr="0080041A">
        <w:rPr>
          <w:lang w:bidi="en-US"/>
        </w:rPr>
        <w:t xml:space="preserve">expected to act as a reasonable child </w:t>
      </w:r>
      <w:r>
        <w:rPr>
          <w:lang w:bidi="en-US"/>
        </w:rPr>
        <w:t xml:space="preserve">of a </w:t>
      </w:r>
      <w:r w:rsidRPr="0080041A">
        <w:rPr>
          <w:lang w:bidi="en-US"/>
        </w:rPr>
        <w:t>similar age</w:t>
      </w:r>
      <w:r>
        <w:rPr>
          <w:lang w:bidi="en-US"/>
        </w:rPr>
        <w:t xml:space="preserve"> would act</w:t>
      </w:r>
      <w:r w:rsidRPr="0080041A">
        <w:rPr>
          <w:rStyle w:val="FootnoteReference"/>
          <w:lang w:bidi="en-US"/>
        </w:rPr>
        <w:footnoteReference w:id="516"/>
      </w:r>
      <w:r w:rsidRPr="0080041A">
        <w:rPr>
          <w:lang w:bidi="en-US"/>
        </w:rPr>
        <w:t xml:space="preserve">); </w:t>
      </w:r>
      <w:r>
        <w:rPr>
          <w:lang w:bidi="en-US"/>
        </w:rPr>
        <w:t xml:space="preserve">and </w:t>
      </w:r>
      <w:r w:rsidRPr="0080041A">
        <w:rPr>
          <w:lang w:bidi="en-US"/>
        </w:rPr>
        <w:t>emergencies (</w:t>
      </w:r>
      <w:r>
        <w:rPr>
          <w:lang w:bidi="en-US"/>
        </w:rPr>
        <w:t xml:space="preserve">where the </w:t>
      </w:r>
      <w:r w:rsidRPr="0080041A">
        <w:rPr>
          <w:lang w:bidi="en-US"/>
        </w:rPr>
        <w:t xml:space="preserve">standard is relaxed to take into account </w:t>
      </w:r>
      <w:r>
        <w:rPr>
          <w:lang w:bidi="en-US"/>
        </w:rPr>
        <w:t xml:space="preserve">the </w:t>
      </w:r>
      <w:r w:rsidRPr="0080041A">
        <w:rPr>
          <w:lang w:bidi="en-US"/>
        </w:rPr>
        <w:t>exigencies of the situation</w:t>
      </w:r>
      <w:r w:rsidRPr="0080041A">
        <w:rPr>
          <w:rStyle w:val="FootnoteReference"/>
          <w:lang w:bidi="en-US"/>
        </w:rPr>
        <w:footnoteReference w:id="517"/>
      </w:r>
      <w:r w:rsidRPr="0080041A">
        <w:rPr>
          <w:lang w:bidi="en-US"/>
        </w:rPr>
        <w:t>)</w:t>
      </w:r>
      <w:r>
        <w:rPr>
          <w:lang w:bidi="en-US"/>
        </w:rPr>
        <w:t>.</w:t>
      </w:r>
      <w:r w:rsidRPr="0080041A">
        <w:rPr>
          <w:lang w:bidi="en-US"/>
        </w:rPr>
        <w:t xml:space="preserve"> </w:t>
      </w:r>
      <w:r>
        <w:rPr>
          <w:lang w:bidi="en-US"/>
        </w:rPr>
        <w:t>A modified standard is also used in cases where the defendant has an i</w:t>
      </w:r>
      <w:r w:rsidRPr="0080041A">
        <w:rPr>
          <w:lang w:bidi="en-US"/>
        </w:rPr>
        <w:t xml:space="preserve">mpairment or illness </w:t>
      </w:r>
      <w:r>
        <w:rPr>
          <w:lang w:bidi="en-US"/>
        </w:rPr>
        <w:t xml:space="preserve">– that is, the defendant is </w:t>
      </w:r>
      <w:r w:rsidRPr="0080041A">
        <w:rPr>
          <w:lang w:bidi="en-US"/>
        </w:rPr>
        <w:t>held to the reasonable person standard unless 100% free of fault</w:t>
      </w:r>
      <w:r>
        <w:rPr>
          <w:lang w:bidi="en-US"/>
        </w:rPr>
        <w:t>.</w:t>
      </w:r>
      <w:r w:rsidRPr="0080041A">
        <w:rPr>
          <w:rStyle w:val="FootnoteReference"/>
          <w:lang w:bidi="en-US"/>
        </w:rPr>
        <w:footnoteReference w:id="518"/>
      </w:r>
      <w:r w:rsidRPr="0080041A">
        <w:rPr>
          <w:lang w:bidi="en-US"/>
        </w:rPr>
        <w:t xml:space="preserve"> In </w:t>
      </w:r>
      <w:r w:rsidRPr="00FA2EE6">
        <w:rPr>
          <w:rStyle w:val="case"/>
        </w:rPr>
        <w:t>Mansfield v Weetabix</w:t>
      </w:r>
      <w:r w:rsidRPr="0080041A">
        <w:rPr>
          <w:lang w:bidi="en-US"/>
        </w:rPr>
        <w:t>,</w:t>
      </w:r>
      <w:r>
        <w:rPr>
          <w:rStyle w:val="FootnoteReference"/>
          <w:lang w:bidi="en-US"/>
        </w:rPr>
        <w:footnoteReference w:id="519"/>
      </w:r>
      <w:r w:rsidRPr="0080041A">
        <w:rPr>
          <w:lang w:bidi="en-US"/>
        </w:rPr>
        <w:t xml:space="preserve"> for example, the defendant caused injury </w:t>
      </w:r>
      <w:r>
        <w:rPr>
          <w:lang w:bidi="en-US"/>
        </w:rPr>
        <w:t xml:space="preserve">to another </w:t>
      </w:r>
      <w:r w:rsidRPr="0080041A">
        <w:rPr>
          <w:lang w:bidi="en-US"/>
        </w:rPr>
        <w:t>while driving in a hypoglycaemi</w:t>
      </w:r>
      <w:r>
        <w:rPr>
          <w:lang w:bidi="en-US"/>
        </w:rPr>
        <w:t>c</w:t>
      </w:r>
      <w:r w:rsidRPr="0080041A">
        <w:rPr>
          <w:lang w:bidi="en-US"/>
        </w:rPr>
        <w:t xml:space="preserve"> state</w:t>
      </w:r>
      <w:r>
        <w:rPr>
          <w:lang w:bidi="en-US"/>
        </w:rPr>
        <w:t xml:space="preserve"> of which he was unaware.</w:t>
      </w:r>
      <w:r w:rsidRPr="0080041A">
        <w:rPr>
          <w:lang w:bidi="en-US"/>
        </w:rPr>
        <w:t xml:space="preserve"> </w:t>
      </w:r>
      <w:r>
        <w:rPr>
          <w:lang w:bidi="en-US"/>
        </w:rPr>
        <w:t>It was held that th</w:t>
      </w:r>
      <w:r w:rsidRPr="0080041A">
        <w:rPr>
          <w:lang w:bidi="en-US"/>
        </w:rPr>
        <w:t>e standard of care such a driver was obliged to show other road users was that of ‘a reasonably competent driver unaware that he is or may be suffering from a condition that impairs his ability to drive’.</w:t>
      </w:r>
      <w:r w:rsidRPr="0080041A">
        <w:rPr>
          <w:rStyle w:val="FootnoteReference"/>
          <w:lang w:bidi="en-US"/>
        </w:rPr>
        <w:footnoteReference w:id="520"/>
      </w:r>
    </w:p>
    <w:p w14:paraId="4AB9CA28" w14:textId="77777777" w:rsidR="0019789C" w:rsidRPr="0080041A" w:rsidRDefault="0019789C" w:rsidP="00683CF7">
      <w:pPr>
        <w:rPr>
          <w:lang w:bidi="en-US"/>
        </w:rPr>
      </w:pPr>
    </w:p>
    <w:p w14:paraId="40FE51A6" w14:textId="64A47CB5" w:rsidR="0019789C" w:rsidRPr="0080041A" w:rsidRDefault="0019789C" w:rsidP="00D52785">
      <w:pPr>
        <w:ind w:firstLine="360"/>
        <w:rPr>
          <w:lang w:bidi="en-US"/>
        </w:rPr>
      </w:pPr>
      <w:r w:rsidRPr="0080041A">
        <w:rPr>
          <w:lang w:bidi="en-US"/>
        </w:rPr>
        <w:t>As to the second</w:t>
      </w:r>
      <w:r>
        <w:rPr>
          <w:lang w:bidi="en-US"/>
        </w:rPr>
        <w:t>, at</w:t>
      </w:r>
      <w:r w:rsidRPr="0080041A">
        <w:rPr>
          <w:lang w:bidi="en-US"/>
        </w:rPr>
        <w:t xml:space="preserve"> common law, the courts have identified a range of relevant factors in assessing whether the defendant attained the standard of care, or breached it, which are essentially a balancing act between harm and precautions:</w:t>
      </w:r>
    </w:p>
    <w:p w14:paraId="778F1A1A" w14:textId="77777777" w:rsidR="0019789C" w:rsidRPr="0080041A" w:rsidRDefault="0019789C" w:rsidP="00427643">
      <w:pPr>
        <w:pStyle w:val="ListParagraph"/>
        <w:numPr>
          <w:ilvl w:val="0"/>
          <w:numId w:val="20"/>
        </w:numPr>
        <w:rPr>
          <w:lang w:bidi="en-US"/>
        </w:rPr>
      </w:pPr>
      <w:r w:rsidRPr="0080041A">
        <w:rPr>
          <w:lang w:bidi="en-US"/>
        </w:rPr>
        <w:t>The likelihood of harm – ie was the harm reasonably foreseeable?</w:t>
      </w:r>
      <w:r w:rsidRPr="0080041A">
        <w:rPr>
          <w:rStyle w:val="FootnoteReference"/>
          <w:lang w:bidi="en-US"/>
        </w:rPr>
        <w:footnoteReference w:id="521"/>
      </w:r>
      <w:r w:rsidRPr="0080041A">
        <w:rPr>
          <w:lang w:bidi="en-US"/>
        </w:rPr>
        <w:t xml:space="preserve"> </w:t>
      </w:r>
    </w:p>
    <w:p w14:paraId="47E95E9E" w14:textId="637265CF" w:rsidR="0019789C" w:rsidRPr="0080041A" w:rsidRDefault="0019789C" w:rsidP="00427643">
      <w:pPr>
        <w:pStyle w:val="ListParagraph"/>
        <w:numPr>
          <w:ilvl w:val="0"/>
          <w:numId w:val="20"/>
        </w:numPr>
        <w:rPr>
          <w:lang w:bidi="en-US"/>
        </w:rPr>
      </w:pPr>
      <w:r w:rsidRPr="0080041A">
        <w:rPr>
          <w:lang w:bidi="en-US"/>
        </w:rPr>
        <w:lastRenderedPageBreak/>
        <w:t>The seriousness of harm –</w:t>
      </w:r>
      <w:r>
        <w:rPr>
          <w:lang w:bidi="en-US"/>
        </w:rPr>
        <w:t xml:space="preserve"> </w:t>
      </w:r>
      <w:r w:rsidRPr="0080041A">
        <w:rPr>
          <w:lang w:bidi="en-US"/>
        </w:rPr>
        <w:t>ie how serious or severe is the harm likely to be if it does occur?</w:t>
      </w:r>
      <w:r w:rsidRPr="0080041A">
        <w:rPr>
          <w:rStyle w:val="FootnoteReference"/>
          <w:lang w:bidi="en-US"/>
        </w:rPr>
        <w:footnoteReference w:id="522"/>
      </w:r>
      <w:r w:rsidRPr="0080041A">
        <w:t xml:space="preserve"> </w:t>
      </w:r>
    </w:p>
    <w:p w14:paraId="5EDFA0F3" w14:textId="77777777" w:rsidR="0019789C" w:rsidRPr="0080041A" w:rsidRDefault="0019789C" w:rsidP="00427643">
      <w:pPr>
        <w:pStyle w:val="ListParagraph"/>
        <w:numPr>
          <w:ilvl w:val="0"/>
          <w:numId w:val="20"/>
        </w:numPr>
        <w:rPr>
          <w:lang w:bidi="en-US"/>
        </w:rPr>
      </w:pPr>
      <w:r w:rsidRPr="0080041A">
        <w:rPr>
          <w:lang w:bidi="en-US"/>
        </w:rPr>
        <w:t>The burden or ease of taking precautions – ie how easy is it to protect against this harm, or what is the cost of taking precautions?</w:t>
      </w:r>
      <w:r w:rsidRPr="0080041A">
        <w:rPr>
          <w:rStyle w:val="FootnoteReference"/>
          <w:lang w:bidi="en-US"/>
        </w:rPr>
        <w:footnoteReference w:id="523"/>
      </w:r>
    </w:p>
    <w:p w14:paraId="442E640B" w14:textId="77777777" w:rsidR="0019789C" w:rsidRPr="0080041A" w:rsidRDefault="0019789C" w:rsidP="00427643">
      <w:pPr>
        <w:pStyle w:val="ListParagraph"/>
        <w:numPr>
          <w:ilvl w:val="0"/>
          <w:numId w:val="20"/>
        </w:numPr>
        <w:rPr>
          <w:lang w:bidi="en-US"/>
        </w:rPr>
      </w:pPr>
      <w:r w:rsidRPr="0080041A">
        <w:rPr>
          <w:lang w:bidi="en-US"/>
        </w:rPr>
        <w:t>The benefits to be gained – ie the social benefit of taking precautions, or put differently: ‘You must balance the risk against the end to be achieved.’</w:t>
      </w:r>
      <w:r w:rsidRPr="0080041A">
        <w:rPr>
          <w:rStyle w:val="FootnoteReference"/>
          <w:lang w:bidi="en-US"/>
        </w:rPr>
        <w:footnoteReference w:id="524"/>
      </w:r>
    </w:p>
    <w:p w14:paraId="70B2A021" w14:textId="77777777" w:rsidR="0019789C" w:rsidRDefault="0019789C" w:rsidP="00D52785">
      <w:pPr>
        <w:ind w:firstLine="0"/>
        <w:rPr>
          <w:lang w:bidi="en-US"/>
        </w:rPr>
      </w:pPr>
    </w:p>
    <w:p w14:paraId="548D2DEE" w14:textId="1357F061" w:rsidR="0019789C" w:rsidRPr="0080041A" w:rsidRDefault="0019789C" w:rsidP="00D52785">
      <w:pPr>
        <w:ind w:firstLine="0"/>
        <w:rPr>
          <w:lang w:bidi="en-US"/>
        </w:rPr>
      </w:pPr>
      <w:r>
        <w:rPr>
          <w:lang w:bidi="en-US"/>
        </w:rPr>
        <w:t xml:space="preserve">Moreover, </w:t>
      </w:r>
      <w:r w:rsidRPr="0080041A">
        <w:rPr>
          <w:lang w:bidi="en-US"/>
        </w:rPr>
        <w:t xml:space="preserve">by virtue of s 1 </w:t>
      </w:r>
      <w:r>
        <w:rPr>
          <w:lang w:bidi="en-US"/>
        </w:rPr>
        <w:t xml:space="preserve">of the </w:t>
      </w:r>
      <w:r w:rsidRPr="0080041A">
        <w:rPr>
          <w:lang w:bidi="en-US"/>
        </w:rPr>
        <w:t>Compensation Act 2006:</w:t>
      </w:r>
    </w:p>
    <w:p w14:paraId="4727F5A7" w14:textId="77777777" w:rsidR="0019789C" w:rsidRPr="0080041A" w:rsidRDefault="0019789C" w:rsidP="00683CF7">
      <w:pPr>
        <w:pStyle w:val="Quote"/>
      </w:pPr>
      <w:r w:rsidRPr="0080041A">
        <w:t>A court considering a claim in negligence or breach of statutory duty may, in determining whether the defendant should have taken particular steps to meet a standard of care (whether by taking precautions against a risk or otherwise), have regard to whether a requirement to take those steps might—</w:t>
      </w:r>
    </w:p>
    <w:p w14:paraId="6307DA9D" w14:textId="77777777" w:rsidR="0019789C" w:rsidRPr="0080041A" w:rsidRDefault="0019789C" w:rsidP="00683CF7">
      <w:pPr>
        <w:pStyle w:val="Quote"/>
      </w:pPr>
      <w:r w:rsidRPr="0080041A">
        <w:t>(a) prevent a desirable activity from being undertaken at all, to a particular extent or in a particular way, or</w:t>
      </w:r>
    </w:p>
    <w:p w14:paraId="11318802" w14:textId="2FAD67D8" w:rsidR="0019789C" w:rsidRPr="00AE3A75" w:rsidRDefault="0019789C" w:rsidP="00D52785">
      <w:pPr>
        <w:pStyle w:val="Quote"/>
      </w:pPr>
      <w:r w:rsidRPr="0080041A">
        <w:t>(b) discourage persons from undertaking functions in connection with a desirable activity.</w:t>
      </w:r>
    </w:p>
    <w:p w14:paraId="17F5256B" w14:textId="77777777" w:rsidR="0019789C" w:rsidRPr="0080041A" w:rsidRDefault="0019789C" w:rsidP="00683CF7"/>
    <w:p w14:paraId="32A93E0F" w14:textId="1137D9B6" w:rsidR="0019789C" w:rsidRPr="0080041A" w:rsidRDefault="0019789C" w:rsidP="00683CF7">
      <w:pPr>
        <w:ind w:firstLine="360"/>
        <w:rPr>
          <w:iCs/>
          <w:lang w:bidi="en-US"/>
        </w:rPr>
      </w:pPr>
      <w:r w:rsidRPr="0080041A">
        <w:t xml:space="preserve">In </w:t>
      </w:r>
      <w:r w:rsidRPr="00D52785">
        <w:rPr>
          <w:rStyle w:val="case"/>
        </w:rPr>
        <w:t>Haley v London Electricity Board</w:t>
      </w:r>
      <w:r w:rsidRPr="0080041A">
        <w:rPr>
          <w:iCs/>
          <w:lang w:bidi="en-US"/>
        </w:rPr>
        <w:t>, for example, the House of Lords held that the hammer used to guard against the open trench was not adequate or sufficient to give warning for a blind person who was taking the usual precautions by using their white cane.</w:t>
      </w:r>
      <w:r w:rsidRPr="0080041A">
        <w:rPr>
          <w:rStyle w:val="FootnoteReference"/>
          <w:iCs/>
          <w:lang w:bidi="en-US"/>
        </w:rPr>
        <w:footnoteReference w:id="525"/>
      </w:r>
      <w:r w:rsidRPr="0080041A">
        <w:rPr>
          <w:iCs/>
          <w:lang w:bidi="en-US"/>
        </w:rPr>
        <w:t xml:space="preserve"> As to the type of precautions necessary, Lord Hudson noted that a piece of portable equipment, like that in </w:t>
      </w:r>
      <w:r w:rsidRPr="00D52785">
        <w:rPr>
          <w:rStyle w:val="case"/>
        </w:rPr>
        <w:t>Pritchard</w:t>
      </w:r>
      <w:r w:rsidRPr="0080041A">
        <w:rPr>
          <w:iCs/>
          <w:lang w:bidi="en-US"/>
        </w:rPr>
        <w:t xml:space="preserve">, might well suffice, but that ‘extravagant precautions’ were not required, nor was it necessary to provide special protection </w:t>
      </w:r>
      <w:r>
        <w:rPr>
          <w:iCs/>
          <w:lang w:bidi="en-US"/>
        </w:rPr>
        <w:t>from</w:t>
      </w:r>
      <w:r w:rsidRPr="0080041A">
        <w:rPr>
          <w:iCs/>
          <w:lang w:bidi="en-US"/>
        </w:rPr>
        <w:t xml:space="preserve"> all obstacles, such as lamp posts, trees or parking meters.</w:t>
      </w:r>
      <w:r w:rsidRPr="0080041A">
        <w:rPr>
          <w:rStyle w:val="FootnoteReference"/>
          <w:iCs/>
          <w:lang w:bidi="en-US"/>
        </w:rPr>
        <w:footnoteReference w:id="526"/>
      </w:r>
      <w:r>
        <w:rPr>
          <w:iCs/>
          <w:lang w:bidi="en-US"/>
        </w:rPr>
        <w:t xml:space="preserve"> Likewise, </w:t>
      </w:r>
      <w:r w:rsidRPr="0080041A">
        <w:rPr>
          <w:iCs/>
          <w:lang w:bidi="en-US"/>
        </w:rPr>
        <w:t xml:space="preserve">Lord Reid rejected the view that taking precautions in such circumstances would be ‘unreasonably difficult or expensive’, and </w:t>
      </w:r>
      <w:r>
        <w:rPr>
          <w:iCs/>
          <w:lang w:bidi="en-US"/>
        </w:rPr>
        <w:t xml:space="preserve">considered </w:t>
      </w:r>
      <w:r w:rsidRPr="0080041A">
        <w:rPr>
          <w:iCs/>
          <w:lang w:bidi="en-US"/>
        </w:rPr>
        <w:t>that it was simply about taking reasonable precautions</w:t>
      </w:r>
      <w:r>
        <w:rPr>
          <w:iCs/>
          <w:lang w:bidi="en-US"/>
        </w:rPr>
        <w:t>. In his words:</w:t>
      </w:r>
    </w:p>
    <w:p w14:paraId="21BE842B" w14:textId="77777777" w:rsidR="0019789C" w:rsidRPr="0080041A" w:rsidRDefault="0019789C" w:rsidP="00683CF7">
      <w:pPr>
        <w:pStyle w:val="Quote"/>
      </w:pPr>
      <w:r w:rsidRPr="0080041A">
        <w:lastRenderedPageBreak/>
        <w:t>It appears to me that the ordinary principles of the common law must apply in streets as well as elsewhere, and that fundamentally they depend on what a reasonable man, careful of his neighbour’s safety, would do having the knowledge which a reasonable man in the position of the defendant must be deemed to have.</w:t>
      </w:r>
      <w:r w:rsidRPr="0080041A">
        <w:rPr>
          <w:rStyle w:val="FootnoteReference"/>
          <w:iCs w:val="0"/>
        </w:rPr>
        <w:footnoteReference w:id="527"/>
      </w:r>
    </w:p>
    <w:p w14:paraId="24E11A5F" w14:textId="77777777" w:rsidR="0019789C" w:rsidRPr="0080041A" w:rsidRDefault="0019789C" w:rsidP="00683CF7"/>
    <w:p w14:paraId="6ABD838E" w14:textId="77777777" w:rsidR="0019789C" w:rsidRPr="0080041A" w:rsidRDefault="0019789C" w:rsidP="00683CF7">
      <w:pPr>
        <w:pStyle w:val="Heading5"/>
      </w:pPr>
      <w:r w:rsidRPr="0080041A">
        <w:t>Causation</w:t>
      </w:r>
    </w:p>
    <w:p w14:paraId="7DDA9488" w14:textId="26A7D989" w:rsidR="0019789C" w:rsidRPr="0080041A" w:rsidRDefault="0019789C" w:rsidP="00683CF7">
      <w:pPr>
        <w:rPr>
          <w:lang w:bidi="en-US"/>
        </w:rPr>
      </w:pPr>
      <w:r>
        <w:rPr>
          <w:lang w:bidi="en-US"/>
        </w:rPr>
        <w:t xml:space="preserve">If it is shown </w:t>
      </w:r>
      <w:r w:rsidRPr="0080041A">
        <w:rPr>
          <w:lang w:bidi="en-US"/>
        </w:rPr>
        <w:t xml:space="preserve">that a duty of care was owed to the claimant and </w:t>
      </w:r>
      <w:r>
        <w:rPr>
          <w:lang w:bidi="en-US"/>
        </w:rPr>
        <w:t xml:space="preserve">that </w:t>
      </w:r>
      <w:r w:rsidRPr="0080041A">
        <w:rPr>
          <w:lang w:bidi="en-US"/>
        </w:rPr>
        <w:t xml:space="preserve">the defendant breached that duty, the claimant must </w:t>
      </w:r>
      <w:r>
        <w:rPr>
          <w:lang w:bidi="en-US"/>
        </w:rPr>
        <w:t xml:space="preserve">then </w:t>
      </w:r>
      <w:r w:rsidRPr="0080041A">
        <w:rPr>
          <w:lang w:bidi="en-US"/>
        </w:rPr>
        <w:t xml:space="preserve">prove that the defendant’s breach of </w:t>
      </w:r>
      <w:r>
        <w:rPr>
          <w:lang w:bidi="en-US"/>
        </w:rPr>
        <w:t xml:space="preserve">the </w:t>
      </w:r>
      <w:r w:rsidRPr="0080041A">
        <w:rPr>
          <w:lang w:bidi="en-US"/>
        </w:rPr>
        <w:t xml:space="preserve">duty of care resulted in </w:t>
      </w:r>
      <w:r>
        <w:rPr>
          <w:lang w:bidi="en-US"/>
        </w:rPr>
        <w:t>their</w:t>
      </w:r>
      <w:r w:rsidRPr="0080041A">
        <w:rPr>
          <w:lang w:bidi="en-US"/>
        </w:rPr>
        <w:t xml:space="preserve"> injury, loss or harm. Causation is an essential component of the tort of negligence because requiring ‘[a] causal connection between conduct and harm ensures that in general we impose liability only on those who, by intervening in the world, have changed the course of events for the worse.’</w:t>
      </w:r>
      <w:r w:rsidRPr="0080041A">
        <w:rPr>
          <w:rStyle w:val="FootnoteReference"/>
          <w:lang w:bidi="en-US"/>
        </w:rPr>
        <w:footnoteReference w:id="528"/>
      </w:r>
      <w:r w:rsidRPr="0080041A">
        <w:rPr>
          <w:lang w:bidi="en-US"/>
        </w:rPr>
        <w:t xml:space="preserve"> This step looks at the core causation principles: the ‘but for test’, intervening acts, remoteness of the injury, loss or harm, and the ‘eggshell skull rule’. </w:t>
      </w:r>
    </w:p>
    <w:p w14:paraId="45812862" w14:textId="77777777" w:rsidR="0019789C" w:rsidRPr="0080041A" w:rsidRDefault="0019789C" w:rsidP="00683CF7">
      <w:pPr>
        <w:rPr>
          <w:lang w:bidi="en-US"/>
        </w:rPr>
      </w:pPr>
    </w:p>
    <w:p w14:paraId="06F6FE90" w14:textId="7EF29523" w:rsidR="0019789C" w:rsidRPr="0080041A" w:rsidRDefault="0019789C" w:rsidP="00683CF7">
      <w:pPr>
        <w:rPr>
          <w:lang w:bidi="en-US"/>
        </w:rPr>
      </w:pPr>
      <w:r w:rsidRPr="0080041A">
        <w:rPr>
          <w:lang w:bidi="en-US"/>
        </w:rPr>
        <w:t xml:space="preserve">The first step </w:t>
      </w:r>
      <w:r>
        <w:rPr>
          <w:lang w:bidi="en-US"/>
        </w:rPr>
        <w:t xml:space="preserve">in </w:t>
      </w:r>
      <w:r w:rsidRPr="0080041A">
        <w:rPr>
          <w:lang w:bidi="en-US"/>
        </w:rPr>
        <w:t xml:space="preserve">determining </w:t>
      </w:r>
      <w:r>
        <w:rPr>
          <w:lang w:bidi="en-US"/>
        </w:rPr>
        <w:t>whether there was</w:t>
      </w:r>
      <w:r w:rsidRPr="0080041A">
        <w:rPr>
          <w:lang w:bidi="en-US"/>
        </w:rPr>
        <w:t xml:space="preserve"> </w:t>
      </w:r>
      <w:r>
        <w:rPr>
          <w:lang w:bidi="en-US"/>
        </w:rPr>
        <w:t xml:space="preserve">a </w:t>
      </w:r>
      <w:r w:rsidRPr="0080041A">
        <w:rPr>
          <w:lang w:bidi="en-US"/>
        </w:rPr>
        <w:t>causal link is often referred to as ‘causation in fact’ and relies on the ‘but for’ test:</w:t>
      </w:r>
    </w:p>
    <w:p w14:paraId="4C908E50" w14:textId="77777777" w:rsidR="0019789C" w:rsidRPr="0080041A" w:rsidRDefault="0019789C" w:rsidP="00683CF7">
      <w:pPr>
        <w:pStyle w:val="Quote"/>
      </w:pPr>
      <w:r w:rsidRPr="0080041A">
        <w:t>If you can say that the damage would not have happened but for a particular fault, then that fault is in fact a cause of the damage; but if you can say that the damage would have happene</w:t>
      </w:r>
      <w:r>
        <w:t>d regardless of</w:t>
      </w:r>
      <w:r w:rsidRPr="0080041A">
        <w:t xml:space="preserve"> fault, then the fault is not a cause of the damage.</w:t>
      </w:r>
      <w:r w:rsidRPr="0080041A">
        <w:rPr>
          <w:rStyle w:val="FootnoteReference"/>
        </w:rPr>
        <w:footnoteReference w:id="529"/>
      </w:r>
    </w:p>
    <w:p w14:paraId="60B06F26" w14:textId="77777777" w:rsidR="0019789C" w:rsidRPr="0080041A" w:rsidRDefault="0019789C" w:rsidP="00D52785">
      <w:pPr>
        <w:ind w:firstLine="0"/>
        <w:rPr>
          <w:lang w:bidi="en-US"/>
        </w:rPr>
      </w:pPr>
      <w:r w:rsidRPr="0080041A">
        <w:rPr>
          <w:lang w:bidi="en-US"/>
        </w:rPr>
        <w:t xml:space="preserve">‘But for’ causation is a precondition to most negligence claims and the test works well when there is only one possible cause. For example, where a public authority fails to adequately guard against an open trench they created, it is likely that the injury would not have occurred ‘but for’ the authority’s breach of the common law duty of care. Yet the approach proves problematic when there are multiple or alternative causes, and there is no uniform causation test in such cases, but rather a range of piecemeal </w:t>
      </w:r>
      <w:r w:rsidRPr="0080041A">
        <w:rPr>
          <w:lang w:bidi="en-US"/>
        </w:rPr>
        <w:lastRenderedPageBreak/>
        <w:t>approaches.</w:t>
      </w:r>
      <w:r w:rsidRPr="0080041A">
        <w:rPr>
          <w:rStyle w:val="FootnoteReference"/>
          <w:lang w:bidi="en-US"/>
        </w:rPr>
        <w:footnoteReference w:id="530"/>
      </w:r>
      <w:r w:rsidRPr="0080041A">
        <w:rPr>
          <w:lang w:bidi="en-US"/>
        </w:rPr>
        <w:t xml:space="preserve"> This aspect of causation is convoluted and tends to rely heavily on the specific facts of a given case; thus, while a complete discussion of the various topics is beyond the scope of this project,</w:t>
      </w:r>
      <w:r w:rsidRPr="0080041A">
        <w:rPr>
          <w:rStyle w:val="FootnoteReference"/>
          <w:lang w:bidi="en-US"/>
        </w:rPr>
        <w:footnoteReference w:id="531"/>
      </w:r>
      <w:r w:rsidRPr="0080041A">
        <w:rPr>
          <w:lang w:bidi="en-US"/>
        </w:rPr>
        <w:t xml:space="preserve"> the approaches will be discussed in the ensuing sections where relevant.</w:t>
      </w:r>
    </w:p>
    <w:p w14:paraId="6BA4E7B5" w14:textId="77777777" w:rsidR="0019789C" w:rsidRPr="0080041A" w:rsidRDefault="0019789C" w:rsidP="00683CF7">
      <w:pPr>
        <w:rPr>
          <w:lang w:bidi="en-US"/>
        </w:rPr>
      </w:pPr>
    </w:p>
    <w:p w14:paraId="305A01F7" w14:textId="77777777" w:rsidR="0019789C" w:rsidRPr="0080041A" w:rsidRDefault="0019789C" w:rsidP="00683CF7">
      <w:pPr>
        <w:rPr>
          <w:lang w:bidi="en-US"/>
        </w:rPr>
      </w:pPr>
      <w:r w:rsidRPr="0080041A">
        <w:rPr>
          <w:lang w:bidi="en-US"/>
        </w:rPr>
        <w:t xml:space="preserve">The second step </w:t>
      </w:r>
      <w:r>
        <w:rPr>
          <w:lang w:bidi="en-US"/>
        </w:rPr>
        <w:t>in determining</w:t>
      </w:r>
      <w:r w:rsidRPr="0080041A">
        <w:rPr>
          <w:lang w:bidi="en-US"/>
        </w:rPr>
        <w:t xml:space="preserve"> causation, ‘causation in law’, aims to determine which of the ‘but for’ causes have legal significance to the</w:t>
      </w:r>
      <w:r>
        <w:rPr>
          <w:lang w:bidi="en-US"/>
        </w:rPr>
        <w:t xml:space="preserve"> </w:t>
      </w:r>
      <w:r w:rsidRPr="0080041A">
        <w:rPr>
          <w:lang w:bidi="en-US"/>
        </w:rPr>
        <w:t>claim</w:t>
      </w:r>
      <w:r>
        <w:rPr>
          <w:lang w:bidi="en-US"/>
        </w:rPr>
        <w:t xml:space="preserve"> in question</w:t>
      </w:r>
      <w:r w:rsidRPr="0080041A">
        <w:rPr>
          <w:lang w:bidi="en-US"/>
        </w:rPr>
        <w:t xml:space="preserve">. It looks at whether there is an intervening act that would ‘break the chain of causation’ linking defendant’s breach of duty and the claimant’s injury, loss or harm (also referred to by its Latin form </w:t>
      </w:r>
      <w:r w:rsidRPr="0080041A">
        <w:rPr>
          <w:i/>
          <w:lang w:bidi="en-US"/>
        </w:rPr>
        <w:t>novus actus interveniens</w:t>
      </w:r>
      <w:r w:rsidRPr="0080041A">
        <w:rPr>
          <w:lang w:bidi="en-US"/>
        </w:rPr>
        <w:t>). As stated by</w:t>
      </w:r>
      <w:r w:rsidRPr="0080041A">
        <w:t xml:space="preserve"> </w:t>
      </w:r>
      <w:r w:rsidRPr="0080041A">
        <w:rPr>
          <w:lang w:bidi="en-US"/>
        </w:rPr>
        <w:t>Lord Wright:</w:t>
      </w:r>
    </w:p>
    <w:p w14:paraId="080A3A46" w14:textId="70E22B82" w:rsidR="0019789C" w:rsidRDefault="0019789C" w:rsidP="00683CF7">
      <w:pPr>
        <w:pStyle w:val="Quote"/>
      </w:pPr>
      <w:r w:rsidRPr="0080041A">
        <w:t>To break the chain of causation it must be shown that there is something which I will call ultroneous, something unwarrantable, a new cause which disturbs the sequence of events, something which can be described as either unreasonable or extraneous or extrinsic.</w:t>
      </w:r>
      <w:r w:rsidRPr="0080041A">
        <w:rPr>
          <w:rStyle w:val="FootnoteReference"/>
        </w:rPr>
        <w:footnoteReference w:id="532"/>
      </w:r>
    </w:p>
    <w:p w14:paraId="2FAC108A" w14:textId="77777777" w:rsidR="0019789C" w:rsidRPr="00D52785" w:rsidRDefault="0019789C" w:rsidP="00D52785"/>
    <w:p w14:paraId="0B6A453B" w14:textId="11A35E59" w:rsidR="0019789C" w:rsidRPr="0080041A" w:rsidRDefault="0019789C" w:rsidP="00683CF7">
      <w:pPr>
        <w:rPr>
          <w:lang w:bidi="en-US"/>
        </w:rPr>
      </w:pPr>
      <w:r w:rsidRPr="0080041A">
        <w:rPr>
          <w:lang w:bidi="en-US"/>
        </w:rPr>
        <w:t xml:space="preserve">Intervening acts can arise in a number of situations. For example, the claimant might </w:t>
      </w:r>
      <w:r>
        <w:rPr>
          <w:lang w:bidi="en-US"/>
        </w:rPr>
        <w:t>themselves</w:t>
      </w:r>
      <w:r w:rsidRPr="0080041A">
        <w:rPr>
          <w:lang w:bidi="en-US"/>
        </w:rPr>
        <w:t xml:space="preserve"> </w:t>
      </w:r>
      <w:r>
        <w:rPr>
          <w:lang w:bidi="en-US"/>
        </w:rPr>
        <w:t xml:space="preserve">bring about an </w:t>
      </w:r>
      <w:r w:rsidRPr="0080041A">
        <w:rPr>
          <w:lang w:bidi="en-US"/>
        </w:rPr>
        <w:t>intervening act if their action was ‘utterly unreasonable’</w:t>
      </w:r>
      <w:r w:rsidRPr="0080041A">
        <w:rPr>
          <w:rStyle w:val="FootnoteReference"/>
          <w:lang w:bidi="en-US"/>
        </w:rPr>
        <w:footnoteReference w:id="533"/>
      </w:r>
      <w:r w:rsidRPr="0080041A">
        <w:rPr>
          <w:lang w:bidi="en-US"/>
        </w:rPr>
        <w:t xml:space="preserve"> or foolhardy.</w:t>
      </w:r>
      <w:r w:rsidRPr="0080041A">
        <w:rPr>
          <w:rStyle w:val="FootnoteReference"/>
          <w:lang w:bidi="en-US"/>
        </w:rPr>
        <w:footnoteReference w:id="534"/>
      </w:r>
      <w:r w:rsidRPr="0080041A">
        <w:rPr>
          <w:lang w:bidi="en-US"/>
        </w:rPr>
        <w:t xml:space="preserve"> The intervening act can also be the act of a third party, in which case the court will </w:t>
      </w:r>
      <w:r>
        <w:rPr>
          <w:lang w:bidi="en-US"/>
        </w:rPr>
        <w:t>consider</w:t>
      </w:r>
      <w:r w:rsidRPr="0080041A">
        <w:rPr>
          <w:lang w:bidi="en-US"/>
        </w:rPr>
        <w:t xml:space="preserve"> whether it was reasonably foreseeable:</w:t>
      </w:r>
    </w:p>
    <w:p w14:paraId="06EEABF3" w14:textId="77777777" w:rsidR="0019789C" w:rsidRPr="0080041A" w:rsidRDefault="0019789C" w:rsidP="00683CF7">
      <w:pPr>
        <w:pStyle w:val="Quote"/>
      </w:pPr>
      <w:r w:rsidRPr="0080041A">
        <w:t xml:space="preserve">[W]here human action forms one of the links between the original wrongdoing of the defendant and the loss suffered by the plaintiff, that action must at least have been something very likely to happen if it is not to be regarded as novus actus interveniens breaking the chain of causation. I do not think that a mere </w:t>
      </w:r>
      <w:r w:rsidRPr="0080041A">
        <w:lastRenderedPageBreak/>
        <w:t>foreseeable possibility is or should be sufficient, for then the intervening human action can more properly be regarded as a new cause than as a consequence of the original wrongdoing. But if the intervening action was likely to happen I do not think it can matter whether that action was innocent or tortious or criminal.</w:t>
      </w:r>
      <w:r w:rsidRPr="0080041A">
        <w:rPr>
          <w:rStyle w:val="FootnoteReference"/>
        </w:rPr>
        <w:footnoteReference w:id="535"/>
      </w:r>
    </w:p>
    <w:p w14:paraId="0D472FA5" w14:textId="77777777" w:rsidR="0019789C" w:rsidRPr="0080041A" w:rsidRDefault="0019789C" w:rsidP="00683CF7">
      <w:pPr>
        <w:rPr>
          <w:lang w:bidi="en-US"/>
        </w:rPr>
      </w:pPr>
    </w:p>
    <w:p w14:paraId="7EFB806A" w14:textId="6580133B" w:rsidR="0019789C" w:rsidRPr="0080041A" w:rsidRDefault="0019789C" w:rsidP="00683CF7">
      <w:pPr>
        <w:rPr>
          <w:lang w:bidi="en-US"/>
        </w:rPr>
      </w:pPr>
      <w:r w:rsidRPr="0080041A">
        <w:rPr>
          <w:lang w:bidi="en-US"/>
        </w:rPr>
        <w:t xml:space="preserve">Thirdly, as to the principle of remoteness, from the case of </w:t>
      </w:r>
      <w:r w:rsidRPr="00D52785">
        <w:rPr>
          <w:rStyle w:val="case"/>
        </w:rPr>
        <w:t>The Wagon Mound No 1</w:t>
      </w:r>
      <w:r w:rsidRPr="0080041A">
        <w:rPr>
          <w:rStyle w:val="FootnoteReference"/>
          <w:lang w:bidi="en-US"/>
        </w:rPr>
        <w:footnoteReference w:id="536"/>
      </w:r>
      <w:r w:rsidRPr="0080041A">
        <w:rPr>
          <w:lang w:bidi="en-US"/>
        </w:rPr>
        <w:t xml:space="preserve"> we know that in order to be recoverable, the type of injury, loss or harm must be reasonably foreseeable. If </w:t>
      </w:r>
      <w:r>
        <w:rPr>
          <w:lang w:bidi="en-US"/>
        </w:rPr>
        <w:t xml:space="preserve">there is </w:t>
      </w:r>
      <w:r w:rsidRPr="0080041A">
        <w:rPr>
          <w:lang w:bidi="en-US"/>
        </w:rPr>
        <w:t xml:space="preserve">a foreseeable type of damage, the defendant is liable for the full extent of it, regardless of whether the extent of damage or the chain of events that led up to it was foreseeable. For example, personal injury </w:t>
      </w:r>
      <w:r>
        <w:rPr>
          <w:lang w:bidi="en-US"/>
        </w:rPr>
        <w:t xml:space="preserve">may well be </w:t>
      </w:r>
      <w:r w:rsidRPr="0080041A">
        <w:rPr>
          <w:lang w:bidi="en-US"/>
        </w:rPr>
        <w:t xml:space="preserve">a reasonably foreseeable result of a failure to adequately guard an open trench. This issue commonly arises in cases of obstruction of the highway or road, as will be discussed below. </w:t>
      </w:r>
    </w:p>
    <w:p w14:paraId="117A5A8C" w14:textId="77777777" w:rsidR="0019789C" w:rsidRPr="0080041A" w:rsidRDefault="0019789C" w:rsidP="00683CF7">
      <w:pPr>
        <w:rPr>
          <w:lang w:bidi="en-US"/>
        </w:rPr>
      </w:pPr>
    </w:p>
    <w:p w14:paraId="1DF0600A" w14:textId="4207DE71" w:rsidR="0019789C" w:rsidRPr="0080041A" w:rsidRDefault="0019789C" w:rsidP="00683CF7">
      <w:pPr>
        <w:rPr>
          <w:lang w:bidi="en-US"/>
        </w:rPr>
      </w:pPr>
      <w:r w:rsidRPr="0080041A">
        <w:rPr>
          <w:lang w:bidi="en-US"/>
        </w:rPr>
        <w:t xml:space="preserve">Lastly, a key aspect of the remoteness principle is the ‘eggshell skull rule’, that is you must take your claimant as you find them. In </w:t>
      </w:r>
      <w:r w:rsidRPr="00D52785">
        <w:rPr>
          <w:rStyle w:val="case"/>
        </w:rPr>
        <w:t>Page v Smith</w:t>
      </w:r>
      <w:r w:rsidRPr="0080041A">
        <w:rPr>
          <w:lang w:bidi="en-US"/>
        </w:rPr>
        <w:t>,</w:t>
      </w:r>
      <w:r w:rsidRPr="0080041A">
        <w:rPr>
          <w:rStyle w:val="FootnoteReference"/>
          <w:lang w:bidi="en-US"/>
        </w:rPr>
        <w:footnoteReference w:id="537"/>
      </w:r>
      <w:r w:rsidRPr="0080041A">
        <w:t xml:space="preserve"> for example, </w:t>
      </w:r>
      <w:r w:rsidRPr="0080041A">
        <w:rPr>
          <w:lang w:bidi="en-US"/>
        </w:rPr>
        <w:t>the claimant was involved in a car accident</w:t>
      </w:r>
      <w:r>
        <w:rPr>
          <w:lang w:bidi="en-US"/>
        </w:rPr>
        <w:t>;</w:t>
      </w:r>
      <w:r w:rsidRPr="0080041A">
        <w:rPr>
          <w:lang w:bidi="en-US"/>
        </w:rPr>
        <w:t xml:space="preserve"> </w:t>
      </w:r>
      <w:r>
        <w:rPr>
          <w:lang w:bidi="en-US"/>
        </w:rPr>
        <w:t>he</w:t>
      </w:r>
      <w:r w:rsidRPr="0080041A">
        <w:rPr>
          <w:lang w:bidi="en-US"/>
        </w:rPr>
        <w:t xml:space="preserve"> sustained no physical injury</w:t>
      </w:r>
      <w:r>
        <w:rPr>
          <w:lang w:bidi="en-US"/>
        </w:rPr>
        <w:t xml:space="preserve"> but </w:t>
      </w:r>
      <w:r w:rsidRPr="0080041A">
        <w:rPr>
          <w:lang w:bidi="en-US"/>
        </w:rPr>
        <w:t xml:space="preserve">suffered a </w:t>
      </w:r>
      <w:r>
        <w:rPr>
          <w:lang w:bidi="en-US"/>
        </w:rPr>
        <w:t>recurrence</w:t>
      </w:r>
      <w:r w:rsidRPr="0080041A">
        <w:rPr>
          <w:lang w:bidi="en-US"/>
        </w:rPr>
        <w:t xml:space="preserve"> of </w:t>
      </w:r>
      <w:r>
        <w:rPr>
          <w:lang w:bidi="en-US"/>
        </w:rPr>
        <w:t>chronic fatigue syndrome</w:t>
      </w:r>
      <w:r w:rsidRPr="0080041A">
        <w:rPr>
          <w:lang w:bidi="en-US"/>
        </w:rPr>
        <w:t>.</w:t>
      </w:r>
      <w:r w:rsidRPr="0080041A">
        <w:rPr>
          <w:rStyle w:val="FootnoteReference"/>
          <w:lang w:bidi="en-US"/>
        </w:rPr>
        <w:footnoteReference w:id="538"/>
      </w:r>
      <w:r w:rsidRPr="0080041A">
        <w:rPr>
          <w:lang w:bidi="en-US"/>
        </w:rPr>
        <w:t xml:space="preserve"> </w:t>
      </w:r>
      <w:r>
        <w:rPr>
          <w:lang w:bidi="en-US"/>
        </w:rPr>
        <w:t>It was argued for t</w:t>
      </w:r>
      <w:r w:rsidRPr="0080041A">
        <w:rPr>
          <w:lang w:bidi="en-US"/>
        </w:rPr>
        <w:t>he defendan</w:t>
      </w:r>
      <w:r>
        <w:rPr>
          <w:lang w:bidi="en-US"/>
        </w:rPr>
        <w:t>t</w:t>
      </w:r>
      <w:r w:rsidRPr="0080041A">
        <w:rPr>
          <w:lang w:bidi="en-US"/>
        </w:rPr>
        <w:t xml:space="preserve"> </w:t>
      </w:r>
      <w:r>
        <w:rPr>
          <w:lang w:bidi="en-US"/>
        </w:rPr>
        <w:t xml:space="preserve">on appeal </w:t>
      </w:r>
      <w:r w:rsidRPr="0080041A">
        <w:rPr>
          <w:lang w:bidi="en-US"/>
        </w:rPr>
        <w:t>that the lower court</w:t>
      </w:r>
      <w:r w:rsidRPr="0080041A">
        <w:t xml:space="preserve"> </w:t>
      </w:r>
      <w:r w:rsidRPr="0080041A">
        <w:rPr>
          <w:lang w:bidi="en-US"/>
        </w:rPr>
        <w:t>had failed to consider whether a person of ‘reasonable fortitude’ would have suffered psychiatric injury from the accident</w:t>
      </w:r>
      <w:r>
        <w:rPr>
          <w:lang w:bidi="en-US"/>
        </w:rPr>
        <w:t>.</w:t>
      </w:r>
      <w:r w:rsidRPr="0080041A">
        <w:rPr>
          <w:lang w:bidi="en-US"/>
        </w:rPr>
        <w:t xml:space="preserve"> </w:t>
      </w:r>
      <w:r>
        <w:rPr>
          <w:lang w:bidi="en-US"/>
        </w:rPr>
        <w:t xml:space="preserve">Thus, </w:t>
      </w:r>
      <w:r w:rsidRPr="0080041A">
        <w:rPr>
          <w:lang w:bidi="en-US"/>
        </w:rPr>
        <w:t>it had wrongly decided that foreseeability of injury from nervous shock was not necessary in the case of a primary victim (ie where the claimant was directly involved in an accident and thus at risk of physical injury) as compared to a secondary victim (ie a mere spectator or bystander).</w:t>
      </w:r>
      <w:r w:rsidRPr="0080041A">
        <w:rPr>
          <w:rStyle w:val="FootnoteReference"/>
          <w:lang w:bidi="en-US"/>
        </w:rPr>
        <w:footnoteReference w:id="539"/>
      </w:r>
      <w:r w:rsidRPr="0080041A">
        <w:rPr>
          <w:lang w:bidi="en-US"/>
        </w:rPr>
        <w:t xml:space="preserve"> Lord Lloyd of Berwick noted that ‘there is no justification for regarding physical and psychiatric injury as different “kinds” of injury’; primary victims need only establish that personal injury was foreseeable, even if it did not occur</w:t>
      </w:r>
      <w:r>
        <w:rPr>
          <w:lang w:bidi="en-US"/>
        </w:rPr>
        <w:t>.</w:t>
      </w:r>
      <w:r w:rsidRPr="0080041A">
        <w:rPr>
          <w:lang w:bidi="en-US"/>
        </w:rPr>
        <w:t xml:space="preserve"> </w:t>
      </w:r>
      <w:r>
        <w:rPr>
          <w:lang w:bidi="en-US"/>
        </w:rPr>
        <w:t>H</w:t>
      </w:r>
      <w:r w:rsidRPr="0080041A">
        <w:rPr>
          <w:lang w:bidi="en-US"/>
        </w:rPr>
        <w:t>ence, there is no requirement that psychiatric injury be foreseeable, provided that physical injury was foreseeable.</w:t>
      </w:r>
      <w:r w:rsidRPr="0080041A">
        <w:rPr>
          <w:rStyle w:val="FootnoteReference"/>
          <w:lang w:bidi="en-US"/>
        </w:rPr>
        <w:footnoteReference w:id="540"/>
      </w:r>
      <w:r w:rsidRPr="0080041A">
        <w:rPr>
          <w:lang w:bidi="en-US"/>
        </w:rPr>
        <w:t xml:space="preserve"> </w:t>
      </w:r>
      <w:r>
        <w:rPr>
          <w:lang w:bidi="en-US"/>
        </w:rPr>
        <w:t>I</w:t>
      </w:r>
      <w:r w:rsidRPr="0080041A">
        <w:rPr>
          <w:lang w:bidi="en-US"/>
        </w:rPr>
        <w:t xml:space="preserve">n applying the principle that the defendant must take </w:t>
      </w:r>
      <w:r>
        <w:rPr>
          <w:lang w:bidi="en-US"/>
        </w:rPr>
        <w:t>their</w:t>
      </w:r>
      <w:r w:rsidRPr="0080041A">
        <w:rPr>
          <w:lang w:bidi="en-US"/>
        </w:rPr>
        <w:t xml:space="preserve"> victim as </w:t>
      </w:r>
      <w:r>
        <w:rPr>
          <w:lang w:bidi="en-US"/>
        </w:rPr>
        <w:t>they</w:t>
      </w:r>
      <w:r w:rsidRPr="0080041A">
        <w:rPr>
          <w:lang w:bidi="en-US"/>
        </w:rPr>
        <w:t xml:space="preserve"> find </w:t>
      </w:r>
      <w:r>
        <w:rPr>
          <w:lang w:bidi="en-US"/>
        </w:rPr>
        <w:t>them</w:t>
      </w:r>
      <w:r w:rsidRPr="0080041A">
        <w:rPr>
          <w:lang w:bidi="en-US"/>
        </w:rPr>
        <w:t xml:space="preserve">, the House of Lords held that the extent of the injury is irrelevant; the claimant’s ‘eggshell </w:t>
      </w:r>
      <w:r w:rsidRPr="0080041A">
        <w:rPr>
          <w:lang w:bidi="en-US"/>
        </w:rPr>
        <w:lastRenderedPageBreak/>
        <w:t xml:space="preserve">personality’ was of no significance since the defendant owed a duty of care to prevent personal injury, </w:t>
      </w:r>
      <w:r>
        <w:rPr>
          <w:lang w:bidi="en-US"/>
        </w:rPr>
        <w:t>whether</w:t>
      </w:r>
      <w:r w:rsidRPr="0080041A">
        <w:rPr>
          <w:lang w:bidi="en-US"/>
        </w:rPr>
        <w:t xml:space="preserve"> physical, psychiatric or both.</w:t>
      </w:r>
      <w:r w:rsidRPr="0080041A">
        <w:rPr>
          <w:rStyle w:val="FootnoteReference"/>
          <w:lang w:bidi="en-US"/>
        </w:rPr>
        <w:footnoteReference w:id="541"/>
      </w:r>
      <w:r w:rsidRPr="0080041A">
        <w:rPr>
          <w:lang w:bidi="en-US"/>
        </w:rPr>
        <w:t xml:space="preserve"> </w:t>
      </w:r>
    </w:p>
    <w:p w14:paraId="29A1156F" w14:textId="77777777" w:rsidR="0019789C" w:rsidRPr="0080041A" w:rsidRDefault="0019789C" w:rsidP="00683CF7"/>
    <w:p w14:paraId="23C006D6" w14:textId="77777777" w:rsidR="0019789C" w:rsidRPr="0080041A" w:rsidRDefault="0019789C" w:rsidP="00683CF7">
      <w:pPr>
        <w:rPr>
          <w:lang w:bidi="en-US"/>
        </w:rPr>
      </w:pPr>
      <w:r w:rsidRPr="0080041A">
        <w:rPr>
          <w:lang w:bidi="en-US"/>
        </w:rPr>
        <w:t>Accordingly, the defendant will remain liable for the injury, loss or harm even where the claimant has an unforeseeable predisposition to a particular injury or illness and suffers significantly greater damage than would be foreseeable provided that personal injury remained foreseeable.</w:t>
      </w:r>
      <w:r w:rsidRPr="0080041A">
        <w:rPr>
          <w:rStyle w:val="FootnoteReference"/>
          <w:lang w:bidi="en-US"/>
        </w:rPr>
        <w:footnoteReference w:id="542"/>
      </w:r>
      <w:r w:rsidRPr="0080041A">
        <w:rPr>
          <w:lang w:bidi="en-US"/>
        </w:rPr>
        <w:t xml:space="preserve"> A puzzling observation on the ‘eggshell skull rule’ is that it is rarely discussed in the context of a failure to safeguard pedestrians – that is, a pedestrian’s </w:t>
      </w:r>
      <w:r>
        <w:rPr>
          <w:lang w:bidi="en-US"/>
        </w:rPr>
        <w:t>visual impairment</w:t>
      </w:r>
      <w:r w:rsidRPr="0080041A">
        <w:rPr>
          <w:lang w:bidi="en-US"/>
        </w:rPr>
        <w:t xml:space="preserve"> has been used to argue that no duty of care is owed to them, yet the corresponding argument of taking their claimant as they find them</w:t>
      </w:r>
      <w:r>
        <w:rPr>
          <w:lang w:bidi="en-US"/>
        </w:rPr>
        <w:t xml:space="preserve"> </w:t>
      </w:r>
      <w:r w:rsidRPr="0080041A">
        <w:rPr>
          <w:lang w:bidi="en-US"/>
        </w:rPr>
        <w:t xml:space="preserve">is </w:t>
      </w:r>
      <w:r>
        <w:rPr>
          <w:lang w:bidi="en-US"/>
        </w:rPr>
        <w:t>absent</w:t>
      </w:r>
      <w:r w:rsidRPr="0080041A">
        <w:rPr>
          <w:lang w:bidi="en-US"/>
        </w:rPr>
        <w:t>.</w:t>
      </w:r>
    </w:p>
    <w:p w14:paraId="18D30C79" w14:textId="77777777" w:rsidR="0019789C" w:rsidRDefault="0019789C" w:rsidP="00683CF7"/>
    <w:p w14:paraId="7392316E" w14:textId="0067C3DA" w:rsidR="0019789C" w:rsidRDefault="0019789C" w:rsidP="00683CF7">
      <w:pPr>
        <w:pStyle w:val="Heading4"/>
      </w:pPr>
      <w:r w:rsidRPr="0080041A">
        <w:t xml:space="preserve">(b) </w:t>
      </w:r>
      <w:r w:rsidRPr="002A65B0">
        <w:t>Remedies</w:t>
      </w:r>
      <w:r>
        <w:t>, Sanctions or Other Outcomes</w:t>
      </w:r>
    </w:p>
    <w:p w14:paraId="0EED502E" w14:textId="34EB4E31" w:rsidR="0019789C" w:rsidRPr="00BF6C3D" w:rsidRDefault="0019789C" w:rsidP="00683CF7">
      <w:r>
        <w:tab/>
        <w:t>The most common remedy in negligence cases is compensatory damages, which are intended to be as close as possible to ‘</w:t>
      </w:r>
      <w:r w:rsidRPr="0069015E">
        <w:t>that sum of money which will put the party who has been injured, or who has suffered, in the same position as he would have been in if he had not sustained the wrong for which he is now getting his compensation or reparation.</w:t>
      </w:r>
      <w:r>
        <w:t>’</w:t>
      </w:r>
      <w:r>
        <w:rPr>
          <w:rStyle w:val="FootnoteReference"/>
        </w:rPr>
        <w:footnoteReference w:id="543"/>
      </w:r>
      <w:r>
        <w:t xml:space="preserve"> The</w:t>
      </w:r>
      <w:r w:rsidRPr="00D56614">
        <w:t xml:space="preserve"> dependent of a deceased individual may </w:t>
      </w:r>
      <w:r>
        <w:t xml:space="preserve">also </w:t>
      </w:r>
      <w:r w:rsidRPr="00D56614">
        <w:t>claim compensation under</w:t>
      </w:r>
      <w:r>
        <w:t xml:space="preserve"> s 1A of the </w:t>
      </w:r>
      <w:r w:rsidRPr="00D56614">
        <w:t>Fatal Accidents Act 1976.</w:t>
      </w:r>
      <w:r>
        <w:t xml:space="preserve"> </w:t>
      </w:r>
      <w:r w:rsidRPr="00BF6C3D">
        <w:t xml:space="preserve">Aggravated damages, </w:t>
      </w:r>
      <w:r>
        <w:t xml:space="preserve">awarded for eg injury to the claimant’s feelings, </w:t>
      </w:r>
      <w:r w:rsidRPr="00BF6C3D">
        <w:t xml:space="preserve">are </w:t>
      </w:r>
      <w:r>
        <w:t>un</w:t>
      </w:r>
      <w:r w:rsidRPr="00BF6C3D">
        <w:t xml:space="preserve">available </w:t>
      </w:r>
      <w:r>
        <w:t>for negligence claims, although</w:t>
      </w:r>
      <w:r w:rsidRPr="00872C3B">
        <w:t xml:space="preserve"> the distress suffered by the claimant may be relevant to the assessment of </w:t>
      </w:r>
      <w:r>
        <w:t xml:space="preserve">compensatory </w:t>
      </w:r>
      <w:r w:rsidRPr="00872C3B">
        <w:t>damages.</w:t>
      </w:r>
      <w:r>
        <w:rPr>
          <w:rStyle w:val="FootnoteReference"/>
        </w:rPr>
        <w:footnoteReference w:id="544"/>
      </w:r>
      <w:r>
        <w:t xml:space="preserve"> The underlying rationale is that aggravated damages conflict with</w:t>
      </w:r>
      <w:r w:rsidRPr="0052082C">
        <w:t xml:space="preserve"> </w:t>
      </w:r>
      <w:r>
        <w:t>the compensatory nature of</w:t>
      </w:r>
      <w:r w:rsidRPr="0052082C">
        <w:t xml:space="preserve"> damages </w:t>
      </w:r>
      <w:r>
        <w:t xml:space="preserve">in negligence – ie </w:t>
      </w:r>
      <w:r w:rsidRPr="0052082C">
        <w:t xml:space="preserve">to compensate the </w:t>
      </w:r>
      <w:r>
        <w:t>claimant</w:t>
      </w:r>
      <w:r w:rsidRPr="0052082C">
        <w:t xml:space="preserve"> for the loss </w:t>
      </w:r>
      <w:r>
        <w:t>they</w:t>
      </w:r>
      <w:r w:rsidRPr="0052082C">
        <w:t xml:space="preserve"> </w:t>
      </w:r>
      <w:r>
        <w:t>actually suffered, to the extent possible</w:t>
      </w:r>
      <w:r w:rsidRPr="0052082C">
        <w:t xml:space="preserve">, </w:t>
      </w:r>
      <w:r>
        <w:t>‘</w:t>
      </w:r>
      <w:r w:rsidRPr="0052082C">
        <w:t xml:space="preserve">and not to treat those damages as being a matter which reflects the degree of negligence or breach of duty of the </w:t>
      </w:r>
      <w:r w:rsidRPr="0052082C">
        <w:lastRenderedPageBreak/>
        <w:t>defendant.</w:t>
      </w:r>
      <w:r>
        <w:t>’</w:t>
      </w:r>
      <w:r>
        <w:rPr>
          <w:rStyle w:val="FootnoteReference"/>
        </w:rPr>
        <w:footnoteReference w:id="545"/>
      </w:r>
      <w:r>
        <w:t xml:space="preserve"> Nor are punitive damages (also known as exemplary damages) available in negligence claims.</w:t>
      </w:r>
      <w:r>
        <w:rPr>
          <w:rStyle w:val="FootnoteReference"/>
        </w:rPr>
        <w:footnoteReference w:id="546"/>
      </w:r>
    </w:p>
    <w:p w14:paraId="4129AA82" w14:textId="77777777" w:rsidR="0019789C" w:rsidRDefault="0019789C" w:rsidP="00683CF7">
      <w:pPr>
        <w:rPr>
          <w:highlight w:val="yellow"/>
        </w:rPr>
      </w:pPr>
    </w:p>
    <w:p w14:paraId="767F2719" w14:textId="77777777" w:rsidR="0019789C" w:rsidRDefault="0019789C" w:rsidP="00683CF7">
      <w:r>
        <w:t>If a person has suffered personal injury due to another person’s or public body’s negligence, they are entitled to compensatory</w:t>
      </w:r>
      <w:r w:rsidRPr="00872C3B">
        <w:t xml:space="preserve"> damages for pecuniary loss</w:t>
      </w:r>
      <w:r>
        <w:t xml:space="preserve"> (eg past and future</w:t>
      </w:r>
      <w:r w:rsidRPr="00872C3B">
        <w:t xml:space="preserve"> loss </w:t>
      </w:r>
      <w:r>
        <w:t>of earnings and</w:t>
      </w:r>
      <w:r w:rsidRPr="00872C3B">
        <w:t xml:space="preserve"> medical expenses, and </w:t>
      </w:r>
      <w:r>
        <w:t xml:space="preserve">loss of earning capacity) and </w:t>
      </w:r>
      <w:r w:rsidRPr="00872C3B">
        <w:t>non-pecuniary loss</w:t>
      </w:r>
      <w:r>
        <w:t xml:space="preserve"> (non-economic loss </w:t>
      </w:r>
      <w:r w:rsidRPr="00872C3B">
        <w:t>such as his pain</w:t>
      </w:r>
      <w:r>
        <w:t>,</w:t>
      </w:r>
      <w:r w:rsidRPr="00872C3B">
        <w:t xml:space="preserve"> </w:t>
      </w:r>
      <w:r>
        <w:t>suffering and loss of amenity).</w:t>
      </w:r>
      <w:r w:rsidRPr="00872C3B">
        <w:t xml:space="preserve"> </w:t>
      </w:r>
      <w:r>
        <w:t>These various forms of loss are commonly referred to as ‘heads’ of damages.</w:t>
      </w:r>
    </w:p>
    <w:p w14:paraId="070BDD2D" w14:textId="77777777" w:rsidR="0019789C" w:rsidRDefault="0019789C" w:rsidP="00683CF7"/>
    <w:p w14:paraId="6D30BAD2" w14:textId="77777777" w:rsidR="0019789C" w:rsidRDefault="0019789C" w:rsidP="00683CF7">
      <w:r>
        <w:t>In terms of non-pecuniary loss, insofar as the heads of pain and suffering can be distinguished from one another:</w:t>
      </w:r>
    </w:p>
    <w:p w14:paraId="017C0254" w14:textId="77777777" w:rsidR="0019789C" w:rsidRPr="00D41B92" w:rsidRDefault="0019789C" w:rsidP="00683CF7">
      <w:pPr>
        <w:pStyle w:val="Quote"/>
      </w:pPr>
      <w:r>
        <w:t>‘pain’ means the physical hurt or discomfort attributable to the injury itself or consequent upon it. … ‘Suffering’ on the other hand denotes the mental or emotional distress which the plaintiff may feel as a consequence of the injury: anxiety, worry, fear, torment, embarrassment and the like.</w:t>
      </w:r>
      <w:bookmarkStart w:id="64" w:name="_Ref32913653"/>
      <w:r>
        <w:rPr>
          <w:rStyle w:val="FootnoteReference"/>
        </w:rPr>
        <w:footnoteReference w:id="547"/>
      </w:r>
      <w:bookmarkEnd w:id="64"/>
      <w:r>
        <w:t xml:space="preserve"> </w:t>
      </w:r>
    </w:p>
    <w:p w14:paraId="0D7203B2" w14:textId="3821B96A" w:rsidR="0019789C" w:rsidRDefault="0019789C" w:rsidP="00AF1C0E">
      <w:pPr>
        <w:ind w:firstLine="0"/>
      </w:pPr>
      <w:r>
        <w:t>Since the loss is subjective, it requires that the claimant is aware of their pain and suffering,</w:t>
      </w:r>
      <w:bookmarkStart w:id="65" w:name="_Ref32913616"/>
      <w:r>
        <w:rPr>
          <w:rStyle w:val="FootnoteReference"/>
        </w:rPr>
        <w:footnoteReference w:id="548"/>
      </w:r>
      <w:bookmarkEnd w:id="65"/>
      <w:r>
        <w:t xml:space="preserve"> and thus this type of damages will not be awarded if the claimant is unaware due to being eg unconscious.</w:t>
      </w:r>
      <w:r w:rsidRPr="004D3AB0">
        <w:t xml:space="preserve"> </w:t>
      </w:r>
      <w:r>
        <w:t>Loss of amenity is an objective loss, and thus</w:t>
      </w:r>
      <w:r w:rsidRPr="009E4D88">
        <w:t xml:space="preserve"> </w:t>
      </w:r>
      <w:r>
        <w:t>‘</w:t>
      </w:r>
      <w:r w:rsidRPr="009E4D88">
        <w:t xml:space="preserve">valuation </w:t>
      </w:r>
      <w:r>
        <w:t xml:space="preserve">… </w:t>
      </w:r>
      <w:r w:rsidRPr="009E4D88">
        <w:t>is in no way dependent on the victim's sense of los</w:t>
      </w:r>
      <w:r>
        <w:t>s.’</w:t>
      </w:r>
      <w:r>
        <w:rPr>
          <w:rStyle w:val="FootnoteReference"/>
        </w:rPr>
        <w:footnoteReference w:id="549"/>
      </w:r>
      <w:r>
        <w:t xml:space="preserve"> This head includes eg </w:t>
      </w:r>
      <w:r w:rsidRPr="009E4D88">
        <w:t>the loss of</w:t>
      </w:r>
      <w:r>
        <w:t xml:space="preserve"> potential employment or</w:t>
      </w:r>
      <w:r w:rsidRPr="009E4D88">
        <w:t xml:space="preserve"> the ability to walk</w:t>
      </w:r>
      <w:r>
        <w:t>.</w:t>
      </w:r>
      <w:r>
        <w:rPr>
          <w:rStyle w:val="FootnoteReference"/>
        </w:rPr>
        <w:footnoteReference w:id="550"/>
      </w:r>
      <w:r w:rsidRPr="009E4D88">
        <w:t xml:space="preserve"> </w:t>
      </w:r>
      <w:r>
        <w:t xml:space="preserve">Non-pecuniary loss is said to be that which is ‘not susceptible of </w:t>
      </w:r>
      <w:r w:rsidRPr="00D41B92">
        <w:rPr>
          <w:i/>
        </w:rPr>
        <w:t>measurement</w:t>
      </w:r>
      <w:r>
        <w:t xml:space="preserve"> in money.’</w:t>
      </w:r>
      <w:r>
        <w:rPr>
          <w:rStyle w:val="FootnoteReference"/>
        </w:rPr>
        <w:footnoteReference w:id="551"/>
      </w:r>
      <w:r>
        <w:t xml:space="preserve"> Nevertheless, assessment of this type of loss is </w:t>
      </w:r>
      <w:r w:rsidRPr="004D3AB0">
        <w:t>generally</w:t>
      </w:r>
      <w:r>
        <w:t xml:space="preserve"> based on the </w:t>
      </w:r>
      <w:r w:rsidRPr="004D3AB0">
        <w:t>Judicial College</w:t>
      </w:r>
      <w:r>
        <w:t>’s</w:t>
      </w:r>
      <w:r w:rsidRPr="004D3AB0">
        <w:t xml:space="preserve"> </w:t>
      </w:r>
      <w:r>
        <w:t>‘</w:t>
      </w:r>
      <w:r w:rsidRPr="004D3AB0">
        <w:t>Guidelines for the Assessment of General Damages in Personal Injury Cases</w:t>
      </w:r>
      <w:r>
        <w:t>’,</w:t>
      </w:r>
      <w:r>
        <w:rPr>
          <w:rStyle w:val="FootnoteReference"/>
        </w:rPr>
        <w:footnoteReference w:id="552"/>
      </w:r>
      <w:r>
        <w:t xml:space="preserve"> which suggest (on the basis of past cases and collective experience) the appropriate bracket of non-pecuniary award for particular types of injury.</w:t>
      </w:r>
      <w:r>
        <w:rPr>
          <w:rStyle w:val="FootnoteReference"/>
        </w:rPr>
        <w:footnoteReference w:id="553"/>
      </w:r>
      <w:r>
        <w:t xml:space="preserve"> However, while the guidelines are commonly referenced by </w:t>
      </w:r>
      <w:r>
        <w:lastRenderedPageBreak/>
        <w:t xml:space="preserve">the courts, they </w:t>
      </w:r>
      <w:r w:rsidRPr="004D3AB0">
        <w:t xml:space="preserve">are not </w:t>
      </w:r>
      <w:r>
        <w:t>‘</w:t>
      </w:r>
      <w:r w:rsidRPr="004D3AB0">
        <w:t>law</w:t>
      </w:r>
      <w:r>
        <w:t>’</w:t>
      </w:r>
      <w:r w:rsidRPr="004D3AB0">
        <w:t xml:space="preserve"> and </w:t>
      </w:r>
      <w:r>
        <w:t>thus do</w:t>
      </w:r>
      <w:r w:rsidRPr="004D3AB0">
        <w:t xml:space="preserve"> not have</w:t>
      </w:r>
      <w:r>
        <w:t xml:space="preserve"> legal authority</w:t>
      </w:r>
      <w:r w:rsidRPr="004D3AB0">
        <w:t>.</w:t>
      </w:r>
      <w:r w:rsidRPr="00902CE1">
        <w:t xml:space="preserve"> </w:t>
      </w:r>
      <w:r>
        <w:t>The</w:t>
      </w:r>
      <w:r w:rsidRPr="00902CE1">
        <w:t xml:space="preserve"> Court of Appeal ha</w:t>
      </w:r>
      <w:r>
        <w:t>s</w:t>
      </w:r>
      <w:r w:rsidRPr="00902CE1">
        <w:t xml:space="preserve"> the responsibility for keeping guidelines</w:t>
      </w:r>
      <w:r>
        <w:t xml:space="preserve"> for non-pecuniary loss up to date.</w:t>
      </w:r>
      <w:bookmarkStart w:id="66" w:name="_Ref39502816"/>
      <w:r>
        <w:rPr>
          <w:rStyle w:val="FootnoteReference"/>
        </w:rPr>
        <w:footnoteReference w:id="554"/>
      </w:r>
      <w:bookmarkEnd w:id="66"/>
    </w:p>
    <w:p w14:paraId="6A047976" w14:textId="77777777" w:rsidR="0019789C" w:rsidRDefault="0019789C" w:rsidP="00683CF7"/>
    <w:p w14:paraId="48B4993E" w14:textId="6584F793" w:rsidR="0019789C" w:rsidRDefault="0019789C" w:rsidP="00683CF7">
      <w:r>
        <w:t>Pecuniary loss can be understood as economic or financial loss. The loss of past earnings and medical expenses up to that point are set out in the filing documents. These losses are thus more easily quantified because the aim of compensatory damages</w:t>
      </w:r>
      <w:r w:rsidRPr="00524F73">
        <w:t xml:space="preserve"> </w:t>
      </w:r>
      <w:r>
        <w:t xml:space="preserve">is to put </w:t>
      </w:r>
      <w:r w:rsidRPr="00524F73">
        <w:t xml:space="preserve">the claimant </w:t>
      </w:r>
      <w:r>
        <w:t xml:space="preserve">in the </w:t>
      </w:r>
      <w:r w:rsidRPr="00524F73">
        <w:t xml:space="preserve">position </w:t>
      </w:r>
      <w:r>
        <w:t xml:space="preserve">they would have </w:t>
      </w:r>
      <w:r w:rsidRPr="00524F73">
        <w:t>been</w:t>
      </w:r>
      <w:r>
        <w:t xml:space="preserve"> in</w:t>
      </w:r>
      <w:r w:rsidRPr="00524F73">
        <w:t xml:space="preserve"> </w:t>
      </w:r>
      <w:r>
        <w:t>had</w:t>
      </w:r>
      <w:r w:rsidRPr="00524F73">
        <w:t xml:space="preserve"> </w:t>
      </w:r>
      <w:r>
        <w:t>they not been injured.</w:t>
      </w:r>
      <w:r w:rsidRPr="00524F73">
        <w:t xml:space="preserve"> </w:t>
      </w:r>
      <w:r>
        <w:t>Future losses are harder to quantify and inevitably involve some guesswork on the part of the court.</w:t>
      </w:r>
      <w:bookmarkStart w:id="67" w:name="_Ref32498769"/>
      <w:r>
        <w:rPr>
          <w:rStyle w:val="FootnoteReference"/>
        </w:rPr>
        <w:footnoteReference w:id="555"/>
      </w:r>
      <w:bookmarkEnd w:id="67"/>
      <w:r>
        <w:t xml:space="preserve"> The Ogden Tables, produced by</w:t>
      </w:r>
      <w:r w:rsidRPr="00D43CD2">
        <w:t xml:space="preserve"> </w:t>
      </w:r>
      <w:r>
        <w:t>Government Actuary’s Department, are designed to assist in the calculation of lump sum damages for future losses in personal injury and fatal accident cases in the UK.</w:t>
      </w:r>
      <w:r>
        <w:rPr>
          <w:rStyle w:val="FootnoteReference"/>
        </w:rPr>
        <w:footnoteReference w:id="556"/>
      </w:r>
      <w:r>
        <w:t xml:space="preserve"> The Tables set out the different multipliers for annual loss extending over three different periods of time,</w:t>
      </w:r>
      <w:r>
        <w:rPr>
          <w:rStyle w:val="FootnoteReference"/>
        </w:rPr>
        <w:footnoteReference w:id="557"/>
      </w:r>
      <w:r>
        <w:t xml:space="preserve"> with separate tables for men and women, and accounting for mortality risks and ‘contingencies other than mortality’ (ie a person’s employment status, </w:t>
      </w:r>
      <w:r w:rsidRPr="001353F3">
        <w:t>disability status and educational attainmen</w:t>
      </w:r>
      <w:r>
        <w:t>t).</w:t>
      </w:r>
      <w:r>
        <w:rPr>
          <w:rStyle w:val="FootnoteReference"/>
        </w:rPr>
        <w:footnoteReference w:id="558"/>
      </w:r>
      <w:r>
        <w:t xml:space="preserve"> </w:t>
      </w:r>
    </w:p>
    <w:p w14:paraId="5367BAEF" w14:textId="77777777" w:rsidR="0019789C" w:rsidRDefault="0019789C" w:rsidP="00683CF7"/>
    <w:p w14:paraId="4D7B53BE" w14:textId="77777777" w:rsidR="0019789C" w:rsidRPr="0080041A" w:rsidRDefault="0019789C" w:rsidP="00683CF7">
      <w:r>
        <w:t>As mentioned above, t</w:t>
      </w:r>
      <w:r w:rsidRPr="0080041A">
        <w:t>here are three defences available to defendants in negligence cases: contributory negligence, voluntary assumption of the ris</w:t>
      </w:r>
      <w:r>
        <w:t>k,</w:t>
      </w:r>
      <w:r w:rsidRPr="0080041A">
        <w:t xml:space="preserve"> and illegality. While the claimant must establish that the defendant owed them a duty of care, breached that duty and the causal link between that breach and their injury, loss or harm, the burden of proof is on the defendant to </w:t>
      </w:r>
      <w:r>
        <w:t>establish</w:t>
      </w:r>
      <w:r w:rsidRPr="0080041A">
        <w:t xml:space="preserve"> </w:t>
      </w:r>
      <w:r>
        <w:t>a</w:t>
      </w:r>
      <w:r w:rsidRPr="0080041A">
        <w:t xml:space="preserve"> defence. These defences are discussed under the heading of remedies because a successfully argued defence will either completely </w:t>
      </w:r>
      <w:r w:rsidRPr="0080041A">
        <w:lastRenderedPageBreak/>
        <w:t xml:space="preserve">block the claim or the claimant’s damages will be reduced by a percentage. There is less case law on this </w:t>
      </w:r>
      <w:r>
        <w:t>issue than other aspects of negligence,</w:t>
      </w:r>
      <w:r w:rsidRPr="0080041A">
        <w:t xml:space="preserve"> </w:t>
      </w:r>
      <w:r>
        <w:t>such as</w:t>
      </w:r>
      <w:r w:rsidRPr="0080041A">
        <w:t xml:space="preserve"> the duty of care and breach</w:t>
      </w:r>
      <w:r>
        <w:t xml:space="preserve"> of duty.</w:t>
      </w:r>
      <w:r w:rsidRPr="0080041A">
        <w:t xml:space="preserve"> </w:t>
      </w:r>
      <w:r>
        <w:t xml:space="preserve">This is </w:t>
      </w:r>
      <w:r w:rsidRPr="0080041A">
        <w:t xml:space="preserve">because it only becomes relevant once the claimant has established all three elements of negligence, which is no easy feat. </w:t>
      </w:r>
    </w:p>
    <w:p w14:paraId="0F486F9A" w14:textId="77777777" w:rsidR="0019789C" w:rsidRPr="0080041A" w:rsidRDefault="0019789C" w:rsidP="00683CF7"/>
    <w:p w14:paraId="68EE16AC" w14:textId="16F7FB0D" w:rsidR="0019789C" w:rsidRPr="0080041A" w:rsidRDefault="0019789C" w:rsidP="00683CF7">
      <w:r w:rsidRPr="0080041A">
        <w:t>Contributory negligence is the most common defenc</w:t>
      </w:r>
      <w:r>
        <w:t>e and, given its engagement with questions concerning</w:t>
      </w:r>
      <w:r w:rsidRPr="0080041A">
        <w:t xml:space="preserve"> wheth</w:t>
      </w:r>
      <w:r>
        <w:t>er</w:t>
      </w:r>
      <w:r w:rsidRPr="0080041A">
        <w:t xml:space="preserve"> a pedestrian failed to exercise reasonable care for their own safety</w:t>
      </w:r>
      <w:r>
        <w:t>, is particularly relevant to this report</w:t>
      </w:r>
      <w:r w:rsidRPr="0080041A">
        <w:t>.</w:t>
      </w:r>
      <w:bookmarkStart w:id="68" w:name="_Ref94099804"/>
      <w:r w:rsidRPr="0080041A">
        <w:rPr>
          <w:rStyle w:val="FootnoteReference"/>
        </w:rPr>
        <w:footnoteReference w:id="559"/>
      </w:r>
      <w:bookmarkEnd w:id="68"/>
      <w:r w:rsidRPr="0080041A">
        <w:t xml:space="preserve"> The defence </w:t>
      </w:r>
      <w:r>
        <w:t xml:space="preserve">exists at common law; it also exists in </w:t>
      </w:r>
      <w:r w:rsidRPr="0080041A">
        <w:t xml:space="preserve">s 1(1) </w:t>
      </w:r>
      <w:r>
        <w:t xml:space="preserve">of the </w:t>
      </w:r>
      <w:r w:rsidRPr="0080041A">
        <w:t>Law Reform (Contributory Negligence) Act 1945</w:t>
      </w:r>
      <w:r>
        <w:t>:</w:t>
      </w:r>
    </w:p>
    <w:p w14:paraId="10E8B960" w14:textId="77777777" w:rsidR="0019789C" w:rsidRPr="0080041A" w:rsidRDefault="0019789C" w:rsidP="00683CF7">
      <w:pPr>
        <w:pStyle w:val="Quote"/>
      </w:pPr>
      <w:r w:rsidRPr="0080041A">
        <w:t>Where any person suffers damage as the result partly of his own fault and partly of the fault of any other person or persons ... the damages recoverable in respect thereof shall be reduced to such an extent as the court thinks just and equitable having regard to the claimant’s share in the responsibility for the damage.</w:t>
      </w:r>
    </w:p>
    <w:p w14:paraId="4B1C5923" w14:textId="0AB6F619" w:rsidR="0019789C" w:rsidRPr="0080041A" w:rsidRDefault="0019789C" w:rsidP="007F6552">
      <w:pPr>
        <w:ind w:firstLine="0"/>
      </w:pPr>
      <w:r w:rsidRPr="0080041A">
        <w:t xml:space="preserve">‘Fault’ in </w:t>
      </w:r>
      <w:r>
        <w:t>the statutory</w:t>
      </w:r>
      <w:r w:rsidRPr="0080041A">
        <w:t xml:space="preserve"> context is defined as ‘negligence, breach of statutory duty or other act or omission which gives rise to a liability in tort or would, apart from this Act, give rise to the defence of contributory negligence.’</w:t>
      </w:r>
      <w:r w:rsidRPr="0080041A">
        <w:rPr>
          <w:rStyle w:val="FootnoteReference"/>
        </w:rPr>
        <w:footnoteReference w:id="560"/>
      </w:r>
      <w:r w:rsidRPr="0080041A">
        <w:t xml:space="preserve"> Contributory negligence is a partial defence</w:t>
      </w:r>
      <w:r>
        <w:t>.</w:t>
      </w:r>
      <w:r w:rsidRPr="0080041A">
        <w:t xml:space="preserve"> </w:t>
      </w:r>
      <w:r>
        <w:t>W</w:t>
      </w:r>
      <w:r w:rsidRPr="0080041A">
        <w:t>hile a percentage of damages can be withheld ‘as the court thinks just and equitable’, this amount cannot comprise 100% of the damages.</w:t>
      </w:r>
      <w:bookmarkStart w:id="69" w:name="_Ref32913755"/>
      <w:r w:rsidRPr="0080041A">
        <w:rPr>
          <w:rStyle w:val="FootnoteReference"/>
        </w:rPr>
        <w:footnoteReference w:id="561"/>
      </w:r>
      <w:bookmarkEnd w:id="69"/>
      <w:r w:rsidRPr="0080041A">
        <w:t xml:space="preserve"> In the case of </w:t>
      </w:r>
      <w:r w:rsidRPr="007F6552">
        <w:rPr>
          <w:rStyle w:val="case"/>
        </w:rPr>
        <w:t>M'Kibbin v Glasgow Corporation</w:t>
      </w:r>
      <w:r w:rsidRPr="0080041A">
        <w:t xml:space="preserve">, discussed above, the Court rejected the </w:t>
      </w:r>
      <w:r>
        <w:t>defence</w:t>
      </w:r>
      <w:r w:rsidRPr="0080041A">
        <w:t xml:space="preserve"> of contributory negligence as it could not be said that the claimant contributed to his injury</w:t>
      </w:r>
      <w:r>
        <w:t xml:space="preserve">. According to the court: </w:t>
      </w:r>
      <w:r w:rsidRPr="0080041A">
        <w:t>‘[T]his hole in the pavement may be described as a trap which would certainly catch a blind person who was negotiating the pavement in his accustomed manner. It was a trap to an ordinary person, but the ordinary person had the advantage of a fairly prominent warning to keep him out of it.’</w:t>
      </w:r>
      <w:r w:rsidRPr="0080041A">
        <w:rPr>
          <w:rStyle w:val="FootnoteReference"/>
        </w:rPr>
        <w:footnoteReference w:id="562"/>
      </w:r>
    </w:p>
    <w:p w14:paraId="19947593" w14:textId="77777777" w:rsidR="0019789C" w:rsidRPr="0080041A" w:rsidRDefault="0019789C" w:rsidP="00683CF7"/>
    <w:p w14:paraId="6F6F446B" w14:textId="77777777" w:rsidR="0019789C" w:rsidRDefault="0019789C" w:rsidP="00683CF7">
      <w:r>
        <w:t>The defences of v</w:t>
      </w:r>
      <w:r w:rsidRPr="0080041A">
        <w:t xml:space="preserve">oluntary assumption of risk and illegality are complete defences. Neither is common in case law </w:t>
      </w:r>
      <w:r>
        <w:t>concerning pedestrians.</w:t>
      </w:r>
      <w:r w:rsidRPr="0080041A">
        <w:t xml:space="preserve"> </w:t>
      </w:r>
    </w:p>
    <w:p w14:paraId="1AA0A9AB" w14:textId="77777777" w:rsidR="0019789C" w:rsidRDefault="0019789C" w:rsidP="00683CF7"/>
    <w:p w14:paraId="537BA074" w14:textId="7DFF77D8" w:rsidR="0019789C" w:rsidRPr="0080041A" w:rsidRDefault="0019789C" w:rsidP="00683CF7">
      <w:r>
        <w:lastRenderedPageBreak/>
        <w:t>The defence of v</w:t>
      </w:r>
      <w:r w:rsidRPr="0080041A">
        <w:t xml:space="preserve">oluntary assumption of risk (or </w:t>
      </w:r>
      <w:r w:rsidRPr="0080041A">
        <w:rPr>
          <w:i/>
        </w:rPr>
        <w:t>‘volenti non fit injuria’</w:t>
      </w:r>
      <w:r>
        <w:t xml:space="preserve">) allows a defendant to </w:t>
      </w:r>
      <w:r w:rsidRPr="0080041A">
        <w:t xml:space="preserve">argue that the claimant knew of the relevant risk and voluntarily incurred </w:t>
      </w:r>
      <w:r>
        <w:t>it</w:t>
      </w:r>
      <w:r w:rsidRPr="0080041A">
        <w:t xml:space="preserve">, </w:t>
      </w:r>
      <w:r>
        <w:t>so</w:t>
      </w:r>
      <w:r w:rsidRPr="0080041A">
        <w:t xml:space="preserve"> that the defendant is exempt from legal liability.</w:t>
      </w:r>
      <w:r w:rsidRPr="0080041A">
        <w:rPr>
          <w:rStyle w:val="FootnoteReference"/>
        </w:rPr>
        <w:footnoteReference w:id="563"/>
      </w:r>
      <w:r w:rsidRPr="0080041A">
        <w:t xml:space="preserve"> </w:t>
      </w:r>
      <w:r>
        <w:t xml:space="preserve">Section </w:t>
      </w:r>
      <w:r w:rsidRPr="0080041A">
        <w:t xml:space="preserve">149 </w:t>
      </w:r>
      <w:r>
        <w:t xml:space="preserve">of the </w:t>
      </w:r>
      <w:r w:rsidRPr="0080041A">
        <w:t>Road Traffic Act 198</w:t>
      </w:r>
      <w:r>
        <w:t xml:space="preserve">8 prevents the defence operating in certain types of cases concerning traffic accidents. This exclusion was clarified in </w:t>
      </w:r>
      <w:r>
        <w:rPr>
          <w:i/>
        </w:rPr>
        <w:t>Pitts v Hunt</w:t>
      </w:r>
      <w:r>
        <w:t>, where the court noted that a passenger may willingly accept the risk of negligence on the part of the driver, but this does not negate the liability of the driver.</w:t>
      </w:r>
      <w:r w:rsidRPr="0080041A">
        <w:rPr>
          <w:rStyle w:val="FootnoteReference"/>
        </w:rPr>
        <w:footnoteReference w:id="564"/>
      </w:r>
    </w:p>
    <w:p w14:paraId="48C76BA4" w14:textId="77777777" w:rsidR="0019789C" w:rsidRPr="0080041A" w:rsidRDefault="0019789C" w:rsidP="00683CF7"/>
    <w:p w14:paraId="257942D4" w14:textId="0D23097D" w:rsidR="0019789C" w:rsidRPr="0080041A" w:rsidRDefault="0019789C" w:rsidP="00683CF7">
      <w:r w:rsidRPr="0080041A">
        <w:t xml:space="preserve">The defence of illegality (or </w:t>
      </w:r>
      <w:r w:rsidRPr="0080041A">
        <w:rPr>
          <w:i/>
        </w:rPr>
        <w:t>‘ex turpi causa non oritur actio’</w:t>
      </w:r>
      <w:r w:rsidRPr="0080041A">
        <w:t>)</w:t>
      </w:r>
      <w:r w:rsidRPr="0080041A">
        <w:rPr>
          <w:i/>
        </w:rPr>
        <w:t xml:space="preserve"> </w:t>
      </w:r>
      <w:r w:rsidRPr="0080041A">
        <w:t>denies recovery to certain claimants injured while committing unlawful activities</w:t>
      </w:r>
      <w:r>
        <w:t>.</w:t>
      </w:r>
      <w:r w:rsidRPr="0080041A">
        <w:t xml:space="preserve"> </w:t>
      </w:r>
      <w:r>
        <w:t>Although</w:t>
      </w:r>
      <w:r w:rsidRPr="0080041A">
        <w:t xml:space="preserve"> the </w:t>
      </w:r>
      <w:r>
        <w:t>relevant</w:t>
      </w:r>
      <w:r w:rsidRPr="0080041A">
        <w:t xml:space="preserve"> case law is often imprecise, a few case</w:t>
      </w:r>
      <w:r>
        <w:t>s provide valuable insights</w:t>
      </w:r>
      <w:r w:rsidRPr="0080041A">
        <w:t xml:space="preserve">. </w:t>
      </w:r>
      <w:r w:rsidRPr="007F6552">
        <w:rPr>
          <w:rStyle w:val="case"/>
        </w:rPr>
        <w:t>Gray v Thames Trains</w:t>
      </w:r>
      <w:r>
        <w:t>,</w:t>
      </w:r>
      <w:r w:rsidRPr="0080041A">
        <w:rPr>
          <w:rStyle w:val="FootnoteReference"/>
        </w:rPr>
        <w:footnoteReference w:id="565"/>
      </w:r>
      <w:r w:rsidRPr="0080041A">
        <w:t xml:space="preserve"> </w:t>
      </w:r>
      <w:r>
        <w:t>for instance,</w:t>
      </w:r>
      <w:r w:rsidRPr="0080041A">
        <w:t xml:space="preserve"> set out two forms of the defence. </w:t>
      </w:r>
      <w:r>
        <w:t>According to the</w:t>
      </w:r>
      <w:r w:rsidRPr="0080041A">
        <w:t xml:space="preserve"> narrow for</w:t>
      </w:r>
      <w:r>
        <w:t>m,</w:t>
      </w:r>
      <w:r w:rsidRPr="0080041A">
        <w:t xml:space="preserve"> a claimant cannot recover for damage which </w:t>
      </w:r>
      <w:r>
        <w:t>results</w:t>
      </w:r>
      <w:r w:rsidRPr="0080041A">
        <w:t xml:space="preserve"> </w:t>
      </w:r>
      <w:r>
        <w:t>from</w:t>
      </w:r>
      <w:r w:rsidRPr="0080041A">
        <w:t xml:space="preserve"> a sentence imposed upon them for a criminal act</w:t>
      </w:r>
      <w:r>
        <w:t>, such as the loss of liberty caused by imprisonment.</w:t>
      </w:r>
      <w:r w:rsidRPr="0080041A">
        <w:t xml:space="preserve"> </w:t>
      </w:r>
      <w:r>
        <w:t>T</w:t>
      </w:r>
      <w:r w:rsidRPr="0080041A">
        <w:t xml:space="preserve">he </w:t>
      </w:r>
      <w:r>
        <w:t>reason for this</w:t>
      </w:r>
      <w:r w:rsidRPr="0080041A">
        <w:t xml:space="preserve"> is that the law, as a matter of penal policy, is the cause of the damage and it would be inconsistent for the law to then provide compensation for that damage.</w:t>
      </w:r>
      <w:r w:rsidRPr="0080041A">
        <w:rPr>
          <w:rStyle w:val="FootnoteReference"/>
        </w:rPr>
        <w:footnoteReference w:id="566"/>
      </w:r>
      <w:r w:rsidRPr="0080041A">
        <w:t xml:space="preserve"> </w:t>
      </w:r>
    </w:p>
    <w:p w14:paraId="38058719" w14:textId="77777777" w:rsidR="0019789C" w:rsidRPr="0080041A" w:rsidRDefault="0019789C" w:rsidP="00683CF7"/>
    <w:p w14:paraId="471C99E1" w14:textId="03519172" w:rsidR="0019789C" w:rsidRPr="0080041A" w:rsidRDefault="0019789C" w:rsidP="00683CF7">
      <w:r>
        <w:t>According to the</w:t>
      </w:r>
      <w:r w:rsidRPr="0080041A">
        <w:t xml:space="preserve"> wide for</w:t>
      </w:r>
      <w:r>
        <w:t>m,</w:t>
      </w:r>
      <w:r w:rsidRPr="0080041A">
        <w:t xml:space="preserve"> a claimant cannot recover for damage which is the consequence of their own criminal act.</w:t>
      </w:r>
      <w:r w:rsidRPr="0080041A">
        <w:rPr>
          <w:rStyle w:val="FootnoteReference"/>
        </w:rPr>
        <w:footnoteReference w:id="567"/>
      </w:r>
      <w:r w:rsidRPr="0080041A">
        <w:t xml:space="preserve"> </w:t>
      </w:r>
      <w:r>
        <w:t>A</w:t>
      </w:r>
      <w:r w:rsidRPr="0080041A">
        <w:t xml:space="preserve"> definitive explanatio</w:t>
      </w:r>
      <w:r>
        <w:t>n of its implications (eg the types of criminal act covered), however,</w:t>
      </w:r>
      <w:r w:rsidRPr="0080041A">
        <w:t xml:space="preserve"> remains elusiv</w:t>
      </w:r>
      <w:r>
        <w:t xml:space="preserve">e. </w:t>
      </w:r>
      <w:r w:rsidRPr="0080041A">
        <w:t>The courts tend t</w:t>
      </w:r>
      <w:r>
        <w:t xml:space="preserve">o focus on issues of connection and proportionality. </w:t>
      </w:r>
      <w:r w:rsidRPr="0080041A">
        <w:t>As to the former</w:t>
      </w:r>
      <w:r>
        <w:t xml:space="preserve">, the degree of </w:t>
      </w:r>
      <w:r w:rsidRPr="0080041A">
        <w:t xml:space="preserve">connection between the damage and crime </w:t>
      </w:r>
      <w:r>
        <w:t>will be relevant</w:t>
      </w:r>
      <w:r w:rsidRPr="0080041A">
        <w:t>.</w:t>
      </w:r>
      <w:r w:rsidRPr="0080041A">
        <w:rPr>
          <w:rStyle w:val="FootnoteReference"/>
        </w:rPr>
        <w:footnoteReference w:id="568"/>
      </w:r>
      <w:r w:rsidRPr="0080041A">
        <w:t xml:space="preserve"> As to proportionality,</w:t>
      </w:r>
      <w:r>
        <w:t xml:space="preserve"> </w:t>
      </w:r>
      <w:r w:rsidRPr="0080041A">
        <w:t>the civil penalty should be proportionate to the criminal penalty.</w:t>
      </w:r>
      <w:r w:rsidRPr="0080041A">
        <w:rPr>
          <w:rStyle w:val="FootnoteReference"/>
        </w:rPr>
        <w:footnoteReference w:id="569"/>
      </w:r>
      <w:r w:rsidRPr="0080041A">
        <w:t xml:space="preserve"> For example, it is unlawful for a </w:t>
      </w:r>
      <w:r w:rsidRPr="0080041A">
        <w:lastRenderedPageBreak/>
        <w:t>pedestrian to fail to stop when so directed by a constable regulating traffic.</w:t>
      </w:r>
      <w:r w:rsidRPr="0080041A">
        <w:rPr>
          <w:rStyle w:val="FootnoteReference"/>
        </w:rPr>
        <w:footnoteReference w:id="570"/>
      </w:r>
      <w:r w:rsidRPr="0080041A">
        <w:t xml:space="preserve"> Yet, if a pedestrian is injured in this context due to another person’s negligence, it is not in the interests of justice to take away upwards of several thousands of pounds in damages when the penalty for such a contravention </w:t>
      </w:r>
      <w:r>
        <w:t xml:space="preserve">in criminal law </w:t>
      </w:r>
      <w:r w:rsidRPr="0080041A">
        <w:t>is at most a fine of £1,000.</w:t>
      </w:r>
      <w:r w:rsidRPr="0080041A">
        <w:rPr>
          <w:rStyle w:val="FootnoteReference"/>
        </w:rPr>
        <w:footnoteReference w:id="571"/>
      </w:r>
      <w:r w:rsidRPr="0080041A">
        <w:t xml:space="preserve"> The courts would be more likely to employ the defence of contributory negligence and reduce the claimant’s damages by a percentage </w:t>
      </w:r>
      <w:r>
        <w:t>reflecting</w:t>
      </w:r>
      <w:r w:rsidRPr="0080041A">
        <w:t xml:space="preserve"> their level of fault.</w:t>
      </w:r>
      <w:r w:rsidRPr="0080041A">
        <w:rPr>
          <w:rStyle w:val="FootnoteReference"/>
        </w:rPr>
        <w:footnoteReference w:id="572"/>
      </w:r>
      <w:r w:rsidRPr="0080041A">
        <w:t xml:space="preserve"> </w:t>
      </w:r>
    </w:p>
    <w:p w14:paraId="2F4837BD" w14:textId="77777777" w:rsidR="0019789C" w:rsidRPr="0080041A" w:rsidRDefault="0019789C" w:rsidP="00683CF7"/>
    <w:p w14:paraId="008F0FD3" w14:textId="77777777" w:rsidR="0019789C" w:rsidRPr="0080041A" w:rsidRDefault="0019789C" w:rsidP="00683CF7">
      <w:pPr>
        <w:pStyle w:val="Heading4"/>
      </w:pPr>
      <w:r w:rsidRPr="0080041A">
        <w:t xml:space="preserve">(c) Enforcement </w:t>
      </w:r>
    </w:p>
    <w:p w14:paraId="4FF95AED" w14:textId="2752187C" w:rsidR="0019789C" w:rsidRDefault="0019789C" w:rsidP="00683CF7">
      <w:r>
        <w:t>Under</w:t>
      </w:r>
      <w:r w:rsidRPr="0080041A">
        <w:t xml:space="preserve"> the Limitations Act 1980, there is usually a three </w:t>
      </w:r>
      <w:r>
        <w:t xml:space="preserve">year </w:t>
      </w:r>
      <w:r w:rsidRPr="0080041A">
        <w:t xml:space="preserve">period in which a person may bring a claim for </w:t>
      </w:r>
      <w:r>
        <w:t>damages in negligence, nuisance or breach of duty for personal injury.</w:t>
      </w:r>
      <w:r w:rsidRPr="0080041A">
        <w:rPr>
          <w:rStyle w:val="FootnoteReference"/>
        </w:rPr>
        <w:footnoteReference w:id="573"/>
      </w:r>
      <w:r w:rsidRPr="0080041A">
        <w:t xml:space="preserve"> Th</w:t>
      </w:r>
      <w:r>
        <w:t>is</w:t>
      </w:r>
      <w:r w:rsidRPr="0080041A">
        <w:t xml:space="preserve"> three year period starts </w:t>
      </w:r>
      <w:r>
        <w:t>running</w:t>
      </w:r>
      <w:r w:rsidRPr="0080041A">
        <w:t xml:space="preserve"> on either ‘the date on which the cause of action accrued’ or ‘the date of knowledge (if later) of the person injured’.</w:t>
      </w:r>
      <w:r w:rsidRPr="0080041A">
        <w:rPr>
          <w:rStyle w:val="FootnoteReference"/>
        </w:rPr>
        <w:footnoteReference w:id="574"/>
      </w:r>
      <w:r w:rsidRPr="0080041A">
        <w:t xml:space="preserve"> </w:t>
      </w:r>
      <w:r>
        <w:t>I</w:t>
      </w:r>
      <w:r w:rsidRPr="0080041A">
        <w:t xml:space="preserve">f the injured person dies before the end of the three year period, </w:t>
      </w:r>
      <w:r>
        <w:t>their estate will have three years beginning from the date of their death (or, if later, the date from which the personal representative’s had knowledge of the claim) in which to bring the claim.</w:t>
      </w:r>
      <w:r w:rsidRPr="0080041A">
        <w:rPr>
          <w:rStyle w:val="FootnoteReference"/>
        </w:rPr>
        <w:footnoteReference w:id="575"/>
      </w:r>
      <w:r>
        <w:t xml:space="preserve"> The court also has a discretion to </w:t>
      </w:r>
      <w:r w:rsidRPr="0080041A">
        <w:t>allow the action to proceed outside the three year limit.</w:t>
      </w:r>
      <w:r w:rsidRPr="0080041A">
        <w:rPr>
          <w:rStyle w:val="FootnoteReference"/>
        </w:rPr>
        <w:footnoteReference w:id="576"/>
      </w:r>
      <w:r w:rsidRPr="0080041A">
        <w:t xml:space="preserve"> </w:t>
      </w:r>
    </w:p>
    <w:p w14:paraId="73308458" w14:textId="77777777" w:rsidR="0019789C" w:rsidRDefault="0019789C" w:rsidP="00683CF7"/>
    <w:p w14:paraId="2C220C87" w14:textId="6B8F4AAB" w:rsidR="0019789C" w:rsidRDefault="0019789C" w:rsidP="00683CF7">
      <w:r w:rsidRPr="0080041A">
        <w:t>If a pedestrian wishes to bring legal action for negligence, they must fund it themselves. LASPO explicitly excludes the provision of civil legal services in relation to personal injury or death, tort claims in respect of negligence, and damage to property.</w:t>
      </w:r>
      <w:r w:rsidRPr="0080041A">
        <w:rPr>
          <w:rStyle w:val="FootnoteReference"/>
        </w:rPr>
        <w:footnoteReference w:id="577"/>
      </w:r>
      <w:r>
        <w:t xml:space="preserve"> Claimants must thus personally fund legal action. </w:t>
      </w:r>
    </w:p>
    <w:p w14:paraId="314771B5" w14:textId="77777777" w:rsidR="0019789C" w:rsidRDefault="0019789C" w:rsidP="00683CF7"/>
    <w:p w14:paraId="203BA644" w14:textId="7BB7596F" w:rsidR="0019789C" w:rsidRDefault="0019789C" w:rsidP="0074251A">
      <w:r>
        <w:t>LASPO also made a number of changes to the recovery of fees in England and Wales. For instance, s 45 extended</w:t>
      </w:r>
      <w:r w:rsidRPr="00292BEC">
        <w:t xml:space="preserve"> </w:t>
      </w:r>
      <w:r>
        <w:t>the</w:t>
      </w:r>
      <w:r w:rsidRPr="00292BEC">
        <w:t xml:space="preserve"> right to charge contingency fees (</w:t>
      </w:r>
      <w:r>
        <w:t xml:space="preserve">common under </w:t>
      </w:r>
      <w:r>
        <w:lastRenderedPageBreak/>
        <w:t>‘damages-based agreements’</w:t>
      </w:r>
      <w:r>
        <w:rPr>
          <w:rStyle w:val="FootnoteReference"/>
        </w:rPr>
        <w:footnoteReference w:id="578"/>
      </w:r>
      <w:r>
        <w:t>)</w:t>
      </w:r>
      <w:r w:rsidRPr="00292BEC">
        <w:t xml:space="preserve"> from employment cases to</w:t>
      </w:r>
      <w:r>
        <w:t xml:space="preserve"> many other types of litigation, and s 44 prohibited the recovery of ‘success fees’. In order to fund their cases, claimants often enter into conditional fee agreements, which mean that their lawyers do not receive a payment if the claim fails. But, if the claim succeeds, their lawyers are entitled to ‘success fees’,</w:t>
      </w:r>
      <w:r w:rsidRPr="000C62F8">
        <w:t xml:space="preserve"> </w:t>
      </w:r>
      <w:r>
        <w:t>which can be for up 100% of their normal fee.</w:t>
      </w:r>
      <w:r>
        <w:rPr>
          <w:rStyle w:val="FootnoteReference"/>
        </w:rPr>
        <w:footnoteReference w:id="579"/>
      </w:r>
      <w:r>
        <w:t xml:space="preserve"> However, the defendant could be ordered to pay these ‘success fees’ in addition to the normal fees charged by the claimant's lawyers.</w:t>
      </w:r>
      <w:bookmarkStart w:id="70" w:name="_Ref32505228"/>
      <w:r>
        <w:rPr>
          <w:rStyle w:val="FootnoteReference"/>
        </w:rPr>
        <w:footnoteReference w:id="580"/>
      </w:r>
      <w:bookmarkEnd w:id="70"/>
      <w:r>
        <w:t xml:space="preserve"> Under s 44 of LASPO, success fees </w:t>
      </w:r>
      <w:r w:rsidRPr="00292BEC">
        <w:t xml:space="preserve">payable </w:t>
      </w:r>
      <w:r>
        <w:t>under a fee agreement are not recoverable from a defendant as part of a successful claimant's costs. In order to reflect recommendations that recovery amounts be increased to ensure that claimants are properly compensated,</w:t>
      </w:r>
      <w:r>
        <w:rPr>
          <w:rStyle w:val="FootnoteReference"/>
        </w:rPr>
        <w:footnoteReference w:id="581"/>
      </w:r>
      <w:r>
        <w:t xml:space="preserve"> the Court of Appeal </w:t>
      </w:r>
      <w:r w:rsidRPr="00902CE1">
        <w:t>declare</w:t>
      </w:r>
      <w:r>
        <w:t>d that</w:t>
      </w:r>
      <w:r w:rsidRPr="00902CE1">
        <w:t xml:space="preserve"> the proper level of general damages in all civil claims for (i) pain and suffering, (ii) loss of amenity, (iii) physical inconvenience and discomfort, (iv) social discredit, (v) mental distress, or (vi) loss of society of relatives, wil</w:t>
      </w:r>
      <w:r>
        <w:t>l be 10% higher than previously.</w:t>
      </w:r>
      <w:r>
        <w:rPr>
          <w:rStyle w:val="FootnoteReference"/>
        </w:rPr>
        <w:footnoteReference w:id="582"/>
      </w:r>
      <w:r w:rsidRPr="00902CE1">
        <w:t xml:space="preserve"> </w:t>
      </w:r>
      <w:r>
        <w:t xml:space="preserve">In this way, the courts have taken steps to safeguard the compensation of successful claimants against the backdrop of restrictive legislation. </w:t>
      </w:r>
    </w:p>
    <w:p w14:paraId="2B664E34" w14:textId="77777777" w:rsidR="0019789C" w:rsidRDefault="0019789C" w:rsidP="00683CF7"/>
    <w:p w14:paraId="0ED2F005" w14:textId="77777777" w:rsidR="0019789C" w:rsidRPr="0080041A" w:rsidRDefault="0019789C" w:rsidP="00683CF7"/>
    <w:p w14:paraId="4D4E9C19" w14:textId="77777777" w:rsidR="0019789C" w:rsidRPr="0080041A" w:rsidRDefault="0019789C" w:rsidP="00683CF7">
      <w:pPr>
        <w:pStyle w:val="Heading3"/>
      </w:pPr>
      <w:r w:rsidRPr="0080041A">
        <w:t xml:space="preserve">C1.2 Breach of Statutory Duty </w:t>
      </w:r>
    </w:p>
    <w:p w14:paraId="08AE6C43" w14:textId="77777777" w:rsidR="0019789C" w:rsidRPr="0080041A" w:rsidRDefault="0019789C" w:rsidP="00683CF7">
      <w:r w:rsidRPr="0080041A">
        <w:t>Breach of statutory duty is a distinct tort, separate from the tort of negligence. Hence, English law does not recognise ‘statutory negligence’ – ie where breach of the statute automatically constitutes negligence – as found in some common law systems.</w:t>
      </w:r>
      <w:r w:rsidRPr="0080041A">
        <w:rPr>
          <w:rStyle w:val="FootnoteReference"/>
        </w:rPr>
        <w:footnoteReference w:id="583"/>
      </w:r>
      <w:r w:rsidRPr="0080041A">
        <w:t xml:space="preserve"> Breach of a statutory duty does not give rise to a right to sue in tort generally unless it is clear that Parliament intended to create such a right when enacting the statute.</w:t>
      </w:r>
      <w:bookmarkStart w:id="71" w:name="_Ref94099878"/>
      <w:r w:rsidRPr="0080041A">
        <w:rPr>
          <w:rStyle w:val="FootnoteReference"/>
        </w:rPr>
        <w:footnoteReference w:id="584"/>
      </w:r>
      <w:bookmarkEnd w:id="71"/>
      <w:r w:rsidRPr="0080041A">
        <w:t xml:space="preserve"> Factors to </w:t>
      </w:r>
      <w:r w:rsidRPr="0080041A">
        <w:lastRenderedPageBreak/>
        <w:t>consider include the legislative history of the statute, intended beneficiary of the statute, the availability of other remedies for the breach, the degree of detail with which the duty is set out, and the type of harm involved.</w:t>
      </w:r>
      <w:r w:rsidRPr="0080041A">
        <w:rPr>
          <w:rStyle w:val="FootnoteReference"/>
        </w:rPr>
        <w:footnoteReference w:id="585"/>
      </w:r>
      <w:r w:rsidRPr="0080041A">
        <w:t xml:space="preserve"> I</w:t>
      </w:r>
      <w:r w:rsidRPr="0080041A">
        <w:rPr>
          <w:lang w:bidi="en-US"/>
        </w:rPr>
        <w:t>t is common to see claimants bringing legal action for both breach of statutory duty and common law negligence for the same set of facts</w:t>
      </w:r>
      <w:r>
        <w:rPr>
          <w:lang w:bidi="en-US"/>
        </w:rPr>
        <w:t>.</w:t>
      </w:r>
      <w:r w:rsidRPr="0080041A">
        <w:rPr>
          <w:lang w:bidi="en-US"/>
        </w:rPr>
        <w:t xml:space="preserve"> </w:t>
      </w:r>
      <w:r>
        <w:rPr>
          <w:lang w:bidi="en-US"/>
        </w:rPr>
        <w:t>H</w:t>
      </w:r>
      <w:r w:rsidRPr="0080041A">
        <w:rPr>
          <w:lang w:bidi="en-US"/>
        </w:rPr>
        <w:t xml:space="preserve">owever, the mere existence of </w:t>
      </w:r>
      <w:r>
        <w:rPr>
          <w:lang w:bidi="en-US"/>
        </w:rPr>
        <w:t xml:space="preserve">a </w:t>
      </w:r>
      <w:r w:rsidRPr="0080041A">
        <w:rPr>
          <w:lang w:bidi="en-US"/>
        </w:rPr>
        <w:t xml:space="preserve">statutory duty or power does not automatically give rise to a parallel duty of care as required </w:t>
      </w:r>
      <w:r>
        <w:rPr>
          <w:lang w:bidi="en-US"/>
        </w:rPr>
        <w:t>for</w:t>
      </w:r>
      <w:r w:rsidRPr="0080041A">
        <w:rPr>
          <w:lang w:bidi="en-US"/>
        </w:rPr>
        <w:t xml:space="preserve"> the tort of negligence. Moreover, </w:t>
      </w:r>
      <w:r w:rsidRPr="0080041A">
        <w:t xml:space="preserve">many statutory duties are enforceable </w:t>
      </w:r>
      <w:r>
        <w:t xml:space="preserve">only </w:t>
      </w:r>
      <w:r w:rsidRPr="0080041A">
        <w:t xml:space="preserve">by public bodies by way of eg criminal proceedings, and thus are not directly actionable by private individuals. </w:t>
      </w:r>
    </w:p>
    <w:p w14:paraId="267BF09A" w14:textId="77777777" w:rsidR="0019789C" w:rsidRPr="0080041A" w:rsidRDefault="0019789C" w:rsidP="00683CF7"/>
    <w:p w14:paraId="7BCA0880" w14:textId="77777777" w:rsidR="0019789C" w:rsidRPr="0080041A" w:rsidRDefault="0019789C" w:rsidP="00683CF7">
      <w:pPr>
        <w:pStyle w:val="Heading4"/>
      </w:pPr>
      <w:r w:rsidRPr="0080041A">
        <w:t>(a) Description and Examples</w:t>
      </w:r>
    </w:p>
    <w:p w14:paraId="0F5CDBE5" w14:textId="77777777" w:rsidR="0019789C" w:rsidRPr="0080041A" w:rsidRDefault="0019789C" w:rsidP="00683CF7">
      <w:r w:rsidRPr="0080041A">
        <w:t xml:space="preserve">Under s 41 </w:t>
      </w:r>
      <w:r>
        <w:t xml:space="preserve">of the </w:t>
      </w:r>
      <w:r w:rsidRPr="0080041A">
        <w:t>Highways Act 1980, which applies in England and Wales, the local highway authority (ie the local council) has a duty to maintain authorities to maintain the roads and streets (ie ‘highways maintainable at public expense’). Accordingly, a statutory duty is imposed on the local highway authorit</w:t>
      </w:r>
      <w:r>
        <w:t>y. I</w:t>
      </w:r>
      <w:r w:rsidRPr="0080041A">
        <w:t xml:space="preserve">ndividuals who suffer injury or damage due to the authority’s failure </w:t>
      </w:r>
      <w:r>
        <w:t>to comply with this duty</w:t>
      </w:r>
      <w:r w:rsidRPr="0080041A">
        <w:t xml:space="preserve"> may initiate legal action. This duty is absolute</w:t>
      </w:r>
      <w:r w:rsidRPr="0080041A">
        <w:rPr>
          <w:rStyle w:val="FootnoteReference"/>
        </w:rPr>
        <w:footnoteReference w:id="586"/>
      </w:r>
      <w:r w:rsidRPr="0080041A">
        <w:t xml:space="preserve"> and non-delegable, which means legal liability may not be passed to a third party.</w:t>
      </w:r>
      <w:r w:rsidRPr="0080041A">
        <w:rPr>
          <w:rStyle w:val="FootnoteReference"/>
        </w:rPr>
        <w:footnoteReference w:id="587"/>
      </w:r>
      <w:r w:rsidRPr="0080041A">
        <w:t xml:space="preserve"> Where an authority exercises a power to install new infrastructure, such as lighting, safety barriers, etc, it will become responsible for its maintenance.</w:t>
      </w:r>
      <w:r w:rsidRPr="0080041A">
        <w:rPr>
          <w:rStyle w:val="FootnoteReference"/>
        </w:rPr>
        <w:footnoteReference w:id="588"/>
      </w:r>
      <w:r w:rsidRPr="0080041A">
        <w:t xml:space="preserve"> Section 41 should be read alongside s 329(1), according to which ‘maintenance’ includes ‘repair’ and the terms ‘maintain’ and ‘maintainable’ should be construed accordingly.</w:t>
      </w:r>
      <w:bookmarkStart w:id="72" w:name="_Ref94099942"/>
      <w:r w:rsidRPr="0080041A">
        <w:rPr>
          <w:rStyle w:val="FootnoteReference"/>
        </w:rPr>
        <w:footnoteReference w:id="589"/>
      </w:r>
      <w:bookmarkEnd w:id="72"/>
      <w:r w:rsidRPr="0080041A">
        <w:t xml:space="preserve"> </w:t>
      </w:r>
    </w:p>
    <w:p w14:paraId="786C9EAE" w14:textId="77777777" w:rsidR="0019789C" w:rsidRPr="0080041A" w:rsidRDefault="0019789C" w:rsidP="00683CF7"/>
    <w:p w14:paraId="7A1065C7" w14:textId="77777777" w:rsidR="0019789C" w:rsidRPr="0080041A" w:rsidRDefault="0019789C" w:rsidP="00683CF7">
      <w:r w:rsidRPr="0080041A">
        <w:t>In order for a claimant to succeed against a highway authority in a claim for injury, loss or harm due to failure to maintain or repair the highway, the claimant must prove that:</w:t>
      </w:r>
    </w:p>
    <w:p w14:paraId="621D8B23" w14:textId="77777777" w:rsidR="0019789C" w:rsidRPr="0080041A" w:rsidRDefault="0019789C" w:rsidP="00683CF7">
      <w:pPr>
        <w:pStyle w:val="QuoteList"/>
      </w:pPr>
      <w:r w:rsidRPr="0080041A">
        <w:lastRenderedPageBreak/>
        <w:t>(a)</w:t>
      </w:r>
      <w:r w:rsidRPr="0080041A">
        <w:tab/>
        <w:t>the highway was in such a condition that it was dangerous to traffic or pedestrians in the sense that, in the ordinary course of human affairs, danger may reasonably have been anticipated from its continued use by the public;</w:t>
      </w:r>
    </w:p>
    <w:p w14:paraId="226FA3B2" w14:textId="77777777" w:rsidR="0019789C" w:rsidRPr="0080041A" w:rsidRDefault="0019789C" w:rsidP="00683CF7">
      <w:pPr>
        <w:pStyle w:val="QuoteList"/>
      </w:pPr>
      <w:r w:rsidRPr="0080041A">
        <w:t>(b)</w:t>
      </w:r>
      <w:r w:rsidRPr="0080041A">
        <w:tab/>
        <w:t>the dangerous condition was created by the failure to maintain or repair the highway; and</w:t>
      </w:r>
    </w:p>
    <w:p w14:paraId="2FE79F4F" w14:textId="77777777" w:rsidR="0019789C" w:rsidRPr="0080041A" w:rsidRDefault="0019789C" w:rsidP="00683CF7">
      <w:pPr>
        <w:pStyle w:val="QuoteList"/>
      </w:pPr>
      <w:r w:rsidRPr="0080041A">
        <w:t>(c)</w:t>
      </w:r>
      <w:r w:rsidRPr="0080041A">
        <w:tab/>
        <w:t>the injury or damage resulted from such a failure.</w:t>
      </w:r>
      <w:r w:rsidRPr="0080041A">
        <w:rPr>
          <w:rStyle w:val="FootnoteReference"/>
        </w:rPr>
        <w:footnoteReference w:id="590"/>
      </w:r>
      <w:r w:rsidRPr="0080041A">
        <w:t xml:space="preserve"> </w:t>
      </w:r>
    </w:p>
    <w:p w14:paraId="63D763A7" w14:textId="255BB1A6" w:rsidR="0019789C" w:rsidRDefault="0019789C" w:rsidP="00683CF7"/>
    <w:p w14:paraId="22F4B752" w14:textId="054AAC96" w:rsidR="0019789C" w:rsidRPr="0080041A" w:rsidRDefault="0019789C" w:rsidP="004C0FF4">
      <w:r w:rsidRPr="0080041A">
        <w:t>The duty imposed by s 41 is a duty to maintain the ‘fabric’ of the road, including its substructure such as its drains</w:t>
      </w:r>
      <w:r>
        <w:t>.</w:t>
      </w:r>
      <w:r w:rsidRPr="0080041A">
        <w:rPr>
          <w:rStyle w:val="FootnoteReference"/>
        </w:rPr>
        <w:footnoteReference w:id="591"/>
      </w:r>
      <w:r>
        <w:t xml:space="preserve"> T</w:t>
      </w:r>
      <w:r w:rsidRPr="0080041A">
        <w:t xml:space="preserve">he duty </w:t>
      </w:r>
      <w:r>
        <w:t xml:space="preserve">it imposes </w:t>
      </w:r>
      <w:r w:rsidRPr="0080041A">
        <w:t>to ensure safe passage along the highway extends to snow and ice as far as is ‘reasonably practicable’.</w:t>
      </w:r>
      <w:r w:rsidRPr="0080041A">
        <w:rPr>
          <w:rStyle w:val="FootnoteReference"/>
        </w:rPr>
        <w:footnoteReference w:id="592"/>
      </w:r>
      <w:r w:rsidRPr="0080041A">
        <w:t xml:space="preserve"> In </w:t>
      </w:r>
      <w:r w:rsidRPr="00253A57">
        <w:rPr>
          <w:rStyle w:val="case"/>
        </w:rPr>
        <w:t>White v Nottinghamshire County Council</w:t>
      </w:r>
      <w:r w:rsidRPr="0080041A">
        <w:t>,</w:t>
      </w:r>
      <w:r w:rsidRPr="0080041A">
        <w:rPr>
          <w:rStyle w:val="FootnoteReference"/>
        </w:rPr>
        <w:footnoteReference w:id="593"/>
      </w:r>
      <w:r w:rsidRPr="0080041A">
        <w:t xml:space="preserve"> for example, the claimant was injured when she slipped on ice on the pavement and alleged </w:t>
      </w:r>
      <w:r>
        <w:t xml:space="preserve">that there had been a </w:t>
      </w:r>
      <w:r w:rsidRPr="0080041A">
        <w:t xml:space="preserve">breach of s 41 </w:t>
      </w:r>
      <w:r>
        <w:t>because</w:t>
      </w:r>
      <w:r w:rsidRPr="0080041A">
        <w:t xml:space="preserve"> the footway had not been gritted. The claim was dismissed because it was the council’s policy that the footway was not gritted in these weather conditions</w:t>
      </w:r>
      <w:r>
        <w:t>.</w:t>
      </w:r>
      <w:r w:rsidRPr="0080041A">
        <w:t xml:space="preserve"> </w:t>
      </w:r>
      <w:r>
        <w:t>T</w:t>
      </w:r>
      <w:r w:rsidRPr="0080041A">
        <w:t xml:space="preserve">he council was </w:t>
      </w:r>
      <w:r>
        <w:t xml:space="preserve">thus </w:t>
      </w:r>
      <w:r w:rsidRPr="0080041A">
        <w:t>able to establish that it had ensured ‘so far as reasonably practicable’ that safe passage along the highway was not endangered by snow and ice.</w:t>
      </w:r>
      <w:r w:rsidRPr="0080041A">
        <w:rPr>
          <w:rStyle w:val="FootnoteReference"/>
        </w:rPr>
        <w:footnoteReference w:id="594"/>
      </w:r>
      <w:r w:rsidRPr="0080041A">
        <w:t xml:space="preserve"> This case supports the stance that the duty of highway authorities in relation to snow and ice is one of reasonable practicability and not an absolute duty</w:t>
      </w:r>
      <w:r>
        <w:t>. T</w:t>
      </w:r>
      <w:r w:rsidRPr="0080041A">
        <w:t xml:space="preserve">he judge </w:t>
      </w:r>
      <w:r>
        <w:t xml:space="preserve">also </w:t>
      </w:r>
      <w:r w:rsidRPr="0080041A">
        <w:t>highlighted the requirement of pedestrians to take reasonable care: the presence of cold weather, and its consequences and risks, in terms of snow and ice on the highway, are obvious and pedestrians need to take appropriate care.</w:t>
      </w:r>
      <w:r w:rsidRPr="0080041A">
        <w:rPr>
          <w:rStyle w:val="FootnoteReference"/>
        </w:rPr>
        <w:footnoteReference w:id="595"/>
      </w:r>
    </w:p>
    <w:p w14:paraId="49BAEBCB" w14:textId="77777777" w:rsidR="0019789C" w:rsidRPr="0080041A" w:rsidRDefault="0019789C" w:rsidP="00683CF7"/>
    <w:p w14:paraId="5916E238" w14:textId="704963DA" w:rsidR="0019789C" w:rsidRPr="0080041A" w:rsidRDefault="0019789C" w:rsidP="00683CF7">
      <w:r w:rsidRPr="0080041A">
        <w:t xml:space="preserve">The courts have interpreted the s 41 duty as being to maintain the highway to a standard safe for ordinary users ‘so that it is free of danger to all users who use the highway in a way normally expected of them – taking account, of course, of the traffic </w:t>
      </w:r>
      <w:r w:rsidRPr="0080041A">
        <w:lastRenderedPageBreak/>
        <w:t>reasonably to be expected on the particular highway.’</w:t>
      </w:r>
      <w:r w:rsidRPr="0080041A">
        <w:rPr>
          <w:rStyle w:val="FootnoteReference"/>
        </w:rPr>
        <w:footnoteReference w:id="596"/>
      </w:r>
      <w:r w:rsidRPr="0080041A">
        <w:t xml:space="preserve"> The duty to maintain, however, does not extend to the removal of surface-lying material that may create a danger</w:t>
      </w:r>
      <w:r w:rsidRPr="0080041A">
        <w:rPr>
          <w:rStyle w:val="FootnoteReference"/>
        </w:rPr>
        <w:footnoteReference w:id="597"/>
      </w:r>
      <w:r w:rsidRPr="0080041A">
        <w:t xml:space="preserve"> or to the highway’s layout,</w:t>
      </w:r>
      <w:r w:rsidRPr="0080041A">
        <w:rPr>
          <w:rStyle w:val="FootnoteReference"/>
        </w:rPr>
        <w:footnoteReference w:id="598"/>
      </w:r>
      <w:r w:rsidRPr="0080041A">
        <w:t xml:space="preserve"> nor does it include a duty to take reasonable care to secure that the highway is not dangerous due to traffic.</w:t>
      </w:r>
      <w:r w:rsidRPr="0080041A">
        <w:rPr>
          <w:rStyle w:val="FootnoteReference"/>
        </w:rPr>
        <w:footnoteReference w:id="599"/>
      </w:r>
      <w:r w:rsidRPr="0080041A">
        <w:t xml:space="preserve"> In brief, the test of liability is reasonable foreseeability of danger, but not injury</w:t>
      </w:r>
      <w:r>
        <w:t>.</w:t>
      </w:r>
      <w:r w:rsidRPr="0080041A">
        <w:t xml:space="preserve"> </w:t>
      </w:r>
      <w:r>
        <w:t>A</w:t>
      </w:r>
      <w:r w:rsidRPr="0080041A">
        <w:t xml:space="preserve">s noted </w:t>
      </w:r>
      <w:r>
        <w:t>by Lloyd LJ in</w:t>
      </w:r>
      <w:r w:rsidRPr="0080041A">
        <w:t xml:space="preserve"> </w:t>
      </w:r>
      <w:r w:rsidRPr="000C62F8">
        <w:rPr>
          <w:rStyle w:val="case"/>
        </w:rPr>
        <w:t>James v Preseli Pembrokeshire District Council</w:t>
      </w:r>
      <w:r w:rsidRPr="0080041A">
        <w:t xml:space="preserve">: </w:t>
      </w:r>
    </w:p>
    <w:p w14:paraId="1331E250" w14:textId="17A2A183" w:rsidR="0019789C" w:rsidRDefault="0019789C" w:rsidP="004C0FF4">
      <w:pPr>
        <w:pStyle w:val="Quote"/>
      </w:pPr>
      <w:r w:rsidRPr="0080041A">
        <w:t>In one sense</w:t>
      </w:r>
      <w:r>
        <w:t>,</w:t>
      </w:r>
      <w:r w:rsidRPr="0080041A">
        <w:t xml:space="preserve"> it is reasonably foreseeable that any defect in the highway, however slight, may cause an injury</w:t>
      </w:r>
      <w:r>
        <w:t>.</w:t>
      </w:r>
      <w:r w:rsidRPr="0080041A">
        <w:t xml:space="preserve"> </w:t>
      </w:r>
      <w:r>
        <w:t>B</w:t>
      </w:r>
      <w:r w:rsidRPr="0080041A">
        <w:t>ut that is not the test of what is meant by dangerous in this context. It must be the sort of danger against which an authority may reasonably be expected to guard against.</w:t>
      </w:r>
      <w:r w:rsidRPr="0080041A">
        <w:rPr>
          <w:rStyle w:val="FootnoteReference"/>
        </w:rPr>
        <w:footnoteReference w:id="600"/>
      </w:r>
    </w:p>
    <w:p w14:paraId="5FCF491D" w14:textId="77777777" w:rsidR="0019789C" w:rsidRDefault="0019789C" w:rsidP="004C0FF4"/>
    <w:p w14:paraId="2E34D426" w14:textId="4F7053F6" w:rsidR="0019789C" w:rsidRDefault="0019789C" w:rsidP="004C0FF4">
      <w:r>
        <w:t>T</w:t>
      </w:r>
      <w:r w:rsidRPr="0080041A">
        <w:t xml:space="preserve">he primary barrier to </w:t>
      </w:r>
      <w:r>
        <w:t>obtaining a remedy</w:t>
      </w:r>
      <w:r w:rsidRPr="0080041A">
        <w:t xml:space="preserve"> </w:t>
      </w:r>
      <w:r>
        <w:t>for breach of</w:t>
      </w:r>
      <w:r w:rsidRPr="0080041A">
        <w:t xml:space="preserve"> statutory duties under the Highways Act 1980 is the defence found in s 58(1)</w:t>
      </w:r>
      <w:r>
        <w:t>. This</w:t>
      </w:r>
      <w:r w:rsidRPr="0080041A">
        <w:t xml:space="preserve"> comes into play </w:t>
      </w:r>
      <w:r>
        <w:t>only after</w:t>
      </w:r>
      <w:r w:rsidRPr="0080041A">
        <w:t xml:space="preserve"> a violation of s 41 has been established; </w:t>
      </w:r>
      <w:r>
        <w:t xml:space="preserve">and </w:t>
      </w:r>
      <w:r w:rsidRPr="0080041A">
        <w:t>it is not to be considered when deciding whether a violation of s 41 has occurred.</w:t>
      </w:r>
      <w:r w:rsidRPr="0080041A">
        <w:rPr>
          <w:rStyle w:val="FootnoteReference"/>
        </w:rPr>
        <w:footnoteReference w:id="601"/>
      </w:r>
      <w:r w:rsidRPr="0080041A">
        <w:t xml:space="preserve"> Hence, </w:t>
      </w:r>
      <w:r>
        <w:t>when</w:t>
      </w:r>
      <w:r w:rsidRPr="0080041A">
        <w:t xml:space="preserve"> </w:t>
      </w:r>
      <w:r>
        <w:t xml:space="preserve">a </w:t>
      </w:r>
      <w:r w:rsidRPr="0080041A">
        <w:t>claimant has established their case, the highway authority has recourse to the defences available at common law</w:t>
      </w:r>
      <w:r>
        <w:t xml:space="preserve"> as</w:t>
      </w:r>
      <w:r w:rsidRPr="0080041A">
        <w:t xml:space="preserve"> well as the s 58(1) defence</w:t>
      </w:r>
      <w:r>
        <w:t xml:space="preserve">. The s 58(1) defence </w:t>
      </w:r>
      <w:r w:rsidRPr="0080041A">
        <w:t xml:space="preserve">removes liability if the authority has taken ‘such care as in all the circumstances was reasonably required to secure that the part of the highway to which the action relates was not dangerous for traffic.’ On this </w:t>
      </w:r>
      <w:r>
        <w:t>issue</w:t>
      </w:r>
      <w:r w:rsidRPr="0080041A">
        <w:t xml:space="preserve">, the burden </w:t>
      </w:r>
      <w:r>
        <w:t xml:space="preserve">of proof </w:t>
      </w:r>
      <w:r w:rsidRPr="0080041A">
        <w:t>rests on the highway authority.</w:t>
      </w:r>
      <w:r w:rsidRPr="0080041A">
        <w:rPr>
          <w:rStyle w:val="FootnoteReference"/>
        </w:rPr>
        <w:footnoteReference w:id="602"/>
      </w:r>
      <w:r w:rsidRPr="0080041A">
        <w:t xml:space="preserve"> </w:t>
      </w:r>
    </w:p>
    <w:p w14:paraId="3BBB7DE3" w14:textId="77777777" w:rsidR="0019789C" w:rsidRDefault="0019789C" w:rsidP="004C0FF4"/>
    <w:p w14:paraId="22D93D44" w14:textId="77777777" w:rsidR="0019789C" w:rsidRPr="0080041A" w:rsidRDefault="0019789C" w:rsidP="004C0FF4">
      <w:r w:rsidRPr="0080041A">
        <w:t xml:space="preserve">Section 58(2) </w:t>
      </w:r>
      <w:r>
        <w:t xml:space="preserve">of the </w:t>
      </w:r>
      <w:r w:rsidRPr="0080041A">
        <w:t xml:space="preserve">Highways Act 1980 lists </w:t>
      </w:r>
      <w:r>
        <w:t xml:space="preserve">the </w:t>
      </w:r>
      <w:r w:rsidRPr="0080041A">
        <w:t xml:space="preserve">matters </w:t>
      </w:r>
      <w:r>
        <w:t xml:space="preserve">to which </w:t>
      </w:r>
      <w:r w:rsidRPr="0080041A">
        <w:t xml:space="preserve">the court shall have regard </w:t>
      </w:r>
      <w:r>
        <w:t>when</w:t>
      </w:r>
      <w:r w:rsidRPr="0080041A">
        <w:t xml:space="preserve"> deciding </w:t>
      </w:r>
      <w:r>
        <w:t xml:space="preserve">whether </w:t>
      </w:r>
      <w:r w:rsidRPr="0080041A">
        <w:t>the s 58(1) defence</w:t>
      </w:r>
      <w:r>
        <w:t xml:space="preserve"> applies.</w:t>
      </w:r>
      <w:r w:rsidRPr="0080041A">
        <w:t xml:space="preserve"> </w:t>
      </w:r>
      <w:r>
        <w:t>These factors are as follows:</w:t>
      </w:r>
    </w:p>
    <w:p w14:paraId="03101E57" w14:textId="77777777" w:rsidR="0019789C" w:rsidRPr="0080041A" w:rsidRDefault="0019789C" w:rsidP="004C0FF4">
      <w:pPr>
        <w:pStyle w:val="QuoteList"/>
      </w:pPr>
      <w:r w:rsidRPr="0080041A">
        <w:lastRenderedPageBreak/>
        <w:t>(a)</w:t>
      </w:r>
      <w:r w:rsidRPr="0080041A">
        <w:tab/>
        <w:t>the character of the highway, and the traffic which was reasonably to be expected to use it;</w:t>
      </w:r>
    </w:p>
    <w:p w14:paraId="1C68B1C5" w14:textId="77777777" w:rsidR="0019789C" w:rsidRPr="0080041A" w:rsidRDefault="0019789C" w:rsidP="004C0FF4">
      <w:pPr>
        <w:pStyle w:val="QuoteList"/>
      </w:pPr>
      <w:r w:rsidRPr="0080041A">
        <w:t>(b)</w:t>
      </w:r>
      <w:r w:rsidRPr="0080041A">
        <w:tab/>
        <w:t>the standard of maintenance appropriate for a highway of that character and used by such traffic;</w:t>
      </w:r>
    </w:p>
    <w:p w14:paraId="777894F4" w14:textId="77777777" w:rsidR="0019789C" w:rsidRPr="0080041A" w:rsidRDefault="0019789C" w:rsidP="004C0FF4">
      <w:pPr>
        <w:pStyle w:val="QuoteList"/>
      </w:pPr>
      <w:r w:rsidRPr="0080041A">
        <w:t>(c)</w:t>
      </w:r>
      <w:r w:rsidRPr="0080041A">
        <w:tab/>
        <w:t>the state of repair in which a reasonable person would have expected to find the highway;</w:t>
      </w:r>
    </w:p>
    <w:p w14:paraId="67F742EF" w14:textId="77777777" w:rsidR="0019789C" w:rsidRPr="0080041A" w:rsidRDefault="0019789C" w:rsidP="004C0FF4">
      <w:pPr>
        <w:pStyle w:val="QuoteList"/>
      </w:pPr>
      <w:r w:rsidRPr="0080041A">
        <w:t>(d)</w:t>
      </w:r>
      <w:r w:rsidRPr="0080041A">
        <w:tab/>
        <w:t>whether the highway authority knew, or could reasonably have been expected to know, that the condition of the part of the highway to which the action relates was likely to cause danger to users of the highway;</w:t>
      </w:r>
    </w:p>
    <w:p w14:paraId="13CFB30D" w14:textId="77777777" w:rsidR="0019789C" w:rsidRPr="0080041A" w:rsidRDefault="0019789C" w:rsidP="004C0FF4">
      <w:pPr>
        <w:pStyle w:val="QuoteList"/>
      </w:pPr>
      <w:r w:rsidRPr="0080041A">
        <w:t>(e)</w:t>
      </w:r>
      <w:r w:rsidRPr="0080041A">
        <w:tab/>
        <w:t>where the highway authority could not reasonably have been expected to repair that part of the highway before the cause of action arose, what warning notices of its condition had been displayed.</w:t>
      </w:r>
    </w:p>
    <w:p w14:paraId="175EC213" w14:textId="77777777" w:rsidR="0019789C" w:rsidRDefault="0019789C" w:rsidP="004C0FF4"/>
    <w:p w14:paraId="2214C69A" w14:textId="2351E22E" w:rsidR="0019789C" w:rsidRPr="0080041A" w:rsidRDefault="0019789C" w:rsidP="004C0FF4">
      <w:r w:rsidRPr="0080041A">
        <w:t xml:space="preserve">There has been considerable litigation over the years </w:t>
      </w:r>
      <w:r>
        <w:t>on</w:t>
      </w:r>
      <w:r w:rsidRPr="0080041A">
        <w:t xml:space="preserve"> what constitutes ‘dangerous’</w:t>
      </w:r>
      <w:r>
        <w:t>;</w:t>
      </w:r>
      <w:r w:rsidRPr="0080041A">
        <w:t xml:space="preserve"> whether the local highway authority acted reasonably</w:t>
      </w:r>
      <w:r>
        <w:t>;</w:t>
      </w:r>
      <w:r w:rsidRPr="0080041A">
        <w:t xml:space="preserve"> and the degree of maintenance or repair required.</w:t>
      </w:r>
    </w:p>
    <w:p w14:paraId="1213C35C" w14:textId="77777777" w:rsidR="0019789C" w:rsidRPr="0080041A" w:rsidRDefault="0019789C" w:rsidP="004C0FF4"/>
    <w:p w14:paraId="1B3A69DB" w14:textId="48E8EDA6" w:rsidR="0019789C" w:rsidRPr="0080041A" w:rsidRDefault="0019789C" w:rsidP="004C0FF4">
      <w:r w:rsidRPr="0080041A">
        <w:t xml:space="preserve">In </w:t>
      </w:r>
      <w:r w:rsidRPr="004C0FF4">
        <w:rPr>
          <w:rStyle w:val="case"/>
        </w:rPr>
        <w:t>Mills v Barnsley Metropolitan Borough Council</w:t>
      </w:r>
      <w:r w:rsidRPr="0080041A">
        <w:t>,</w:t>
      </w:r>
      <w:r w:rsidRPr="0080041A">
        <w:rPr>
          <w:rStyle w:val="FootnoteReference"/>
        </w:rPr>
        <w:footnoteReference w:id="603"/>
      </w:r>
      <w:r w:rsidRPr="0080041A">
        <w:t xml:space="preserve"> </w:t>
      </w:r>
      <w:r>
        <w:t xml:space="preserve">for instance, </w:t>
      </w:r>
      <w:r w:rsidRPr="0080041A">
        <w:t>the claimant, a 58-year-old woman, tripped in a gap created by a missing corner of pavement, which was about two inches at its widest point; she sustained a sprained ankle and a fracture of the fibula.</w:t>
      </w:r>
      <w:r w:rsidRPr="0080041A">
        <w:rPr>
          <w:rStyle w:val="FootnoteReference"/>
        </w:rPr>
        <w:footnoteReference w:id="604"/>
      </w:r>
      <w:r w:rsidRPr="0080041A">
        <w:t xml:space="preserve"> Steyn LJ rejected the position that trips of more than one inch would always be dangerous</w:t>
      </w:r>
      <w:r>
        <w:t>, stating that</w:t>
      </w:r>
      <w:r w:rsidRPr="0080041A">
        <w:t xml:space="preserve"> liability was dependent on the specific facts of each case: ‘All that one can say is that the test of dangerousness is one of reasonable foresight of harm to users of the highway, and that each case will turn on its own facts.’</w:t>
      </w:r>
      <w:r w:rsidRPr="0080041A">
        <w:rPr>
          <w:rStyle w:val="FootnoteReference"/>
        </w:rPr>
        <w:footnoteReference w:id="605"/>
      </w:r>
      <w:r w:rsidRPr="0080041A">
        <w:t xml:space="preserve"> </w:t>
      </w:r>
      <w:r>
        <w:t>In his view,</w:t>
      </w:r>
      <w:r w:rsidRPr="0080041A">
        <w:t xml:space="preserve"> if a defect of two inches by 1.25 inches were to be considered dangerous, the result would be to: </w:t>
      </w:r>
    </w:p>
    <w:p w14:paraId="2AFBAA56" w14:textId="77777777" w:rsidR="0019789C" w:rsidRPr="0080041A" w:rsidRDefault="0019789C" w:rsidP="004C0FF4">
      <w:pPr>
        <w:pStyle w:val="Quote"/>
      </w:pPr>
      <w:r w:rsidRPr="0080041A">
        <w:t>… impliedly set a standard which, if generally used in the thousands of tripping cases which come before the courts every year, would impose an unreasonable burden upon highway authorities in respect of minor depressions and holes in streets which in a less than perfect world the public must simply regard as a fact of life.</w:t>
      </w:r>
      <w:r w:rsidRPr="0080041A">
        <w:rPr>
          <w:rStyle w:val="FootnoteReference"/>
        </w:rPr>
        <w:footnoteReference w:id="606"/>
      </w:r>
    </w:p>
    <w:p w14:paraId="13C26C6D" w14:textId="000A7B39" w:rsidR="0019789C" w:rsidRPr="0080041A" w:rsidRDefault="0019789C" w:rsidP="004C0FF4">
      <w:pPr>
        <w:ind w:firstLine="0"/>
      </w:pPr>
      <w:r w:rsidRPr="0080041A">
        <w:lastRenderedPageBreak/>
        <w:t>Steyn LJ went on to emphasise the policy aspect of such cases and the balance between a pedestrian’s right to avoid injury and a highway authority’s limited resources:</w:t>
      </w:r>
    </w:p>
    <w:p w14:paraId="24C65A81" w14:textId="77777777" w:rsidR="0019789C" w:rsidRPr="0080041A" w:rsidRDefault="0019789C" w:rsidP="004C0FF4">
      <w:pPr>
        <w:pStyle w:val="Quote"/>
      </w:pPr>
      <w:r w:rsidRPr="0080041A">
        <w:t>It is important that our tort law should not impose unreasonably high standards, otherwise scarce resources should be diverted from situations where maintenance and repair of the highways is more urgently needed. This branch of the law of tort ought to represent a sensible balance of compromise between public and private interest. The judge's ruling in this case, if allowed to stand, would tilt the balance too far in favour of the [claimant]. The risk was of low order and the cost of remedying such minor defects all over the country would be enormous.</w:t>
      </w:r>
      <w:r w:rsidRPr="0080041A">
        <w:rPr>
          <w:rStyle w:val="FootnoteReference"/>
        </w:rPr>
        <w:footnoteReference w:id="607"/>
      </w:r>
    </w:p>
    <w:p w14:paraId="688AD696" w14:textId="77777777" w:rsidR="0019789C" w:rsidRPr="0080041A" w:rsidRDefault="0019789C" w:rsidP="004C0FF4"/>
    <w:p w14:paraId="5E6EE836" w14:textId="2D25DCB3" w:rsidR="0019789C" w:rsidRPr="0080041A" w:rsidRDefault="0019789C" w:rsidP="004C0FF4">
      <w:r w:rsidRPr="0080041A">
        <w:t xml:space="preserve">In </w:t>
      </w:r>
      <w:r w:rsidRPr="004C0FF4">
        <w:rPr>
          <w:rStyle w:val="case"/>
        </w:rPr>
        <w:t>Cenet v Wirral Metropolitan Borough Council</w:t>
      </w:r>
      <w:r w:rsidRPr="0080041A">
        <w:t>,</w:t>
      </w:r>
      <w:r w:rsidRPr="0080041A">
        <w:rPr>
          <w:rStyle w:val="FootnoteReference"/>
        </w:rPr>
        <w:footnoteReference w:id="608"/>
      </w:r>
      <w:r w:rsidRPr="0080041A">
        <w:t xml:space="preserve"> the claimant suffered injury when she caught her foot in a 35 millimetre depression in the road at the mouth of an old vehicle entry point where there was no pavement or kerb.</w:t>
      </w:r>
      <w:r w:rsidRPr="0080041A">
        <w:rPr>
          <w:rStyle w:val="FootnoteReference"/>
        </w:rPr>
        <w:footnoteReference w:id="609"/>
      </w:r>
      <w:r w:rsidRPr="0080041A">
        <w:t xml:space="preserve"> The court held that there was evidence to support the view that the trip was not dangerous.</w:t>
      </w:r>
      <w:r w:rsidRPr="0080041A">
        <w:rPr>
          <w:rStyle w:val="FootnoteReference"/>
        </w:rPr>
        <w:footnoteReference w:id="610"/>
      </w:r>
      <w:r w:rsidRPr="0080041A">
        <w:t xml:space="preserve"> Factors taken into account were the that the trip was adjacent to double yellow lines and, accordingly, the accident occurred in the road rather than a pavement and that carriageway criteria should be adopted;</w:t>
      </w:r>
      <w:r w:rsidRPr="0080041A">
        <w:rPr>
          <w:rStyle w:val="FootnoteReference"/>
        </w:rPr>
        <w:footnoteReference w:id="611"/>
      </w:r>
      <w:r w:rsidRPr="0080041A">
        <w:t xml:space="preserve"> that the locus was not a high usage crossing point;</w:t>
      </w:r>
      <w:r w:rsidRPr="0080041A">
        <w:rPr>
          <w:rStyle w:val="FootnoteReference"/>
        </w:rPr>
        <w:footnoteReference w:id="612"/>
      </w:r>
      <w:r w:rsidRPr="0080041A">
        <w:t xml:space="preserve"> and that the risk presented was of a low order and the cost of remedying all such defects in the carriageway would be wholly disproportionate.</w:t>
      </w:r>
      <w:r w:rsidRPr="0080041A">
        <w:rPr>
          <w:rStyle w:val="FootnoteReference"/>
        </w:rPr>
        <w:footnoteReference w:id="613"/>
      </w:r>
    </w:p>
    <w:p w14:paraId="21C7DB99" w14:textId="77777777" w:rsidR="0019789C" w:rsidRPr="0080041A" w:rsidRDefault="0019789C" w:rsidP="00683CF7"/>
    <w:p w14:paraId="0B405021" w14:textId="4A1B277F" w:rsidR="0019789C" w:rsidRDefault="0019789C" w:rsidP="00683CF7">
      <w:r w:rsidRPr="0080041A">
        <w:t>The Roads (Scotland) Act 1984 governs the practice of roads authorities and others in Scotland. Depending on the road, responsibility will usually lie with either the Scottish Ministers, the local authority or, in some cases, the Operating Company contracted to maintain the road. The provisions of the Roads (Scotland) Act 1984 largely mirror those of the Highways Act 1980</w:t>
      </w:r>
      <w:r>
        <w:t>. It</w:t>
      </w:r>
      <w:r w:rsidRPr="0080041A">
        <w:t xml:space="preserve"> regulates certain obstructions on the road and imposes </w:t>
      </w:r>
      <w:r w:rsidRPr="0080041A">
        <w:lastRenderedPageBreak/>
        <w:t>certain duties re</w:t>
      </w:r>
      <w:r>
        <w:t>levant to safeguarding pedestrians.</w:t>
      </w:r>
      <w:r w:rsidRPr="0080041A">
        <w:t xml:space="preserve"> Of key importance is Part IV, which covers improvement and maintenance of roads and footways, placing obligations on the roads authority to provide footways, bridges or subways for pedestrians;</w:t>
      </w:r>
      <w:r w:rsidRPr="0080041A">
        <w:rPr>
          <w:rStyle w:val="FootnoteReference"/>
        </w:rPr>
        <w:footnoteReference w:id="614"/>
      </w:r>
      <w:r w:rsidRPr="0080041A">
        <w:t xml:space="preserve"> lighting;</w:t>
      </w:r>
      <w:r w:rsidRPr="0080041A">
        <w:rPr>
          <w:rStyle w:val="FootnoteReference"/>
        </w:rPr>
        <w:footnoteReference w:id="615"/>
      </w:r>
      <w:r w:rsidRPr="0080041A">
        <w:t xml:space="preserve"> and to clear roads and footways of snow and ice.</w:t>
      </w:r>
      <w:r w:rsidRPr="0080041A">
        <w:rPr>
          <w:rStyle w:val="FootnoteReference"/>
        </w:rPr>
        <w:footnoteReference w:id="616"/>
      </w:r>
      <w:r w:rsidRPr="0080041A">
        <w:t xml:space="preserve"> </w:t>
      </w:r>
      <w:r>
        <w:t>However, a failure to comply with a duty contained in t</w:t>
      </w:r>
      <w:r w:rsidRPr="0080041A">
        <w:t>he Roads (Scotland) Act 1984</w:t>
      </w:r>
      <w:r>
        <w:t xml:space="preserve"> does not give rise to a specific form of legal action. Liability is instead determined in accordance with the general principles of common law negligence.</w:t>
      </w:r>
      <w:r>
        <w:rPr>
          <w:rStyle w:val="FootnoteReference"/>
        </w:rPr>
        <w:footnoteReference w:id="617"/>
      </w:r>
    </w:p>
    <w:p w14:paraId="75F0B28E" w14:textId="2DFEECFF" w:rsidR="0019789C" w:rsidRDefault="0019789C" w:rsidP="00683CF7"/>
    <w:p w14:paraId="71A0ED57" w14:textId="35A1C183" w:rsidR="0019789C" w:rsidRDefault="0019789C" w:rsidP="004C0FF4">
      <w:r w:rsidRPr="0080041A">
        <w:t xml:space="preserve">A key difference between the law in England and Wales and that in Scotland is that the latter’s legislation contains no equivalent s 58 defence against an alleged failure to maintain the roads. The equivalent statutory duty in Scotland arises under s 1 of the Roads (Scotland) Act 1984 </w:t>
      </w:r>
      <w:r>
        <w:t xml:space="preserve">and it is a duty </w:t>
      </w:r>
      <w:r w:rsidRPr="0080041A">
        <w:t xml:space="preserve">to manage and maintain public roads (which includes repair </w:t>
      </w:r>
      <w:r>
        <w:t>under</w:t>
      </w:r>
      <w:r w:rsidRPr="0080041A">
        <w:t xml:space="preserve"> </w:t>
      </w:r>
      <w:r>
        <w:t xml:space="preserve">s </w:t>
      </w:r>
      <w:r w:rsidRPr="0080041A">
        <w:t xml:space="preserve">151 </w:t>
      </w:r>
      <w:r>
        <w:t xml:space="preserve">of the </w:t>
      </w:r>
      <w:r w:rsidRPr="0080041A">
        <w:t xml:space="preserve">Roads (Scotland) Act 1984). </w:t>
      </w:r>
    </w:p>
    <w:p w14:paraId="45BE2176" w14:textId="77777777" w:rsidR="0019789C" w:rsidRDefault="0019789C" w:rsidP="004C0FF4"/>
    <w:p w14:paraId="2A167347" w14:textId="49DEEE84" w:rsidR="0019789C" w:rsidRDefault="0019789C" w:rsidP="004C0FF4">
      <w:r w:rsidRPr="0080041A">
        <w:t>However, the means by which a pedestrian can bring legal action is through the common law duty of care arising from the relationship between the local authority and pedestrians or road users created by s 1.</w:t>
      </w:r>
      <w:r w:rsidRPr="0080041A">
        <w:rPr>
          <w:rStyle w:val="FootnoteReference"/>
        </w:rPr>
        <w:footnoteReference w:id="618"/>
      </w:r>
      <w:r w:rsidRPr="0080041A">
        <w:t xml:space="preserve"> </w:t>
      </w:r>
      <w:r>
        <w:t>This stance was recently reiterated by the Court of Session:</w:t>
      </w:r>
    </w:p>
    <w:p w14:paraId="3A51223E" w14:textId="77777777" w:rsidR="0019789C" w:rsidRDefault="0019789C" w:rsidP="004C0FF4">
      <w:pPr>
        <w:pStyle w:val="Quote"/>
      </w:pPr>
      <w:r>
        <w:t xml:space="preserve">A roads authority is liable in negligence at common law for any failure to deal with a hazard that exists on the roads under its control. A ‘hazard’ for this </w:t>
      </w:r>
      <w:r>
        <w:lastRenderedPageBreak/>
        <w:t>purpose is something that would present a significant risk of an accident to a person proceeding along the road in question with due skill and care.</w:t>
      </w:r>
      <w:r>
        <w:rPr>
          <w:rStyle w:val="FootnoteReference"/>
        </w:rPr>
        <w:footnoteReference w:id="619"/>
      </w:r>
    </w:p>
    <w:p w14:paraId="559B67E2" w14:textId="653EA572" w:rsidR="0019789C" w:rsidRPr="0080041A" w:rsidRDefault="0019789C" w:rsidP="00D41E5B">
      <w:pPr>
        <w:ind w:firstLine="0"/>
      </w:pPr>
      <w:r>
        <w:t>B</w:t>
      </w:r>
      <w:r w:rsidRPr="0080041A">
        <w:t xml:space="preserve">y comparison, in England and Wales, the courts have unequivocally found that the s 41 </w:t>
      </w:r>
      <w:r>
        <w:t xml:space="preserve">of the </w:t>
      </w:r>
      <w:r w:rsidRPr="0080041A">
        <w:t xml:space="preserve">Highways Act 1980 duty to maintain does not give rise to a common law duty of care, which will be discussed in </w:t>
      </w:r>
      <w:r>
        <w:t>later in the relation to Noteworthy</w:t>
      </w:r>
      <w:r w:rsidRPr="0080041A">
        <w:t xml:space="preserve"> Project-Related </w:t>
      </w:r>
      <w:r>
        <w:t>Observations and Concerns</w:t>
      </w:r>
      <w:r w:rsidRPr="0080041A">
        <w:t>.</w:t>
      </w:r>
    </w:p>
    <w:p w14:paraId="45ED2E41" w14:textId="77777777" w:rsidR="0019789C" w:rsidRPr="0080041A" w:rsidRDefault="0019789C" w:rsidP="004C0FF4"/>
    <w:p w14:paraId="27D6AC69" w14:textId="0BCAE264" w:rsidR="0019789C" w:rsidRDefault="0019789C" w:rsidP="00D41E5B">
      <w:pPr>
        <w:rPr>
          <w:i/>
        </w:rPr>
      </w:pPr>
      <w:r>
        <w:t>In Scotland</w:t>
      </w:r>
      <w:r w:rsidRPr="0080041A">
        <w:t xml:space="preserve">, since the duty at common law is to take reasonable care, and liability arises in negligence only, there is no need for a statutory defence. The courts have looked at the specific facts and circumstances of the given case. In the case of </w:t>
      </w:r>
      <w:r w:rsidRPr="00D41E5B">
        <w:rPr>
          <w:rStyle w:val="case"/>
        </w:rPr>
        <w:t>Gibson v Strathclyde Regional Council</w:t>
      </w:r>
      <w:r w:rsidRPr="0080041A">
        <w:rPr>
          <w:i/>
        </w:rPr>
        <w:t>,</w:t>
      </w:r>
      <w:r w:rsidRPr="0080041A">
        <w:rPr>
          <w:rStyle w:val="FootnoteReference"/>
          <w:rFonts w:cs="Times New Roman"/>
          <w:szCs w:val="24"/>
          <w:lang w:eastAsia="en-GB"/>
        </w:rPr>
        <w:footnoteReference w:id="620"/>
      </w:r>
      <w:r w:rsidRPr="0080041A">
        <w:t xml:space="preserve"> for example, the claimant was injured when she stepped into an uncovered drain inspection hole in a pavement in central Glasgow</w:t>
      </w:r>
      <w:r>
        <w:t>.</w:t>
      </w:r>
      <w:r w:rsidRPr="0080041A">
        <w:t xml:space="preserve"> </w:t>
      </w:r>
      <w:r>
        <w:t>S</w:t>
      </w:r>
      <w:r w:rsidRPr="0080041A">
        <w:t>he brought a legal action arguing that it was the defendant’s duty to inspect drains daily to ensure that they were covered</w:t>
      </w:r>
      <w:r w:rsidRPr="0080041A">
        <w:rPr>
          <w:i/>
        </w:rPr>
        <w:t>.</w:t>
      </w:r>
      <w:r w:rsidRPr="0080041A">
        <w:rPr>
          <w:rStyle w:val="FootnoteReference"/>
          <w:rFonts w:cs="Times New Roman"/>
          <w:szCs w:val="24"/>
          <w:lang w:eastAsia="en-GB"/>
        </w:rPr>
        <w:footnoteReference w:id="621"/>
      </w:r>
      <w:r w:rsidRPr="0080041A">
        <w:t xml:space="preserve"> The claim was dismissed as daily inspection of the drains was not reasonable or practicable.</w:t>
      </w:r>
      <w:r w:rsidRPr="0080041A">
        <w:rPr>
          <w:rStyle w:val="FootnoteReference"/>
        </w:rPr>
        <w:footnoteReference w:id="622"/>
      </w:r>
      <w:r w:rsidRPr="0080041A">
        <w:t xml:space="preserve"> As far as seeking a balance between the rights of pedestrians and the road authority’s limited resources is concerned, this case highlights how a pedestrian must be realistic in their expectations: the claimant’s argument for daily inspections was deemed unreasonable and, as noted by the </w:t>
      </w:r>
      <w:r>
        <w:t>c</w:t>
      </w:r>
      <w:r w:rsidRPr="0080041A">
        <w:t>ourt, she would have had a greater likelihood of success had she made a case for inspections at weekly or 10 day intervals</w:t>
      </w:r>
      <w:r w:rsidRPr="0080041A">
        <w:rPr>
          <w:i/>
        </w:rPr>
        <w:t>.</w:t>
      </w:r>
      <w:r w:rsidRPr="0080041A">
        <w:rPr>
          <w:rStyle w:val="FootnoteReference"/>
          <w:rFonts w:cs="Times New Roman"/>
          <w:szCs w:val="24"/>
          <w:lang w:eastAsia="en-GB"/>
        </w:rPr>
        <w:footnoteReference w:id="623"/>
      </w:r>
    </w:p>
    <w:p w14:paraId="015BCADB" w14:textId="3981F3B3" w:rsidR="0019789C" w:rsidRDefault="0019789C" w:rsidP="00D41E5B">
      <w:pPr>
        <w:rPr>
          <w:i/>
        </w:rPr>
      </w:pPr>
    </w:p>
    <w:p w14:paraId="412172DA" w14:textId="45C5F880" w:rsidR="0019789C" w:rsidRDefault="0019789C" w:rsidP="00954CF6">
      <w:r>
        <w:t xml:space="preserve">Section 65(1) of the </w:t>
      </w:r>
      <w:r w:rsidRPr="00113582">
        <w:t>New Roads and Street Works Act 1991</w:t>
      </w:r>
      <w:r>
        <w:t xml:space="preserve"> (</w:t>
      </w:r>
      <w:r w:rsidRPr="0080041A">
        <w:t>NRSWA</w:t>
      </w:r>
      <w:r>
        <w:t>)</w:t>
      </w:r>
      <w:r w:rsidRPr="00113582">
        <w:t xml:space="preserve"> </w:t>
      </w:r>
      <w:r>
        <w:t>places a duty on</w:t>
      </w:r>
      <w:r w:rsidRPr="0080041A">
        <w:t xml:space="preserve"> statutory undertakers to ensure that street works are adequately guarded and lit</w:t>
      </w:r>
      <w:r>
        <w:t>, which is discussed in more detail in Section D1.1 below.</w:t>
      </w:r>
      <w:r>
        <w:rPr>
          <w:rStyle w:val="FootnoteReference"/>
        </w:rPr>
        <w:footnoteReference w:id="624"/>
      </w:r>
      <w:r>
        <w:t xml:space="preserve"> There are only a few cases on this provision that are </w:t>
      </w:r>
      <w:r w:rsidRPr="0080041A">
        <w:t xml:space="preserve">relevant to the IPS Project and none </w:t>
      </w:r>
      <w:r>
        <w:t xml:space="preserve">have held </w:t>
      </w:r>
      <w:r w:rsidRPr="0080041A">
        <w:t xml:space="preserve">that </w:t>
      </w:r>
      <w:r>
        <w:t>it</w:t>
      </w:r>
      <w:r w:rsidRPr="0080041A">
        <w:t xml:space="preserve"> gives rise to individual action. In </w:t>
      </w:r>
      <w:r w:rsidRPr="00104062">
        <w:rPr>
          <w:rStyle w:val="case"/>
        </w:rPr>
        <w:t>Keating v Elvan Reinforced Concrete Co Ltd</w:t>
      </w:r>
      <w:r w:rsidRPr="0080041A">
        <w:t>,</w:t>
      </w:r>
      <w:r>
        <w:rPr>
          <w:rStyle w:val="FootnoteReference"/>
        </w:rPr>
        <w:footnoteReference w:id="625"/>
      </w:r>
      <w:r w:rsidRPr="0080041A">
        <w:t xml:space="preserve"> for example, a pedestrian fell into a trench in a street excavated by contractors working for the local </w:t>
      </w:r>
      <w:r w:rsidRPr="0080041A">
        <w:lastRenderedPageBreak/>
        <w:t xml:space="preserve">authority and brought legal action for both negligence and breach of statutory duty (under s 8 </w:t>
      </w:r>
      <w:r>
        <w:t xml:space="preserve">of the </w:t>
      </w:r>
      <w:r w:rsidRPr="0080041A">
        <w:t>Public Utilities Street Works Act 1950, which was the predecessor of the NRSWA).</w:t>
      </w:r>
      <w:r w:rsidRPr="0080041A">
        <w:rPr>
          <w:rStyle w:val="FootnoteReference"/>
        </w:rPr>
        <w:footnoteReference w:id="626"/>
      </w:r>
      <w:r w:rsidRPr="0080041A">
        <w:t xml:space="preserve"> There was no evidence of negligence because the barrier was properly erected and the fall was due to the removal, by a wrongdoer, of the protective barrier erected by the contractors.</w:t>
      </w:r>
      <w:r w:rsidRPr="0080041A">
        <w:rPr>
          <w:rStyle w:val="FootnoteReference"/>
        </w:rPr>
        <w:footnoteReference w:id="627"/>
      </w:r>
      <w:r w:rsidRPr="0080041A">
        <w:t xml:space="preserve"> As to the alleged breach of statutory duty, the Court found that s 8 was not to be construed as providing ‘a right of action for any individual who suffers particular damage from breach of any of the statutory requirements’; rather, ‘the object of the Act of 1950 is to regulate the relations between undertakers who exercise statutory powers to break up streets and the highway authorities and other authorities who are, by virtue of their functions, concerned with the way in which those operations are carried out by the undertakers.’</w:t>
      </w:r>
      <w:r w:rsidRPr="0080041A">
        <w:rPr>
          <w:rStyle w:val="FootnoteReference"/>
        </w:rPr>
        <w:footnoteReference w:id="628"/>
      </w:r>
      <w:r w:rsidRPr="0080041A">
        <w:t xml:space="preserve"> Although it is likely that the criminal offense of removing or altering a barrier or extinguishing a light found in s 65(6) and s 124(6) New Roads and Street Works Act 1991</w:t>
      </w:r>
      <w:r w:rsidRPr="0080041A">
        <w:rPr>
          <w:rStyle w:val="FootnoteReference"/>
        </w:rPr>
        <w:footnoteReference w:id="629"/>
      </w:r>
      <w:r w:rsidRPr="0080041A">
        <w:t xml:space="preserve"> is a result of the </w:t>
      </w:r>
      <w:r w:rsidRPr="009028BC">
        <w:rPr>
          <w:rStyle w:val="case"/>
        </w:rPr>
        <w:t>Keating</w:t>
      </w:r>
      <w:r w:rsidRPr="0080041A">
        <w:rPr>
          <w:i/>
        </w:rPr>
        <w:t xml:space="preserve"> </w:t>
      </w:r>
      <w:r w:rsidRPr="0080041A">
        <w:t>case.</w:t>
      </w:r>
    </w:p>
    <w:p w14:paraId="7106DF78" w14:textId="77777777" w:rsidR="0019789C" w:rsidRDefault="0019789C" w:rsidP="008E5F47">
      <w:pPr>
        <w:ind w:firstLine="0"/>
        <w:rPr>
          <w:lang w:bidi="en-US"/>
        </w:rPr>
      </w:pPr>
    </w:p>
    <w:p w14:paraId="3F5B5CEF" w14:textId="71A28DFF" w:rsidR="0019789C" w:rsidRPr="0080041A" w:rsidRDefault="0019789C" w:rsidP="00954CF6">
      <w:r w:rsidRPr="0080041A">
        <w:t xml:space="preserve">As per s 175A(1) </w:t>
      </w:r>
      <w:r>
        <w:t xml:space="preserve">of the </w:t>
      </w:r>
      <w:r w:rsidRPr="0080041A">
        <w:t xml:space="preserve">Highways Act 1980: </w:t>
      </w:r>
    </w:p>
    <w:p w14:paraId="2F090B93" w14:textId="77777777" w:rsidR="0019789C" w:rsidRPr="0080041A" w:rsidRDefault="0019789C" w:rsidP="00954CF6">
      <w:pPr>
        <w:pStyle w:val="Quote"/>
      </w:pPr>
      <w:r w:rsidRPr="0080041A">
        <w:t>In executing works in a street which may impede the mobility of disabled persons or blind persons, highway authorities, local authorities and any other person exercising a statutory power to execute works on a highway shall have regard to the needs of such persons.</w:t>
      </w:r>
    </w:p>
    <w:p w14:paraId="190F1EEA" w14:textId="7E769B33" w:rsidR="0019789C" w:rsidRDefault="0019789C" w:rsidP="008E5F47">
      <w:pPr>
        <w:ind w:firstLine="0"/>
      </w:pPr>
      <w:r>
        <w:t>This</w:t>
      </w:r>
      <w:r w:rsidRPr="0080041A">
        <w:t xml:space="preserve"> provision extends to the placement of lamp-posts, bollards, traffic signs, apparatus or other permanent obstructions in a street, while highway authorities must have regard to the needs of disabled persons when considering the desirability of providing ramps at appropriate places between carriageways and footways.</w:t>
      </w:r>
      <w:r w:rsidRPr="0080041A">
        <w:rPr>
          <w:rStyle w:val="FootnoteReference"/>
        </w:rPr>
        <w:footnoteReference w:id="630"/>
      </w:r>
      <w:r w:rsidRPr="0080041A">
        <w:t xml:space="preserve"> Likewise, s 175A(4) </w:t>
      </w:r>
      <w:r>
        <w:t xml:space="preserve">Highways Act 1980 </w:t>
      </w:r>
      <w:r w:rsidRPr="0080041A">
        <w:t xml:space="preserve">specifically refers to ‘the need of blind persons to have any opening, whether temporary or permanent, in the street, properly protected.’ Section 120 </w:t>
      </w:r>
      <w:r>
        <w:t xml:space="preserve">of the </w:t>
      </w:r>
      <w:r w:rsidRPr="0080041A">
        <w:t>Roads (Scotland) Act 1984 imposes a similar duty to have due regard to needs of disabled and blind people in executing works.</w:t>
      </w:r>
      <w:r w:rsidRPr="0080041A">
        <w:rPr>
          <w:rStyle w:val="FootnoteReference"/>
        </w:rPr>
        <w:footnoteReference w:id="631"/>
      </w:r>
      <w:r w:rsidRPr="0080041A">
        <w:t xml:space="preserve"> The most logical explanation for these </w:t>
      </w:r>
      <w:r w:rsidRPr="0080041A">
        <w:lastRenderedPageBreak/>
        <w:t xml:space="preserve">provisions (in particular s 175A, or at least s 175A(4)) is that they are a result of the </w:t>
      </w:r>
      <w:r w:rsidRPr="00170A92">
        <w:rPr>
          <w:i/>
        </w:rPr>
        <w:t>Haley</w:t>
      </w:r>
      <w:r w:rsidRPr="0080041A">
        <w:t xml:space="preserve"> case</w:t>
      </w:r>
      <w:r>
        <w:t xml:space="preserve"> discussed above</w:t>
      </w:r>
      <w:r w:rsidRPr="0080041A">
        <w:t>. On the one hand, the implementation of legislation that addresses the needs of blind and disabled pedestrians is commendable. On the other hand, there is a noticeable scarcity of case law on the provision, nor does it provide an express sanction, and thus it is highly unlikely that the obligations set forth in s</w:t>
      </w:r>
      <w:r>
        <w:t xml:space="preserve"> 175A </w:t>
      </w:r>
      <w:r w:rsidRPr="0080041A">
        <w:t xml:space="preserve">Highways Act 1980 or s 120 Roads (Scotland) Act 1984 give rise to a statutory duty enforceable by individual action. </w:t>
      </w:r>
    </w:p>
    <w:p w14:paraId="36593F61" w14:textId="18E138BE" w:rsidR="0019789C" w:rsidRDefault="0019789C" w:rsidP="00954CF6"/>
    <w:p w14:paraId="1A8AB91C" w14:textId="7AEBA690" w:rsidR="0019789C" w:rsidRDefault="0019789C" w:rsidP="008E5F47">
      <w:r>
        <w:t xml:space="preserve">Lastly, </w:t>
      </w:r>
      <w:r w:rsidRPr="0080041A">
        <w:t xml:space="preserve">s 39 </w:t>
      </w:r>
      <w:r>
        <w:t xml:space="preserve">of the </w:t>
      </w:r>
      <w:r w:rsidRPr="0080041A">
        <w:t>Road Traffic Act 1988</w:t>
      </w:r>
      <w:r>
        <w:t xml:space="preserve"> </w:t>
      </w:r>
      <w:r w:rsidRPr="0080041A">
        <w:t xml:space="preserve">lays out the powers of local authorities to undertake road improvement works for road safety reasons. </w:t>
      </w:r>
      <w:r>
        <w:t xml:space="preserve">The case of </w:t>
      </w:r>
      <w:r w:rsidRPr="008E5F47">
        <w:rPr>
          <w:rStyle w:val="case"/>
        </w:rPr>
        <w:t>Gorringe v Calderdale MBC</w:t>
      </w:r>
      <w:bookmarkStart w:id="73" w:name="_Ref39592125"/>
      <w:r w:rsidRPr="0080041A">
        <w:rPr>
          <w:rStyle w:val="FootnoteReference"/>
        </w:rPr>
        <w:footnoteReference w:id="632"/>
      </w:r>
      <w:bookmarkEnd w:id="73"/>
      <w:r>
        <w:t xml:space="preserve"> </w:t>
      </w:r>
      <w:r w:rsidRPr="0080041A">
        <w:t>did not involve a pedestrian,</w:t>
      </w:r>
      <w:r>
        <w:t xml:space="preserve"> but</w:t>
      </w:r>
      <w:r w:rsidRPr="0080041A">
        <w:t xml:space="preserve"> it </w:t>
      </w:r>
      <w:r>
        <w:t>is</w:t>
      </w:r>
      <w:r w:rsidRPr="0080041A">
        <w:t xml:space="preserve"> a seminal case in terms of the IPS project because, more broadly, it held that the mere existence of statutory powers and duties to promote and improve road safety under s 39 did not create a parallel common law duty; it has been cited regularly ever since in cases involving the enforceability of statutory duties in common law negligence.</w:t>
      </w:r>
    </w:p>
    <w:p w14:paraId="3F7E6DA9" w14:textId="77777777" w:rsidR="0019789C" w:rsidRDefault="0019789C" w:rsidP="008E5F47"/>
    <w:p w14:paraId="241AD159" w14:textId="532E2581" w:rsidR="0019789C" w:rsidRDefault="0019789C" w:rsidP="00547515">
      <w:r w:rsidRPr="0080041A">
        <w:t xml:space="preserve">In </w:t>
      </w:r>
      <w:r w:rsidRPr="008E5F47">
        <w:rPr>
          <w:rStyle w:val="case"/>
        </w:rPr>
        <w:t>Gorringe</w:t>
      </w:r>
      <w:r w:rsidRPr="0080041A">
        <w:t>, the claimant, who had been driving within the speed limit, was seriously injured when she collided with a bus on the crest of a hill where no markings or signs warned of the dangers of the road. The word ‘slow’ had previously been marked on the road but it had disappeared by the time of the accident.</w:t>
      </w:r>
      <w:r w:rsidRPr="0080041A">
        <w:rPr>
          <w:rStyle w:val="FootnoteReference"/>
        </w:rPr>
        <w:footnoteReference w:id="633"/>
      </w:r>
      <w:r w:rsidRPr="0080041A">
        <w:t xml:space="preserve"> The claimant argued that the local authority had caused the accident by failing to give drivers proper warning of the dangers on that stretch of road: firstly, she argued that the absence of suitable road signs constituted a failure to maintain the road under s 41 </w:t>
      </w:r>
      <w:r>
        <w:t xml:space="preserve">of the </w:t>
      </w:r>
      <w:r w:rsidRPr="0080041A">
        <w:t>Highways Act 1980, but the House of Lords found that ‘repair’ did not include the provision of information by means of street furniture or painted signs.</w:t>
      </w:r>
      <w:r w:rsidRPr="0080041A">
        <w:rPr>
          <w:rStyle w:val="FootnoteReference"/>
        </w:rPr>
        <w:footnoteReference w:id="634"/>
      </w:r>
      <w:r w:rsidRPr="0080041A">
        <w:t xml:space="preserve"> Secondly, she argued that the local authority's duty to promote road safety under s 39 </w:t>
      </w:r>
      <w:r>
        <w:t xml:space="preserve">of the </w:t>
      </w:r>
      <w:r w:rsidRPr="0080041A">
        <w:t>Road Traffic Act 1988 created a parallel duty of care at common law to effect safety measures that included the positioning of road signs.</w:t>
      </w:r>
      <w:r w:rsidRPr="0080041A">
        <w:rPr>
          <w:rStyle w:val="FootnoteReference"/>
        </w:rPr>
        <w:footnoteReference w:id="635"/>
      </w:r>
      <w:r w:rsidRPr="0080041A">
        <w:t xml:space="preserve"> </w:t>
      </w:r>
    </w:p>
    <w:p w14:paraId="33DE002D" w14:textId="77777777" w:rsidR="0019789C" w:rsidRDefault="0019789C" w:rsidP="008E5F47"/>
    <w:p w14:paraId="66B984B4" w14:textId="77777777" w:rsidR="0019789C" w:rsidRPr="0080041A" w:rsidRDefault="0019789C" w:rsidP="008E5F47">
      <w:r w:rsidRPr="0080041A">
        <w:lastRenderedPageBreak/>
        <w:t>The House of Lords disagreed, finding that the public law duties in s 39, which were not in themselves enforceable by a private individual in an action for breach of statutory duty, did not give rise to a parallel duty of care at common law. As noted by Lord Hoffmann:</w:t>
      </w:r>
    </w:p>
    <w:p w14:paraId="7624DCBB" w14:textId="77777777" w:rsidR="0019789C" w:rsidRPr="0080041A" w:rsidRDefault="0019789C" w:rsidP="008E5F47">
      <w:pPr>
        <w:pStyle w:val="Quote"/>
      </w:pPr>
      <w:r w:rsidRPr="0080041A">
        <w:t>Of course it is in the public interest that local authorities should take steps to promote road safety. … But the public interest in promoting road safety by taking steps to reduce the likelihood that even careless drivers will have accidents does not require a private law duty to a careless driver or any other road user.</w:t>
      </w:r>
      <w:r w:rsidRPr="0080041A">
        <w:rPr>
          <w:rStyle w:val="FootnoteReference"/>
        </w:rPr>
        <w:footnoteReference w:id="636"/>
      </w:r>
    </w:p>
    <w:p w14:paraId="7F34EEFC" w14:textId="7E0D1A52" w:rsidR="0019789C" w:rsidRDefault="0019789C" w:rsidP="00547515">
      <w:pPr>
        <w:ind w:firstLine="0"/>
      </w:pPr>
      <w:r w:rsidRPr="0080041A">
        <w:t xml:space="preserve">Hence, it was accepted that the defendant authority had a broad statutory duty under s 39 to promote road safety, but this did not give rise to the common law duty of care necessary to confer a benefit on private individuals. The reasoning </w:t>
      </w:r>
      <w:r>
        <w:t xml:space="preserve">in </w:t>
      </w:r>
      <w:r w:rsidRPr="00547515">
        <w:rPr>
          <w:rStyle w:val="case"/>
        </w:rPr>
        <w:t>Gorringe</w:t>
      </w:r>
      <w:r w:rsidRPr="0080041A">
        <w:t xml:space="preserve"> ultimately built on that of </w:t>
      </w:r>
      <w:r w:rsidRPr="00547515">
        <w:rPr>
          <w:rStyle w:val="case"/>
        </w:rPr>
        <w:t>Stovin v Wise</w:t>
      </w:r>
      <w:r w:rsidRPr="0080041A">
        <w:t>,</w:t>
      </w:r>
      <w:r w:rsidRPr="0080041A">
        <w:rPr>
          <w:rStyle w:val="FootnoteReference"/>
        </w:rPr>
        <w:footnoteReference w:id="637"/>
      </w:r>
      <w:r w:rsidRPr="0080041A">
        <w:t xml:space="preserve"> emphasising that such common law duties will only arise in relation to public authorities if justified by independent common law principles and not by the existence of a statutory duty.</w:t>
      </w:r>
      <w:r w:rsidRPr="0080041A">
        <w:rPr>
          <w:rStyle w:val="FootnoteReference"/>
        </w:rPr>
        <w:footnoteReference w:id="638"/>
      </w:r>
      <w:r w:rsidRPr="00525EC3">
        <w:t xml:space="preserve"> </w:t>
      </w:r>
    </w:p>
    <w:p w14:paraId="129F64DC" w14:textId="77777777" w:rsidR="0019789C" w:rsidRPr="0080041A" w:rsidRDefault="0019789C" w:rsidP="00253A57">
      <w:pPr>
        <w:ind w:firstLine="0"/>
      </w:pPr>
    </w:p>
    <w:p w14:paraId="07ECFAAE" w14:textId="77777777" w:rsidR="0019789C" w:rsidRPr="0080041A" w:rsidRDefault="0019789C" w:rsidP="00683CF7">
      <w:pPr>
        <w:pStyle w:val="Heading4"/>
      </w:pPr>
      <w:r w:rsidRPr="0080041A">
        <w:t>(b) Remedies</w:t>
      </w:r>
    </w:p>
    <w:p w14:paraId="5760C2F9" w14:textId="77777777" w:rsidR="0019789C" w:rsidRDefault="0019789C" w:rsidP="00253A57">
      <w:r w:rsidRPr="0080041A">
        <w:t>In England and Wales, the claimant may request damages for personal injury</w:t>
      </w:r>
      <w:r>
        <w:rPr>
          <w:rStyle w:val="FootnoteReference"/>
        </w:rPr>
        <w:footnoteReference w:id="639"/>
      </w:r>
      <w:r w:rsidRPr="0080041A">
        <w:t xml:space="preserve"> and may also initiate proceedings for an order to repair </w:t>
      </w:r>
      <w:r>
        <w:t xml:space="preserve">the </w:t>
      </w:r>
      <w:r w:rsidRPr="0080041A">
        <w:t xml:space="preserve">highway, pursuant to s 56 </w:t>
      </w:r>
      <w:r>
        <w:t xml:space="preserve">of the </w:t>
      </w:r>
      <w:r w:rsidRPr="0080041A">
        <w:t>Highways Act 1980</w:t>
      </w:r>
      <w:r>
        <w:t xml:space="preserve">. </w:t>
      </w:r>
    </w:p>
    <w:p w14:paraId="38973413" w14:textId="77777777" w:rsidR="0019789C" w:rsidRDefault="0019789C" w:rsidP="00253A57"/>
    <w:p w14:paraId="36A273D3" w14:textId="1BB57E9E" w:rsidR="0019789C" w:rsidRPr="0080041A" w:rsidRDefault="0019789C" w:rsidP="00253A57">
      <w:r>
        <w:t>In Scotland, the obligations of highway authorities arise under common law negligence, not breach of statutory duty. Thus, the remedies are the same as discussed above in Section C1.1 (b).</w:t>
      </w:r>
    </w:p>
    <w:p w14:paraId="066CB663" w14:textId="77777777" w:rsidR="0019789C" w:rsidRPr="0080041A" w:rsidRDefault="0019789C" w:rsidP="00683CF7"/>
    <w:p w14:paraId="139D9E61" w14:textId="77777777" w:rsidR="0019789C" w:rsidRPr="0080041A" w:rsidRDefault="0019789C" w:rsidP="00683CF7">
      <w:pPr>
        <w:pStyle w:val="Heading4"/>
      </w:pPr>
      <w:r w:rsidRPr="0080041A">
        <w:t>(c) Enforcement</w:t>
      </w:r>
    </w:p>
    <w:p w14:paraId="2222E046" w14:textId="330DF82F" w:rsidR="0019789C" w:rsidRDefault="0019789C" w:rsidP="00D41E5B">
      <w:pPr>
        <w:rPr>
          <w:lang w:bidi="en-US"/>
        </w:rPr>
      </w:pPr>
      <w:r>
        <w:rPr>
          <w:lang w:bidi="en-US"/>
        </w:rPr>
        <w:t xml:space="preserve">See above Section C1.1 (c) on enforcement in common law negligence – the legal representation issues discussed there are relevant here as well. In England and Wales, </w:t>
      </w:r>
      <w:r w:rsidRPr="0080041A">
        <w:lastRenderedPageBreak/>
        <w:t>LASPO explicitly excludes civil legal services provided in relation to tort claims in respect of breach of statutory duty.</w:t>
      </w:r>
      <w:r w:rsidRPr="0080041A">
        <w:rPr>
          <w:rStyle w:val="FootnoteReference"/>
        </w:rPr>
        <w:footnoteReference w:id="640"/>
      </w:r>
    </w:p>
    <w:p w14:paraId="2F02AD4E" w14:textId="77777777" w:rsidR="0019789C" w:rsidRDefault="0019789C" w:rsidP="00683CF7"/>
    <w:p w14:paraId="433C8086" w14:textId="77777777" w:rsidR="0019789C" w:rsidRPr="0080041A" w:rsidRDefault="0019789C" w:rsidP="00683CF7"/>
    <w:p w14:paraId="14BF54F1" w14:textId="77777777" w:rsidR="0019789C" w:rsidRPr="0080041A" w:rsidRDefault="0019789C" w:rsidP="00683CF7">
      <w:pPr>
        <w:pStyle w:val="Heading3"/>
      </w:pPr>
      <w:r w:rsidRPr="0080041A">
        <w:t>C1.3 Occupiers Liability Act 1957 / Occupiers Liability Act 1984</w:t>
      </w:r>
    </w:p>
    <w:p w14:paraId="73A20CFA" w14:textId="77777777" w:rsidR="0019789C" w:rsidRPr="0080041A" w:rsidRDefault="0019789C" w:rsidP="00683CF7">
      <w:pPr>
        <w:pStyle w:val="Heading4"/>
      </w:pPr>
      <w:r w:rsidRPr="0080041A">
        <w:t>(a) Description and Examples</w:t>
      </w:r>
    </w:p>
    <w:p w14:paraId="5A3B897A" w14:textId="77777777" w:rsidR="0019789C" w:rsidRPr="0080041A" w:rsidRDefault="0019789C" w:rsidP="00683CF7">
      <w:r w:rsidRPr="0080041A">
        <w:t>The Occupiers Liability Act 1957 (OLA 1957) and the Occupiers Liability Act 1984 (OLA 1984) impose a duty of care on occupiers with regard to lawful visitors (OLA 1957) and trespassers (OLA 1984). Under the two Acts, a duty of care is imposed as a consequence of a person’s occupation of premises.</w:t>
      </w:r>
      <w:r w:rsidRPr="0080041A">
        <w:rPr>
          <w:rStyle w:val="FootnoteReference"/>
        </w:rPr>
        <w:footnoteReference w:id="641"/>
      </w:r>
      <w:r w:rsidRPr="0080041A">
        <w:t xml:space="preserve"> The notions of ‘occupier’ and ‘premises’ </w:t>
      </w:r>
      <w:r>
        <w:t>have the</w:t>
      </w:r>
      <w:r w:rsidRPr="0080041A">
        <w:t xml:space="preserve"> same </w:t>
      </w:r>
      <w:r>
        <w:t xml:space="preserve">meaning </w:t>
      </w:r>
      <w:r w:rsidRPr="0080041A">
        <w:t>regardless of which OLA applies, but the Acts differ in terms of the duty of care owed and how issues of breach are addressed. Given how the courts have interpreted these two terms, both OLA 1957 and OLA 1984 could be relevant to issues involving streets – especially streets that are private or otherwise not maintainable at the public expense.</w:t>
      </w:r>
      <w:r w:rsidRPr="0080041A">
        <w:rPr>
          <w:rStyle w:val="FootnoteReference"/>
        </w:rPr>
        <w:footnoteReference w:id="642"/>
      </w:r>
    </w:p>
    <w:p w14:paraId="3915E92F" w14:textId="77777777" w:rsidR="0019789C" w:rsidRPr="0080041A" w:rsidRDefault="0019789C" w:rsidP="00683CF7"/>
    <w:p w14:paraId="189F7E14" w14:textId="77777777" w:rsidR="0019789C" w:rsidRPr="0080041A" w:rsidRDefault="0019789C" w:rsidP="00683CF7">
      <w:pPr>
        <w:pStyle w:val="Heading5"/>
      </w:pPr>
      <w:r w:rsidRPr="0080041A">
        <w:t xml:space="preserve">Occupier </w:t>
      </w:r>
    </w:p>
    <w:p w14:paraId="5C0A3CE0" w14:textId="77777777" w:rsidR="0019789C" w:rsidRPr="0080041A" w:rsidRDefault="0019789C" w:rsidP="00683CF7">
      <w:r w:rsidRPr="0080041A">
        <w:t xml:space="preserve">First, in determining whether a person is an occupier, the question is whether they have a sufficient degree of control or ‘occupational control’ over the premises. </w:t>
      </w:r>
      <w:r>
        <w:t>According to</w:t>
      </w:r>
      <w:r w:rsidRPr="0080041A">
        <w:t xml:space="preserve"> Lord Denning: </w:t>
      </w:r>
    </w:p>
    <w:p w14:paraId="0FCE3D23" w14:textId="77777777" w:rsidR="0019789C" w:rsidRDefault="0019789C" w:rsidP="00683CF7">
      <w:pPr>
        <w:pStyle w:val="Quote"/>
      </w:pPr>
      <w:r w:rsidRPr="0080041A">
        <w:t xml:space="preserve">wherever a person has a sufficient degree of control over premises that he ought to realise that any failure on his part to use care may result in injury to a person coming lawfully there, then he is an ' occupier' and the person coming lawfully there is his 'visitor'; and the 'occupier' is under a duty to his 'visitor' to use reasonable care. In order to be an ‘occupier’ it is not necessary for a person to have entire control over the premises. He need not have exclusive occupation. Suffice it that he has some degree of control. He may share the control with others. Two or more may be ‘occupiers’. And whenever this happens, each is </w:t>
      </w:r>
      <w:r w:rsidRPr="0080041A">
        <w:lastRenderedPageBreak/>
        <w:t>under a duty to use care towards persons coming lawfully on to the premises, dependent on his degree of control.</w:t>
      </w:r>
      <w:r w:rsidRPr="0080041A">
        <w:rPr>
          <w:rStyle w:val="FootnoteReference"/>
        </w:rPr>
        <w:footnoteReference w:id="643"/>
      </w:r>
    </w:p>
    <w:p w14:paraId="760C206F" w14:textId="77777777" w:rsidR="0019789C" w:rsidRPr="0080041A" w:rsidRDefault="0019789C" w:rsidP="00D41E5B">
      <w:pPr>
        <w:ind w:firstLine="0"/>
      </w:pPr>
      <w:r>
        <w:t>Thus, as mentioned in this quote,</w:t>
      </w:r>
      <w:r w:rsidRPr="0080041A">
        <w:t xml:space="preserve"> </w:t>
      </w:r>
      <w:r>
        <w:t xml:space="preserve">it is </w:t>
      </w:r>
      <w:r w:rsidRPr="0080041A">
        <w:t xml:space="preserve">possible </w:t>
      </w:r>
      <w:r>
        <w:t>for there to be</w:t>
      </w:r>
      <w:r w:rsidRPr="0080041A">
        <w:t xml:space="preserve"> more than one occupier</w:t>
      </w:r>
      <w:r>
        <w:t>.</w:t>
      </w:r>
      <w:r w:rsidRPr="0080041A">
        <w:t xml:space="preserve"> </w:t>
      </w:r>
      <w:r>
        <w:t>A</w:t>
      </w:r>
      <w:r w:rsidRPr="0080041A">
        <w:t xml:space="preserve">ctual physical occupation is not required </w:t>
      </w:r>
      <w:r>
        <w:t xml:space="preserve">in order </w:t>
      </w:r>
      <w:r w:rsidRPr="0080041A">
        <w:t>to incur liability as an occupier,</w:t>
      </w:r>
      <w:r w:rsidRPr="0080041A">
        <w:rPr>
          <w:rStyle w:val="FootnoteReference"/>
        </w:rPr>
        <w:footnoteReference w:id="644"/>
      </w:r>
      <w:r w:rsidRPr="0080041A">
        <w:t xml:space="preserve"> and the more control an occupier has, the greater the duty of care</w:t>
      </w:r>
      <w:r>
        <w:t xml:space="preserve"> will be</w:t>
      </w:r>
      <w:r w:rsidRPr="0080041A">
        <w:t xml:space="preserve">. In the </w:t>
      </w:r>
      <w:r>
        <w:t xml:space="preserve">types of street </w:t>
      </w:r>
      <w:r w:rsidRPr="0080041A">
        <w:t xml:space="preserve">context </w:t>
      </w:r>
      <w:r>
        <w:t>relevant to</w:t>
      </w:r>
      <w:r w:rsidRPr="0080041A">
        <w:t xml:space="preserve"> the IPS Project, an occupier could be a private person </w:t>
      </w:r>
      <w:r>
        <w:t>and</w:t>
      </w:r>
      <w:r w:rsidRPr="0080041A">
        <w:t xml:space="preserve"> also a local authority. Moreover, even if an individual or local authority is found not to be an occupier, </w:t>
      </w:r>
      <w:r>
        <w:t>they</w:t>
      </w:r>
      <w:r w:rsidRPr="0080041A">
        <w:t xml:space="preserve"> may still owe the usual common law duty of care to the pedestrian.</w:t>
      </w:r>
      <w:r w:rsidRPr="0080041A">
        <w:rPr>
          <w:rStyle w:val="FootnoteReference"/>
        </w:rPr>
        <w:footnoteReference w:id="645"/>
      </w:r>
      <w:r w:rsidRPr="0080041A">
        <w:t xml:space="preserve"> </w:t>
      </w:r>
    </w:p>
    <w:p w14:paraId="4A452F6B" w14:textId="77777777" w:rsidR="0019789C" w:rsidRPr="0080041A" w:rsidRDefault="0019789C" w:rsidP="00683CF7"/>
    <w:p w14:paraId="5B3907B1" w14:textId="77777777" w:rsidR="0019789C" w:rsidRPr="0080041A" w:rsidRDefault="0019789C" w:rsidP="00683CF7">
      <w:pPr>
        <w:pStyle w:val="Heading5"/>
      </w:pPr>
      <w:r w:rsidRPr="0080041A">
        <w:t>Premises</w:t>
      </w:r>
    </w:p>
    <w:p w14:paraId="49219CE1" w14:textId="361AFB66" w:rsidR="0019789C" w:rsidRPr="0080041A" w:rsidRDefault="0019789C" w:rsidP="004B6F9F">
      <w:r w:rsidRPr="0080041A">
        <w:t>Second, ‘premises’ are defined by s 1(3)</w:t>
      </w:r>
      <w:r>
        <w:t xml:space="preserve"> of the</w:t>
      </w:r>
      <w:r w:rsidRPr="0080041A">
        <w:t xml:space="preserve"> OLA 1957</w:t>
      </w:r>
      <w:r>
        <w:t xml:space="preserve"> as </w:t>
      </w:r>
      <w:r>
        <w:rPr>
          <w:iCs/>
        </w:rPr>
        <w:t>‘</w:t>
      </w:r>
      <w:r w:rsidRPr="0080041A">
        <w:t>any fixed or moveable structure, including any vessel, vehicle or aircraft</w:t>
      </w:r>
      <w:r>
        <w:t xml:space="preserve">’. The </w:t>
      </w:r>
      <w:r w:rsidRPr="0080041A">
        <w:t>OLA 1984 adopts the same definition</w:t>
      </w:r>
      <w:r>
        <w:t>.</w:t>
      </w:r>
      <w:r w:rsidRPr="0080041A">
        <w:t xml:space="preserve"> The term ‘premises’ has been interpreted broadly by the courts to include tunnelling equipment,</w:t>
      </w:r>
      <w:r w:rsidRPr="0080041A">
        <w:rPr>
          <w:rStyle w:val="FootnoteReference"/>
        </w:rPr>
        <w:footnoteReference w:id="646"/>
      </w:r>
      <w:r w:rsidRPr="0080041A">
        <w:t xml:space="preserve"> scaffolding</w:t>
      </w:r>
      <w:r w:rsidRPr="0080041A">
        <w:rPr>
          <w:rStyle w:val="FootnoteReference"/>
        </w:rPr>
        <w:footnoteReference w:id="647"/>
      </w:r>
      <w:r w:rsidRPr="0080041A">
        <w:t xml:space="preserve"> and ladders.</w:t>
      </w:r>
      <w:r w:rsidRPr="0080041A">
        <w:rPr>
          <w:rStyle w:val="FootnoteReference"/>
        </w:rPr>
        <w:footnoteReference w:id="648"/>
      </w:r>
      <w:r>
        <w:t xml:space="preserve"> Thus,</w:t>
      </w:r>
      <w:r w:rsidRPr="0080041A">
        <w:t xml:space="preserve"> a ladder o</w:t>
      </w:r>
      <w:r>
        <w:t>r piece of equipment carelessly left on the pavement, footpath or sidewalk</w:t>
      </w:r>
      <w:r w:rsidRPr="0080041A">
        <w:t xml:space="preserve">, </w:t>
      </w:r>
      <w:r>
        <w:t>and which presents a trip hazard for pedestrians,</w:t>
      </w:r>
      <w:r w:rsidRPr="0080041A">
        <w:t xml:space="preserve"> might fall within the scope of either OLA. </w:t>
      </w:r>
    </w:p>
    <w:p w14:paraId="298C4B5E" w14:textId="77777777" w:rsidR="0019789C" w:rsidRPr="0080041A" w:rsidRDefault="0019789C" w:rsidP="00683CF7"/>
    <w:p w14:paraId="063410A5" w14:textId="77777777" w:rsidR="0019789C" w:rsidRPr="0080041A" w:rsidRDefault="0019789C" w:rsidP="00683CF7">
      <w:pPr>
        <w:pStyle w:val="Heading5"/>
      </w:pPr>
      <w:r w:rsidRPr="0080041A">
        <w:t>Duty of Care</w:t>
      </w:r>
    </w:p>
    <w:p w14:paraId="45DBB4CD" w14:textId="77777777" w:rsidR="0019789C" w:rsidRPr="0080041A" w:rsidRDefault="0019789C" w:rsidP="00683CF7">
      <w:r w:rsidRPr="0080041A">
        <w:t>The two Acts differ in terms of whether the occupiers owe a duty of care to either lawful visitors or trespassers. An occupier generally owes all lawful visitors a ‘common duty of care’.</w:t>
      </w:r>
      <w:r w:rsidRPr="0080041A">
        <w:rPr>
          <w:rStyle w:val="FootnoteReference"/>
        </w:rPr>
        <w:footnoteReference w:id="649"/>
      </w:r>
      <w:r w:rsidRPr="0080041A">
        <w:t xml:space="preserve"> In </w:t>
      </w:r>
      <w:r w:rsidRPr="004B6F9F">
        <w:rPr>
          <w:rStyle w:val="case"/>
        </w:rPr>
        <w:t>McGeown v Northern Ireland Housing Executive</w:t>
      </w:r>
      <w:r w:rsidRPr="0080041A">
        <w:t>,</w:t>
      </w:r>
      <w:r w:rsidRPr="0080041A">
        <w:rPr>
          <w:rStyle w:val="FootnoteReference"/>
        </w:rPr>
        <w:footnoteReference w:id="650"/>
      </w:r>
      <w:r w:rsidRPr="0080041A">
        <w:t xml:space="preserve"> the claimant tripped in a hole while using </w:t>
      </w:r>
      <w:r>
        <w:t xml:space="preserve">a </w:t>
      </w:r>
      <w:r w:rsidRPr="0080041A">
        <w:t xml:space="preserve">footpath – over which the public had a right of way – on the defendant's land. The House of Lords held that, in this case and most cases involving a public right of way, the person using the right of way will not be a ‘visitor’ for purposes </w:t>
      </w:r>
      <w:r w:rsidRPr="0080041A">
        <w:lastRenderedPageBreak/>
        <w:t>of OLA 1957 as there is no permission required by the occupier.</w:t>
      </w:r>
      <w:r w:rsidRPr="0080041A">
        <w:rPr>
          <w:rStyle w:val="FootnoteReference"/>
        </w:rPr>
        <w:t xml:space="preserve"> </w:t>
      </w:r>
      <w:r w:rsidRPr="0080041A">
        <w:rPr>
          <w:rStyle w:val="FootnoteReference"/>
        </w:rPr>
        <w:footnoteReference w:id="651"/>
      </w:r>
      <w:r w:rsidRPr="0080041A">
        <w:t xml:space="preserve"> According to Lord Keith:</w:t>
      </w:r>
    </w:p>
    <w:p w14:paraId="18B3EC6D" w14:textId="77777777" w:rsidR="0019789C" w:rsidRPr="0080041A" w:rsidRDefault="0019789C" w:rsidP="00683CF7">
      <w:pPr>
        <w:pStyle w:val="Quote"/>
      </w:pPr>
      <w:r w:rsidRPr="0080041A">
        <w:t>Rights of way pass over many different types of terrain, and it would place an impossible burden upon landowners if they not only had to submit to the passage over them of anyone who might choose to exercise them but also were under a duty to maintain them in a safe condition.</w:t>
      </w:r>
      <w:r w:rsidRPr="0080041A">
        <w:rPr>
          <w:rStyle w:val="FootnoteReference"/>
        </w:rPr>
        <w:footnoteReference w:id="652"/>
      </w:r>
    </w:p>
    <w:p w14:paraId="4981BDCE" w14:textId="4CCB7AB0" w:rsidR="0019789C" w:rsidRPr="0080041A" w:rsidRDefault="0019789C" w:rsidP="008A6F90">
      <w:pPr>
        <w:ind w:firstLine="0"/>
      </w:pPr>
      <w:r w:rsidRPr="0080041A">
        <w:t xml:space="preserve">Accordingly, the owner of land over which there is a public right of way owes no maintenance duties and thus will not </w:t>
      </w:r>
      <w:r>
        <w:t xml:space="preserve">be </w:t>
      </w:r>
      <w:r w:rsidRPr="0080041A">
        <w:t>liable for nonfeasance</w:t>
      </w:r>
      <w:r>
        <w:t>.</w:t>
      </w:r>
      <w:r w:rsidRPr="0080041A">
        <w:t xml:space="preserve"> </w:t>
      </w:r>
      <w:r>
        <w:t>H</w:t>
      </w:r>
      <w:r w:rsidRPr="0080041A">
        <w:t>owever, the occupier may be liable for acts of misfeasance if they were t</w:t>
      </w:r>
      <w:r>
        <w:t xml:space="preserve">o create some danger, such as by </w:t>
      </w:r>
      <w:r w:rsidRPr="0080041A">
        <w:t>dig</w:t>
      </w:r>
      <w:r>
        <w:t>ging</w:t>
      </w:r>
      <w:r w:rsidRPr="0080041A">
        <w:t xml:space="preserve"> a hole or otherwise creat</w:t>
      </w:r>
      <w:r>
        <w:t>ing</w:t>
      </w:r>
      <w:r w:rsidRPr="0080041A">
        <w:t xml:space="preserve"> a danger to users of the right of way.</w:t>
      </w:r>
    </w:p>
    <w:p w14:paraId="115B681F" w14:textId="77777777" w:rsidR="0019789C" w:rsidRPr="0080041A" w:rsidRDefault="0019789C" w:rsidP="00683CF7"/>
    <w:p w14:paraId="7AB63065" w14:textId="77777777" w:rsidR="0019789C" w:rsidRPr="0080041A" w:rsidRDefault="0019789C" w:rsidP="00683CF7">
      <w:r>
        <w:t>T</w:t>
      </w:r>
      <w:r w:rsidRPr="0080041A">
        <w:t>he duty owed under OLA 1984 ‘to persons other than his visitors' (ie trespassers) is only ‘in respect of any risk of their suffering injury on the premises by reason of any danger due to the state of the premises or to things done or omitted to be done on them.’</w:t>
      </w:r>
      <w:r w:rsidRPr="0080041A">
        <w:rPr>
          <w:rStyle w:val="FootnoteReference"/>
        </w:rPr>
        <w:footnoteReference w:id="653"/>
      </w:r>
      <w:r w:rsidRPr="0080041A">
        <w:t xml:space="preserve"> </w:t>
      </w:r>
      <w:r>
        <w:t>Further, a</w:t>
      </w:r>
      <w:r w:rsidRPr="0080041A">
        <w:t xml:space="preserve">n occupier owes a duty to a trespasser </w:t>
      </w:r>
      <w:r>
        <w:t xml:space="preserve">only </w:t>
      </w:r>
      <w:r w:rsidRPr="0080041A">
        <w:t>if the occupier is aware of a danger on their premises or has reasonable grounds to believe that it exists; knows or has reasonable grounds to believe that the trespasser is in (or may come into) the vicinity of the danger concerned; and the risk is one against which, in all the circumstances of the case, they may reasonably be expected to offer some protection.</w:t>
      </w:r>
      <w:r w:rsidRPr="0080041A">
        <w:rPr>
          <w:rStyle w:val="FootnoteReference"/>
        </w:rPr>
        <w:footnoteReference w:id="654"/>
      </w:r>
      <w:r w:rsidRPr="0080041A">
        <w:t xml:space="preserve"> People using public rights of way are also excluded from </w:t>
      </w:r>
      <w:r>
        <w:t xml:space="preserve">the protection of the </w:t>
      </w:r>
      <w:r w:rsidRPr="0080041A">
        <w:t>OLA 1984.</w:t>
      </w:r>
      <w:r w:rsidRPr="0080041A">
        <w:rPr>
          <w:rStyle w:val="FootnoteReference"/>
        </w:rPr>
        <w:footnoteReference w:id="655"/>
      </w:r>
    </w:p>
    <w:p w14:paraId="3A6B894E" w14:textId="77777777" w:rsidR="0019789C" w:rsidRPr="0080041A" w:rsidRDefault="0019789C" w:rsidP="00683CF7"/>
    <w:p w14:paraId="4A7F3D7E" w14:textId="77777777" w:rsidR="0019789C" w:rsidRPr="0080041A" w:rsidRDefault="0019789C" w:rsidP="00683CF7">
      <w:pPr>
        <w:pStyle w:val="Heading5"/>
      </w:pPr>
      <w:r w:rsidRPr="0080041A">
        <w:t>Standard of Care and Breach</w:t>
      </w:r>
    </w:p>
    <w:p w14:paraId="1BE75203" w14:textId="4764D445" w:rsidR="0019789C" w:rsidRPr="0080041A" w:rsidRDefault="0019789C" w:rsidP="00683CF7">
      <w:r w:rsidRPr="0080041A">
        <w:t xml:space="preserve">The two Acts differ in terms of the standard of care used and determinations of breach. As to the standard of care, under </w:t>
      </w:r>
      <w:r>
        <w:t xml:space="preserve">the </w:t>
      </w:r>
      <w:r w:rsidRPr="0080041A">
        <w:t>OLA 1957, an occupier owes a visitor ‘a duty to take such care as in all the circumstances of the case is reasonable to see that the visitor will be reasonably safe in using the premises for the purposes for which he is invited or permitted by the occupier to be there.’</w:t>
      </w:r>
      <w:r w:rsidRPr="0080041A">
        <w:rPr>
          <w:rStyle w:val="FootnoteReference"/>
        </w:rPr>
        <w:footnoteReference w:id="656"/>
      </w:r>
      <w:r w:rsidRPr="0080041A">
        <w:t xml:space="preserve"> Usually, if there is danger on the </w:t>
      </w:r>
      <w:r w:rsidRPr="0080041A">
        <w:lastRenderedPageBreak/>
        <w:t>premises, the occupier will be absolved of liability if they issue a warning to the visitor, which in the circumstances is ‘enough to enable the visitor to be reasonably safe’</w:t>
      </w:r>
      <w:r>
        <w:t>.</w:t>
      </w:r>
      <w:r w:rsidRPr="0080041A">
        <w:rPr>
          <w:rStyle w:val="FootnoteReference"/>
        </w:rPr>
        <w:footnoteReference w:id="657"/>
      </w:r>
      <w:r w:rsidRPr="0080041A">
        <w:t xml:space="preserve"> </w:t>
      </w:r>
      <w:r>
        <w:t>There</w:t>
      </w:r>
      <w:r w:rsidRPr="0080041A">
        <w:t xml:space="preserve"> i</w:t>
      </w:r>
      <w:r>
        <w:t>s, however,</w:t>
      </w:r>
      <w:r w:rsidRPr="0080041A">
        <w:t xml:space="preserve"> no duty to warn about obvious risks.</w:t>
      </w:r>
      <w:r w:rsidRPr="0080041A">
        <w:rPr>
          <w:rStyle w:val="FootnoteReference"/>
        </w:rPr>
        <w:footnoteReference w:id="658"/>
      </w:r>
      <w:r w:rsidRPr="0080041A">
        <w:t xml:space="preserve"> </w:t>
      </w:r>
    </w:p>
    <w:p w14:paraId="1441FFA1" w14:textId="77777777" w:rsidR="0019789C" w:rsidRPr="0080041A" w:rsidRDefault="0019789C" w:rsidP="00683CF7"/>
    <w:p w14:paraId="42F8825A" w14:textId="77777777" w:rsidR="0019789C" w:rsidRPr="0080041A" w:rsidRDefault="0019789C" w:rsidP="00683CF7">
      <w:r w:rsidRPr="0080041A">
        <w:t xml:space="preserve">In </w:t>
      </w:r>
      <w:r w:rsidRPr="008A6F90">
        <w:rPr>
          <w:rStyle w:val="case"/>
        </w:rPr>
        <w:t>Pollock v Cahill</w:t>
      </w:r>
      <w:r w:rsidRPr="0080041A">
        <w:t>,</w:t>
      </w:r>
      <w:r w:rsidRPr="0080041A">
        <w:rPr>
          <w:rStyle w:val="FootnoteReference"/>
        </w:rPr>
        <w:footnoteReference w:id="659"/>
      </w:r>
      <w:r w:rsidRPr="0080041A">
        <w:t xml:space="preserve"> a blind visitor fell from an open bedroom window in friends’ hous</w:t>
      </w:r>
      <w:r>
        <w:t>e. T</w:t>
      </w:r>
      <w:r w:rsidRPr="0080041A">
        <w:t>he court found that ‘an open window did create an obvious risk for a blind person, particularly when it was on the second storey of the house with nothing to prevent a fall to the ground below’.</w:t>
      </w:r>
      <w:r w:rsidRPr="0080041A">
        <w:rPr>
          <w:rStyle w:val="FootnoteReference"/>
        </w:rPr>
        <w:footnoteReference w:id="660"/>
      </w:r>
      <w:r w:rsidRPr="0080041A">
        <w:t xml:space="preserve"> Accordingly, the defendants failed to discharge the common duty of care they owed as occupiers under s 2 </w:t>
      </w:r>
      <w:r>
        <w:t xml:space="preserve">of the </w:t>
      </w:r>
      <w:r w:rsidRPr="0080041A">
        <w:t>OLA 1957</w:t>
      </w:r>
      <w:r>
        <w:t>.</w:t>
      </w:r>
      <w:r w:rsidRPr="0080041A">
        <w:t xml:space="preserve"> </w:t>
      </w:r>
      <w:r>
        <w:t>T</w:t>
      </w:r>
      <w:r w:rsidRPr="0080041A">
        <w:t>hey created th</w:t>
      </w:r>
      <w:r>
        <w:t>e</w:t>
      </w:r>
      <w:r w:rsidRPr="0080041A">
        <w:t xml:space="preserve"> risk, </w:t>
      </w:r>
      <w:r>
        <w:t>and</w:t>
      </w:r>
      <w:r w:rsidRPr="0080041A">
        <w:t xml:space="preserve"> ought to have </w:t>
      </w:r>
      <w:r>
        <w:t>realised</w:t>
      </w:r>
      <w:r w:rsidRPr="0080041A">
        <w:t xml:space="preserve"> </w:t>
      </w:r>
      <w:r>
        <w:t xml:space="preserve">this </w:t>
      </w:r>
      <w:r w:rsidRPr="0080041A">
        <w:t>and taken steps to prevent</w:t>
      </w:r>
      <w:r>
        <w:t xml:space="preserve"> it</w:t>
      </w:r>
      <w:r w:rsidRPr="0080041A">
        <w:t>.</w:t>
      </w:r>
      <w:r w:rsidRPr="0080041A">
        <w:rPr>
          <w:rStyle w:val="FootnoteReference"/>
        </w:rPr>
        <w:footnoteReference w:id="661"/>
      </w:r>
      <w:r w:rsidRPr="0080041A">
        <w:t xml:space="preserve"> </w:t>
      </w:r>
    </w:p>
    <w:p w14:paraId="52AD9FBE" w14:textId="77777777" w:rsidR="0019789C" w:rsidRPr="0080041A" w:rsidRDefault="0019789C" w:rsidP="00683CF7"/>
    <w:p w14:paraId="69D62F30" w14:textId="7DE46854" w:rsidR="0019789C" w:rsidRPr="0080041A" w:rsidRDefault="0019789C" w:rsidP="00683CF7">
      <w:r w:rsidRPr="0080041A">
        <w:t xml:space="preserve">In </w:t>
      </w:r>
      <w:r w:rsidRPr="008A6F90">
        <w:rPr>
          <w:rStyle w:val="case"/>
        </w:rPr>
        <w:t>Cook v Swansea City Council</w:t>
      </w:r>
      <w:r w:rsidRPr="0080041A">
        <w:t>,</w:t>
      </w:r>
      <w:r w:rsidRPr="0080041A">
        <w:rPr>
          <w:rStyle w:val="FootnoteReference"/>
        </w:rPr>
        <w:t xml:space="preserve"> </w:t>
      </w:r>
      <w:r w:rsidRPr="0080041A">
        <w:rPr>
          <w:rStyle w:val="FootnoteReference"/>
        </w:rPr>
        <w:footnoteReference w:id="662"/>
      </w:r>
      <w:r w:rsidRPr="0080041A">
        <w:t xml:space="preserve"> the defendant owned and operated a 24-hour public car park, which was unmanned and not pre-emptively gritted</w:t>
      </w:r>
      <w:r>
        <w:t>,</w:t>
      </w:r>
      <w:r w:rsidRPr="0080041A">
        <w:t xml:space="preserve"> instead operating a reactive gritting system in response to weather reports or from a member of the public.</w:t>
      </w:r>
      <w:r w:rsidRPr="0080041A">
        <w:rPr>
          <w:rStyle w:val="FootnoteReference"/>
        </w:rPr>
        <w:footnoteReference w:id="663"/>
      </w:r>
      <w:r w:rsidRPr="0080041A">
        <w:t xml:space="preserve"> The 78-year-old claimant slipped and fell on ice in the car park and sought to recover £10,000 in damages for breach of </w:t>
      </w:r>
      <w:r>
        <w:t xml:space="preserve">the </w:t>
      </w:r>
      <w:r w:rsidRPr="0080041A">
        <w:t>OLA 1957 for failing to inspect and grit the car park.</w:t>
      </w:r>
      <w:r w:rsidRPr="0080041A">
        <w:rPr>
          <w:rStyle w:val="FootnoteReference"/>
        </w:rPr>
        <w:footnoteReference w:id="664"/>
      </w:r>
      <w:r w:rsidRPr="0080041A">
        <w:t xml:space="preserve"> The court conducted a balancing exercise of ‘the risk, gravity of injury, cost and social value’, which is to be carried out when considering what amounts to ‘such care as in all the circumstances of the case is reasonable’ under s 2(2) </w:t>
      </w:r>
      <w:r>
        <w:t xml:space="preserve">of the </w:t>
      </w:r>
      <w:r w:rsidRPr="0080041A">
        <w:t>OLA 1957.</w:t>
      </w:r>
      <w:r w:rsidRPr="0080041A">
        <w:rPr>
          <w:rStyle w:val="FootnoteReference"/>
        </w:rPr>
        <w:footnoteReference w:id="665"/>
      </w:r>
      <w:r w:rsidRPr="0080041A">
        <w:t xml:space="preserve"> While the risk of ice in cold weather was an obvious danger, and the gravity of injury due to slipping on ice may be trivial or serious, yet there is generally no duty for an occupier to guard against obvious dangers.</w:t>
      </w:r>
      <w:r w:rsidRPr="0080041A">
        <w:rPr>
          <w:rStyle w:val="FootnoteReference"/>
        </w:rPr>
        <w:footnoteReference w:id="666"/>
      </w:r>
      <w:r w:rsidRPr="0080041A">
        <w:t xml:space="preserve"> And the 24-hour car park benefitted members of the public, so to close it in bad weather would be an inconvenience to residents and visitors. </w:t>
      </w:r>
      <w:r>
        <w:t>T</w:t>
      </w:r>
      <w:r w:rsidRPr="0080041A">
        <w:t>he alternative (regular gritting) would involve significant use of staff and material resources, which would be a disproportionate and costly reaction to the risk and would have diverted resources from situations where attention was more urgently required.</w:t>
      </w:r>
      <w:r w:rsidRPr="0080041A">
        <w:rPr>
          <w:rStyle w:val="FootnoteReference"/>
        </w:rPr>
        <w:footnoteReference w:id="667"/>
      </w:r>
      <w:r w:rsidRPr="0080041A">
        <w:t xml:space="preserve"> </w:t>
      </w:r>
      <w:r w:rsidRPr="0080041A">
        <w:lastRenderedPageBreak/>
        <w:t>The claim was thus dismissed as the defendant was not in breach of the duty of care owed to the claimant.</w:t>
      </w:r>
    </w:p>
    <w:p w14:paraId="58DD253E" w14:textId="77777777" w:rsidR="0019789C" w:rsidRPr="0080041A" w:rsidRDefault="0019789C" w:rsidP="00683CF7"/>
    <w:p w14:paraId="36EAAF70" w14:textId="77777777" w:rsidR="0019789C" w:rsidRPr="0080041A" w:rsidRDefault="0019789C" w:rsidP="00683CF7">
      <w:r w:rsidRPr="0080041A">
        <w:t xml:space="preserve">Lastly, in </w:t>
      </w:r>
      <w:r w:rsidRPr="008A6F90">
        <w:rPr>
          <w:rStyle w:val="case"/>
        </w:rPr>
        <w:t>Dean &amp; Chapter of Rochester Cathedral v Debell</w:t>
      </w:r>
      <w:r w:rsidRPr="0080041A">
        <w:t>,</w:t>
      </w:r>
      <w:r w:rsidRPr="0080041A">
        <w:rPr>
          <w:rStyle w:val="FootnoteReference"/>
        </w:rPr>
        <w:footnoteReference w:id="668"/>
      </w:r>
      <w:r w:rsidRPr="0080041A">
        <w:t xml:space="preserve"> the claimant was walking through a narrow gap between a traffic bollard and a low wall when he tripped over a small lump of concrete protruding from the base of the bollard. The judge at first instance found that the piece of concrete gave rise to a foreseeable risk of injury.</w:t>
      </w:r>
      <w:r w:rsidRPr="0080041A">
        <w:rPr>
          <w:rStyle w:val="FootnoteReference"/>
        </w:rPr>
        <w:footnoteReference w:id="669"/>
      </w:r>
      <w:r w:rsidRPr="0080041A">
        <w:t xml:space="preserve"> The Court of Appeal held the concept of reasonable foreseeability applied to ‘taking a practical and realistic approach to the kind of dangers’ the occupier was obliged to remedy.</w:t>
      </w:r>
      <w:r w:rsidRPr="0080041A">
        <w:rPr>
          <w:rStyle w:val="FootnoteReference"/>
        </w:rPr>
        <w:footnoteReference w:id="670"/>
      </w:r>
      <w:r w:rsidRPr="0080041A">
        <w:t xml:space="preserve"> The question was thus whether the piece of concrete created a greater risk of injury than the everyday risk pedestrians inevitably face from ‘normal blemishes’. While it was reasonably foreseeable that a minor defect, like a piece of concrete, could create a risk of injury, this does not make it ‘a real source of danger’ given that the questions of foreseeability and what constitutes a danger are not one and the same.</w:t>
      </w:r>
      <w:r w:rsidRPr="0080041A">
        <w:rPr>
          <w:rStyle w:val="FootnoteReference"/>
        </w:rPr>
        <w:footnoteReference w:id="671"/>
      </w:r>
    </w:p>
    <w:p w14:paraId="64593573" w14:textId="77777777" w:rsidR="0019789C" w:rsidRPr="0080041A" w:rsidRDefault="0019789C" w:rsidP="00683CF7"/>
    <w:p w14:paraId="4D646DD8" w14:textId="77777777" w:rsidR="0019789C" w:rsidRPr="0080041A" w:rsidRDefault="0019789C" w:rsidP="00683CF7">
      <w:r w:rsidRPr="0080041A">
        <w:t>By comparison, the duty of care owed to non-visitors and trespassers under OLA 1984 merely requires occupiers ‘to take such care as is reasonable in all the circumstances’, such that the trespasser does not ‘suffer injury on the premises by reason of the danger concerned.’</w:t>
      </w:r>
      <w:r w:rsidRPr="0080041A">
        <w:rPr>
          <w:rStyle w:val="FootnoteReference"/>
        </w:rPr>
        <w:footnoteReference w:id="672"/>
      </w:r>
      <w:r w:rsidRPr="0080041A">
        <w:t xml:space="preserve"> This duty will be discharged by giving a warning or discouraging others from incurring the risk</w:t>
      </w:r>
      <w:r w:rsidRPr="0080041A">
        <w:rPr>
          <w:rStyle w:val="FootnoteReference"/>
        </w:rPr>
        <w:footnoteReference w:id="673"/>
      </w:r>
      <w:r w:rsidRPr="0080041A">
        <w:t xml:space="preserve"> – but there is no comparable obligation to ensure that a trespasser be ‘reasonably safe’. The defences available under the OLA regime are the same as those in common law negligence.</w:t>
      </w:r>
      <w:r w:rsidRPr="0080041A">
        <w:rPr>
          <w:rStyle w:val="FootnoteReference"/>
        </w:rPr>
        <w:footnoteReference w:id="674"/>
      </w:r>
    </w:p>
    <w:p w14:paraId="20D6D4FB" w14:textId="77777777" w:rsidR="0019789C" w:rsidRPr="0080041A" w:rsidRDefault="0019789C" w:rsidP="00683CF7"/>
    <w:p w14:paraId="6CB56F08" w14:textId="2EBEAB8D" w:rsidR="0019789C" w:rsidRPr="0080041A" w:rsidRDefault="0019789C" w:rsidP="00683CF7">
      <w:r w:rsidRPr="0080041A">
        <w:t xml:space="preserve">The leading case on an occupier’s duty of care to trespassers is </w:t>
      </w:r>
      <w:r w:rsidRPr="008A6F90">
        <w:rPr>
          <w:rStyle w:val="case"/>
        </w:rPr>
        <w:t>Tomlinson v Congleton Borough Council</w:t>
      </w:r>
      <w:r w:rsidRPr="0080041A">
        <w:t>,</w:t>
      </w:r>
      <w:r w:rsidRPr="0080041A">
        <w:rPr>
          <w:rStyle w:val="FootnoteReference"/>
        </w:rPr>
        <w:footnoteReference w:id="675"/>
      </w:r>
      <w:r w:rsidRPr="0080041A">
        <w:t xml:space="preserve"> which </w:t>
      </w:r>
      <w:r>
        <w:t>did</w:t>
      </w:r>
      <w:r w:rsidRPr="0080041A">
        <w:t xml:space="preserve"> not involve pedestrians</w:t>
      </w:r>
      <w:r>
        <w:t>. M</w:t>
      </w:r>
      <w:r w:rsidRPr="0080041A">
        <w:t xml:space="preserve">embers of the public were allowed into </w:t>
      </w:r>
      <w:r>
        <w:t>a</w:t>
      </w:r>
      <w:r w:rsidRPr="0080041A">
        <w:t xml:space="preserve"> park owned by the defendant. Signs clearly prohibited swimming in the lake</w:t>
      </w:r>
      <w:r>
        <w:t>.</w:t>
      </w:r>
      <w:r w:rsidRPr="0080041A">
        <w:t xml:space="preserve"> </w:t>
      </w:r>
      <w:r>
        <w:t>Accordingly, w</w:t>
      </w:r>
      <w:r w:rsidRPr="0080041A">
        <w:t xml:space="preserve">hen the claimant dived into the lake, he was no longer a visitor owed a duty under </w:t>
      </w:r>
      <w:r>
        <w:t xml:space="preserve">the </w:t>
      </w:r>
      <w:r w:rsidRPr="0080041A">
        <w:t xml:space="preserve">OLA 1957, but became a trespasser under </w:t>
      </w:r>
      <w:r>
        <w:t xml:space="preserve">the </w:t>
      </w:r>
      <w:r w:rsidRPr="0080041A">
        <w:t>OLA 1984.</w:t>
      </w:r>
      <w:r w:rsidRPr="0080041A">
        <w:rPr>
          <w:rStyle w:val="FootnoteReference"/>
        </w:rPr>
        <w:footnoteReference w:id="676"/>
      </w:r>
      <w:r w:rsidRPr="0080041A">
        <w:t xml:space="preserve"> The </w:t>
      </w:r>
      <w:r w:rsidRPr="0080041A">
        <w:lastRenderedPageBreak/>
        <w:t xml:space="preserve">Court of Appeal held that, as the council knew that many people ignored the signs, </w:t>
      </w:r>
      <w:r>
        <w:t>it</w:t>
      </w:r>
      <w:r w:rsidRPr="0080041A">
        <w:t xml:space="preserve"> should have offered more protection, such as erecting a physical barrier.</w:t>
      </w:r>
      <w:r w:rsidRPr="0080041A">
        <w:rPr>
          <w:rStyle w:val="FootnoteReference"/>
        </w:rPr>
        <w:footnoteReference w:id="677"/>
      </w:r>
      <w:r w:rsidRPr="0080041A">
        <w:t xml:space="preserve"> This decision was reversed by the House of Lords, which held that the question of what amounted to 'such care as in all the circumstances of the case is reasonable' within the context of s 1(4)</w:t>
      </w:r>
      <w:r>
        <w:t xml:space="preserve"> of the</w:t>
      </w:r>
      <w:r w:rsidRPr="0080041A">
        <w:t xml:space="preserve"> OLA 1984 depends on </w:t>
      </w:r>
      <w:r>
        <w:t>balancing</w:t>
      </w:r>
      <w:r w:rsidRPr="0080041A">
        <w:t xml:space="preserve"> the following factors against each other: the likelihood and seriousness of the injury which might occur</w:t>
      </w:r>
      <w:r>
        <w:t>;</w:t>
      </w:r>
      <w:r w:rsidRPr="0080041A">
        <w:t xml:space="preserve"> the social value of the activity that gave rise to the risk</w:t>
      </w:r>
      <w:r>
        <w:t>;</w:t>
      </w:r>
      <w:r w:rsidRPr="0080041A">
        <w:t xml:space="preserve"> and the cost of preventative measures.</w:t>
      </w:r>
      <w:r w:rsidRPr="0080041A">
        <w:rPr>
          <w:rStyle w:val="FootnoteReference"/>
        </w:rPr>
        <w:footnoteReference w:id="678"/>
      </w:r>
      <w:r w:rsidRPr="0080041A">
        <w:t xml:space="preserve"> </w:t>
      </w:r>
      <w:r>
        <w:t>T</w:t>
      </w:r>
      <w:r w:rsidRPr="0080041A">
        <w:t>here was no legal duty to safeguard trespassers against risks that were perfectly obvious,</w:t>
      </w:r>
      <w:r w:rsidRPr="0080041A">
        <w:rPr>
          <w:rStyle w:val="FootnoteReference"/>
        </w:rPr>
        <w:footnoteReference w:id="679"/>
      </w:r>
      <w:r w:rsidRPr="0080041A">
        <w:t xml:space="preserve"> and it would be ‘extremely rare for an occupier of land to be under a duty to prevent people from taking risks which are inherent in the activities they freely choose to undertake upon the land.’</w:t>
      </w:r>
      <w:r w:rsidRPr="0080041A">
        <w:rPr>
          <w:rStyle w:val="FootnoteReference"/>
        </w:rPr>
        <w:footnoteReference w:id="680"/>
      </w:r>
      <w:r w:rsidRPr="0080041A">
        <w:t xml:space="preserve"> In sum, the </w:t>
      </w:r>
      <w:r w:rsidRPr="0080041A">
        <w:rPr>
          <w:i/>
        </w:rPr>
        <w:t xml:space="preserve">Tomlinson </w:t>
      </w:r>
      <w:r w:rsidRPr="0080041A">
        <w:t xml:space="preserve">case boiled down to an issue of individual responsibility; no risk arose from the state of the premises as required under s 1(1)(a) </w:t>
      </w:r>
      <w:r>
        <w:t xml:space="preserve">of the </w:t>
      </w:r>
      <w:r w:rsidRPr="0080041A">
        <w:t xml:space="preserve">OLA 1984, the risk arose from the claimant’s own actions. Even if there was a risk due to the state of the premises, it was not one against which the council would reasonably be expected to offer the claimant protection under </w:t>
      </w:r>
      <w:r>
        <w:t xml:space="preserve">s </w:t>
      </w:r>
      <w:r w:rsidRPr="0080041A">
        <w:t xml:space="preserve">1(3)(C) </w:t>
      </w:r>
      <w:r>
        <w:t xml:space="preserve">of the </w:t>
      </w:r>
      <w:r w:rsidRPr="0080041A">
        <w:t>OLA 1984.</w:t>
      </w:r>
    </w:p>
    <w:p w14:paraId="1AE8F0AD" w14:textId="77777777" w:rsidR="0019789C" w:rsidRDefault="0019789C" w:rsidP="00FB2476">
      <w:pPr>
        <w:rPr>
          <w:lang w:bidi="en-US"/>
        </w:rPr>
      </w:pPr>
    </w:p>
    <w:p w14:paraId="7565E5B6" w14:textId="77777777" w:rsidR="0019789C" w:rsidRPr="0080041A" w:rsidRDefault="0019789C" w:rsidP="00FB2476">
      <w:r>
        <w:t xml:space="preserve">The </w:t>
      </w:r>
      <w:r w:rsidRPr="0080041A">
        <w:t xml:space="preserve">OLA 1957 and </w:t>
      </w:r>
      <w:r>
        <w:t xml:space="preserve">the </w:t>
      </w:r>
      <w:r w:rsidRPr="0080041A">
        <w:t>OLA 1984 are certainly of interest in the context of safe and accessible public spaces; however, the scope of applicability is actually quite narrow in cases where a pedestrian is injured due to a failure to safeguard pedestrians’ safety when using a street, footpath, etc. One reason is that persons exercising a public or private right of way are not covered by OLA 1957 because they are not regarded as ‘visitors’.</w:t>
      </w:r>
      <w:r w:rsidRPr="0080041A">
        <w:rPr>
          <w:rStyle w:val="FootnoteReference"/>
        </w:rPr>
        <w:footnoteReference w:id="681"/>
      </w:r>
      <w:r w:rsidRPr="0080041A">
        <w:t xml:space="preserve"> Moreover, users of public rights of way are expressly excluded from the scope of OLA 1984, which applies to trespassers and other ‘non-visitors’</w:t>
      </w:r>
      <w:bookmarkStart w:id="74" w:name="_Ref30769432"/>
      <w:r w:rsidRPr="0080041A">
        <w:rPr>
          <w:rStyle w:val="FootnoteReference"/>
        </w:rPr>
        <w:footnoteReference w:id="682"/>
      </w:r>
      <w:bookmarkEnd w:id="74"/>
      <w:r w:rsidRPr="0080041A">
        <w:t xml:space="preserve"> – yet, in a confusing twist, users of private rights of way are not.</w:t>
      </w:r>
      <w:r w:rsidRPr="0080041A">
        <w:rPr>
          <w:rStyle w:val="FootnoteReference"/>
        </w:rPr>
        <w:footnoteReference w:id="683"/>
      </w:r>
    </w:p>
    <w:p w14:paraId="612A7CE6" w14:textId="77777777" w:rsidR="0019789C" w:rsidRPr="0080041A" w:rsidRDefault="0019789C" w:rsidP="00FB2476">
      <w:r w:rsidRPr="0080041A">
        <w:t xml:space="preserve"> </w:t>
      </w:r>
    </w:p>
    <w:p w14:paraId="36067CDD" w14:textId="77777777" w:rsidR="0019789C" w:rsidRPr="0080041A" w:rsidRDefault="0019789C" w:rsidP="00FB2476">
      <w:r w:rsidRPr="0080041A">
        <w:lastRenderedPageBreak/>
        <w:t xml:space="preserve">It is interesting to note that one reason for excluding people entering land </w:t>
      </w:r>
      <w:r>
        <w:t>via</w:t>
      </w:r>
      <w:r w:rsidRPr="0080041A">
        <w:t xml:space="preserve"> public rights of way from </w:t>
      </w:r>
      <w:r>
        <w:t xml:space="preserve">the scope of the </w:t>
      </w:r>
      <w:r w:rsidRPr="0080041A">
        <w:t xml:space="preserve">OLA 1984 was that they </w:t>
      </w:r>
      <w:r>
        <w:t>were</w:t>
      </w:r>
      <w:r w:rsidRPr="0080041A">
        <w:t xml:space="preserve"> already protected by statutory provisions, such as the Highways Act 1980 </w:t>
      </w:r>
      <w:r>
        <w:t>(</w:t>
      </w:r>
      <w:r w:rsidRPr="0080041A">
        <w:t>which provides for a civil right of action against the highway authority in cases of injury or loss arising from a failure to maintain or repair</w:t>
      </w:r>
      <w:r>
        <w:t>)</w:t>
      </w:r>
      <w:r w:rsidRPr="0080041A">
        <w:t>.</w:t>
      </w:r>
      <w:r w:rsidRPr="0080041A">
        <w:rPr>
          <w:rStyle w:val="FootnoteReference"/>
        </w:rPr>
        <w:footnoteReference w:id="684"/>
      </w:r>
      <w:r w:rsidRPr="0080041A">
        <w:t xml:space="preserve"> </w:t>
      </w:r>
      <w:r>
        <w:t>However,</w:t>
      </w:r>
      <w:r w:rsidRPr="0080041A">
        <w:t xml:space="preserve"> even if this were not the case, the courts have held that a highway authority is not an occupier under OLA 1957. In </w:t>
      </w:r>
      <w:r w:rsidRPr="00FB2476">
        <w:rPr>
          <w:rStyle w:val="case"/>
        </w:rPr>
        <w:t>Whiting v Hillingdon London Borough Council</w:t>
      </w:r>
      <w:r w:rsidRPr="0080041A">
        <w:t>,</w:t>
      </w:r>
      <w:r w:rsidRPr="0080041A">
        <w:rPr>
          <w:rStyle w:val="FootnoteReference"/>
        </w:rPr>
        <w:t xml:space="preserve"> </w:t>
      </w:r>
      <w:bookmarkStart w:id="75" w:name="_Ref32914298"/>
      <w:r w:rsidRPr="0080041A">
        <w:rPr>
          <w:rStyle w:val="FootnoteReference"/>
        </w:rPr>
        <w:footnoteReference w:id="685"/>
      </w:r>
      <w:bookmarkEnd w:id="75"/>
      <w:r w:rsidRPr="0080041A">
        <w:t xml:space="preserve"> the local authority had a statutory duty to maintain a privately-owned footpath,</w:t>
      </w:r>
      <w:r w:rsidRPr="0080041A">
        <w:rPr>
          <w:rStyle w:val="FootnoteReference"/>
        </w:rPr>
        <w:footnoteReference w:id="686"/>
      </w:r>
      <w:r w:rsidRPr="0080041A">
        <w:t xml:space="preserve"> which carried with it ‘vested ownership of the top “crust” of each way’, yet this did not make the highway authority an occupier for the purposes of OLA 1957.</w:t>
      </w:r>
      <w:r w:rsidRPr="0080041A">
        <w:rPr>
          <w:rStyle w:val="FootnoteReference"/>
        </w:rPr>
        <w:footnoteReference w:id="687"/>
      </w:r>
      <w:r w:rsidRPr="0080041A">
        <w:t xml:space="preserve"> </w:t>
      </w:r>
    </w:p>
    <w:p w14:paraId="31F1070C" w14:textId="77777777" w:rsidR="0019789C" w:rsidRPr="0080041A" w:rsidRDefault="0019789C" w:rsidP="00FB2476"/>
    <w:p w14:paraId="06A82C42" w14:textId="03411068" w:rsidR="0019789C" w:rsidRPr="0080041A" w:rsidRDefault="0019789C" w:rsidP="00FB2476">
      <w:r w:rsidRPr="0080041A">
        <w:t xml:space="preserve">Nevertheless, recovery may still be possible for failure to repair and maintain in accordance with what is now s 41 </w:t>
      </w:r>
      <w:r>
        <w:t xml:space="preserve">of the </w:t>
      </w:r>
      <w:r w:rsidRPr="0080041A">
        <w:t xml:space="preserve">Highways Act 1980. Yet, according to Barker and Party, such provisions are: </w:t>
      </w:r>
    </w:p>
    <w:p w14:paraId="7CB68BBB" w14:textId="77777777" w:rsidR="0019789C" w:rsidRPr="0080041A" w:rsidRDefault="0019789C" w:rsidP="00FB2476">
      <w:pPr>
        <w:pStyle w:val="Quote"/>
      </w:pPr>
      <w:r w:rsidRPr="0080041A">
        <w:t>far from comprehensive because they apply only to failures to maintain public rights of way which have been adopted as publicly maintainable. Somewhat anomalously, therefore, they leave unprotected entrants who suffer injury or loss as a result of some other action or inaction, and those exercising public rights of access to land on public rights of way and other highways which are not maintainable at the public expense.</w:t>
      </w:r>
      <w:r w:rsidRPr="0080041A">
        <w:rPr>
          <w:rStyle w:val="FootnoteReference"/>
        </w:rPr>
        <w:footnoteReference w:id="688"/>
      </w:r>
    </w:p>
    <w:p w14:paraId="021B8823" w14:textId="77777777" w:rsidR="0019789C" w:rsidRDefault="0019789C" w:rsidP="00FB2476">
      <w:pPr>
        <w:ind w:firstLine="0"/>
      </w:pPr>
      <w:r>
        <w:t>To some extent, this places pedestrians ‘</w:t>
      </w:r>
      <w:r w:rsidRPr="000E4A22">
        <w:t>between a rock and hard place</w:t>
      </w:r>
      <w:r>
        <w:t>’: the</w:t>
      </w:r>
      <w:r w:rsidRPr="000E4A22">
        <w:t xml:space="preserve"> occupier’s liability </w:t>
      </w:r>
      <w:r>
        <w:t xml:space="preserve">legal framework </w:t>
      </w:r>
      <w:r w:rsidRPr="000E4A22">
        <w:t xml:space="preserve">excludes certain situations from potential liability precisely because recovery is </w:t>
      </w:r>
      <w:r>
        <w:t>available elsewhere; yet, as we discovered</w:t>
      </w:r>
      <w:r w:rsidRPr="000E4A22">
        <w:t xml:space="preserve"> previously</w:t>
      </w:r>
      <w:r>
        <w:t>,</w:t>
      </w:r>
      <w:r w:rsidRPr="0080041A">
        <w:rPr>
          <w:rStyle w:val="FootnoteReference"/>
        </w:rPr>
        <w:footnoteReference w:id="689"/>
      </w:r>
      <w:r>
        <w:t xml:space="preserve"> the relevant</w:t>
      </w:r>
      <w:r w:rsidRPr="000E4A22">
        <w:t xml:space="preserve"> provision</w:t>
      </w:r>
      <w:r>
        <w:t>s</w:t>
      </w:r>
      <w:r w:rsidRPr="000E4A22">
        <w:t xml:space="preserve"> of the Highways Act 1980 </w:t>
      </w:r>
      <w:r>
        <w:t xml:space="preserve">are also difficult to use in this situation </w:t>
      </w:r>
      <w:r w:rsidRPr="000E4A22">
        <w:t xml:space="preserve">given </w:t>
      </w:r>
      <w:r>
        <w:t>their</w:t>
      </w:r>
      <w:r w:rsidRPr="000E4A22">
        <w:t xml:space="preserve"> limited scope and enforceability.</w:t>
      </w:r>
    </w:p>
    <w:p w14:paraId="07717B8C" w14:textId="77777777" w:rsidR="0019789C" w:rsidRPr="0080041A" w:rsidRDefault="0019789C" w:rsidP="00683CF7"/>
    <w:p w14:paraId="279D643B" w14:textId="1308758D" w:rsidR="0019789C" w:rsidRPr="0080041A" w:rsidRDefault="0019789C" w:rsidP="00683CF7">
      <w:pPr>
        <w:pStyle w:val="Heading4"/>
      </w:pPr>
      <w:r w:rsidRPr="0080041A">
        <w:t xml:space="preserve">(b) </w:t>
      </w:r>
      <w:r w:rsidRPr="002A65B0">
        <w:t>Remedies</w:t>
      </w:r>
      <w:r>
        <w:t>, Sanctions or Other Outcomes</w:t>
      </w:r>
    </w:p>
    <w:p w14:paraId="327A10EF" w14:textId="0022A7CC" w:rsidR="0019789C" w:rsidRPr="0080041A" w:rsidRDefault="0019789C" w:rsidP="00FB2476">
      <w:r w:rsidRPr="0080041A">
        <w:rPr>
          <w:lang w:bidi="en-US"/>
        </w:rPr>
        <w:lastRenderedPageBreak/>
        <w:t xml:space="preserve">Under </w:t>
      </w:r>
      <w:r>
        <w:rPr>
          <w:lang w:bidi="en-US"/>
        </w:rPr>
        <w:t xml:space="preserve">the </w:t>
      </w:r>
      <w:r w:rsidRPr="0080041A">
        <w:rPr>
          <w:lang w:bidi="en-US"/>
        </w:rPr>
        <w:t>OLA 1957, an occupier is liable to lawful visitors for death, personal injury, as well as damage to property while on the occupier’s premises.</w:t>
      </w:r>
      <w:r w:rsidRPr="0080041A">
        <w:rPr>
          <w:rStyle w:val="FootnoteReference"/>
          <w:lang w:bidi="en-US"/>
        </w:rPr>
        <w:footnoteReference w:id="690"/>
      </w:r>
      <w:r w:rsidRPr="0080041A">
        <w:rPr>
          <w:lang w:bidi="en-US"/>
        </w:rPr>
        <w:t xml:space="preserve"> Moreover, a claimant can recover financial damages </w:t>
      </w:r>
      <w:r>
        <w:rPr>
          <w:lang w:bidi="en-US"/>
        </w:rPr>
        <w:t>that flow from such</w:t>
      </w:r>
      <w:r w:rsidRPr="0080041A">
        <w:rPr>
          <w:lang w:bidi="en-US"/>
        </w:rPr>
        <w:t xml:space="preserve"> personal injury or property damage</w:t>
      </w:r>
      <w:r w:rsidRPr="0080041A">
        <w:t>.</w:t>
      </w:r>
      <w:r w:rsidRPr="0080041A">
        <w:rPr>
          <w:rStyle w:val="FootnoteReference"/>
        </w:rPr>
        <w:footnoteReference w:id="691"/>
      </w:r>
    </w:p>
    <w:p w14:paraId="30F26CA6" w14:textId="77777777" w:rsidR="0019789C" w:rsidRDefault="0019789C" w:rsidP="00683CF7">
      <w:pPr>
        <w:rPr>
          <w:lang w:bidi="en-US"/>
        </w:rPr>
      </w:pPr>
    </w:p>
    <w:p w14:paraId="0FE881DC" w14:textId="4C8BF993" w:rsidR="0019789C" w:rsidRPr="0080041A" w:rsidRDefault="0019789C" w:rsidP="00683CF7">
      <w:pPr>
        <w:rPr>
          <w:lang w:bidi="en-US"/>
        </w:rPr>
      </w:pPr>
      <w:r w:rsidRPr="0080041A">
        <w:rPr>
          <w:lang w:bidi="en-US"/>
        </w:rPr>
        <w:t xml:space="preserve">Under </w:t>
      </w:r>
      <w:r>
        <w:rPr>
          <w:lang w:bidi="en-US"/>
        </w:rPr>
        <w:t xml:space="preserve">the </w:t>
      </w:r>
      <w:r w:rsidRPr="0080041A">
        <w:rPr>
          <w:lang w:bidi="en-US"/>
        </w:rPr>
        <w:t>OLA 1984, an occupier is not liable to non-visitors for loss or damage to their property, only for death and personal injury</w:t>
      </w:r>
      <w:r w:rsidRPr="0080041A">
        <w:rPr>
          <w:rStyle w:val="FootnoteReference"/>
          <w:lang w:bidi="en-US"/>
        </w:rPr>
        <w:footnoteReference w:id="692"/>
      </w:r>
      <w:r w:rsidRPr="0080041A">
        <w:t xml:space="preserve"> (and other damages flowing from death or personal injury, such as </w:t>
      </w:r>
      <w:r w:rsidRPr="0080041A">
        <w:rPr>
          <w:lang w:bidi="en-US"/>
        </w:rPr>
        <w:t>loss of earnings, amenity, etc</w:t>
      </w:r>
      <w:r w:rsidRPr="0080041A">
        <w:rPr>
          <w:rStyle w:val="FootnoteReference"/>
          <w:lang w:bidi="en-US"/>
        </w:rPr>
        <w:footnoteReference w:id="693"/>
      </w:r>
      <w:r w:rsidRPr="0080041A">
        <w:rPr>
          <w:lang w:bidi="en-US"/>
        </w:rPr>
        <w:t>).</w:t>
      </w:r>
    </w:p>
    <w:p w14:paraId="65CA9103" w14:textId="77777777" w:rsidR="0019789C" w:rsidRPr="0080041A" w:rsidRDefault="0019789C" w:rsidP="00683CF7"/>
    <w:p w14:paraId="272A13DB" w14:textId="77777777" w:rsidR="0019789C" w:rsidRPr="0080041A" w:rsidRDefault="0019789C" w:rsidP="00683CF7">
      <w:pPr>
        <w:pStyle w:val="Heading4"/>
      </w:pPr>
      <w:r w:rsidRPr="0080041A">
        <w:t xml:space="preserve">(c) Enforcement </w:t>
      </w:r>
    </w:p>
    <w:p w14:paraId="3D0B9CE9" w14:textId="77777777" w:rsidR="0019789C" w:rsidRPr="0080041A" w:rsidRDefault="0019789C" w:rsidP="00683CF7">
      <w:pPr>
        <w:rPr>
          <w:lang w:bidi="en-US"/>
        </w:rPr>
      </w:pPr>
      <w:r>
        <w:rPr>
          <w:lang w:bidi="en-US"/>
        </w:rPr>
        <w:t xml:space="preserve">See above C1.1 (c) on enforcement in common law negligence – the issues of legal representation discussed there are relevant to the context of occupier’s liability since it falls within the scope of common law negligence. </w:t>
      </w:r>
    </w:p>
    <w:p w14:paraId="47CA7355" w14:textId="2C7ADD46" w:rsidR="0019789C" w:rsidRDefault="0019789C" w:rsidP="00FB2476">
      <w:pPr>
        <w:spacing w:after="160" w:line="259" w:lineRule="auto"/>
        <w:ind w:firstLine="0"/>
        <w:rPr>
          <w:lang w:bidi="en-US"/>
        </w:rPr>
      </w:pPr>
    </w:p>
    <w:p w14:paraId="0087A285" w14:textId="77777777" w:rsidR="0019789C" w:rsidRPr="0080041A" w:rsidRDefault="0019789C" w:rsidP="00FB2476">
      <w:pPr>
        <w:spacing w:after="160" w:line="259" w:lineRule="auto"/>
        <w:ind w:firstLine="0"/>
      </w:pPr>
    </w:p>
    <w:p w14:paraId="3CB75780" w14:textId="151807AC" w:rsidR="0019789C" w:rsidRPr="0080041A" w:rsidRDefault="0019789C" w:rsidP="00683CF7">
      <w:pPr>
        <w:pStyle w:val="Heading2"/>
      </w:pPr>
      <w:r>
        <w:t>C2</w:t>
      </w:r>
      <w:r w:rsidRPr="0080041A">
        <w:t xml:space="preserve"> </w:t>
      </w:r>
      <w:r>
        <w:t>Obstructing</w:t>
      </w:r>
      <w:r w:rsidRPr="0080041A">
        <w:t xml:space="preserve"> </w:t>
      </w:r>
      <w:r>
        <w:t>r</w:t>
      </w:r>
      <w:r w:rsidRPr="0080041A">
        <w:t xml:space="preserve">oads or </w:t>
      </w:r>
      <w:r>
        <w:t>p</w:t>
      </w:r>
      <w:r w:rsidRPr="0080041A">
        <w:t xml:space="preserve">avements </w:t>
      </w:r>
    </w:p>
    <w:p w14:paraId="2571A56B" w14:textId="77777777" w:rsidR="0019789C" w:rsidRPr="0080041A" w:rsidRDefault="0019789C" w:rsidP="00683CF7">
      <w:pPr>
        <w:pStyle w:val="Heading3"/>
      </w:pPr>
      <w:r>
        <w:t xml:space="preserve">C2.1 Common Law Negligence </w:t>
      </w:r>
    </w:p>
    <w:p w14:paraId="2597064B" w14:textId="77777777" w:rsidR="0019789C" w:rsidRPr="0080041A" w:rsidRDefault="0019789C" w:rsidP="00683CF7">
      <w:pPr>
        <w:pStyle w:val="Heading4"/>
      </w:pPr>
      <w:r w:rsidRPr="0080041A">
        <w:t>(a) Description and Examples</w:t>
      </w:r>
    </w:p>
    <w:p w14:paraId="7EBE6264" w14:textId="79E28816" w:rsidR="0019789C" w:rsidRDefault="0019789C" w:rsidP="00683CF7">
      <w:r w:rsidRPr="0080041A">
        <w:t xml:space="preserve">The common law tort of negligence, </w:t>
      </w:r>
      <w:r>
        <w:t xml:space="preserve">already </w:t>
      </w:r>
      <w:r w:rsidRPr="0080041A">
        <w:t xml:space="preserve">explained </w:t>
      </w:r>
      <w:r>
        <w:t>above (C1.1),</w:t>
      </w:r>
      <w:r w:rsidRPr="0080041A">
        <w:t xml:space="preserve"> could be used where</w:t>
      </w:r>
      <w:r>
        <w:t xml:space="preserve"> a</w:t>
      </w:r>
      <w:r w:rsidRPr="0080041A">
        <w:t xml:space="preserve"> </w:t>
      </w:r>
      <w:r>
        <w:t>local authority creates a danger by obstructing a</w:t>
      </w:r>
      <w:r w:rsidRPr="0080041A">
        <w:t xml:space="preserve"> road</w:t>
      </w:r>
      <w:r>
        <w:t>, which</w:t>
      </w:r>
      <w:r w:rsidRPr="0080041A">
        <w:t xml:space="preserve"> </w:t>
      </w:r>
      <w:r>
        <w:t>results in</w:t>
      </w:r>
      <w:r w:rsidRPr="0080041A">
        <w:t xml:space="preserve"> injury</w:t>
      </w:r>
      <w:r>
        <w:t>, harm</w:t>
      </w:r>
      <w:r w:rsidRPr="0080041A">
        <w:t xml:space="preserve"> or loss.</w:t>
      </w:r>
      <w:r>
        <w:t xml:space="preserve"> This was first established in the </w:t>
      </w:r>
      <w:r w:rsidRPr="00FB2476">
        <w:rPr>
          <w:rStyle w:val="case"/>
        </w:rPr>
        <w:t>Sheppard</w:t>
      </w:r>
      <w:r w:rsidRPr="0080041A">
        <w:t xml:space="preserve"> </w:t>
      </w:r>
      <w:r>
        <w:t xml:space="preserve">case, where the court noted </w:t>
      </w:r>
      <w:r w:rsidRPr="00D52A6F">
        <w:t xml:space="preserve">that a local authority </w:t>
      </w:r>
      <w:r>
        <w:t>could</w:t>
      </w:r>
      <w:r w:rsidRPr="00D52A6F">
        <w:t xml:space="preserve"> be liable in </w:t>
      </w:r>
      <w:r>
        <w:t xml:space="preserve">common law </w:t>
      </w:r>
      <w:r w:rsidRPr="00D52A6F">
        <w:t>negligence if</w:t>
      </w:r>
      <w:r>
        <w:t xml:space="preserve"> it</w:t>
      </w:r>
      <w:r w:rsidRPr="00D52A6F">
        <w:t xml:space="preserve"> </w:t>
      </w:r>
      <w:r>
        <w:t>placed</w:t>
      </w:r>
      <w:r w:rsidRPr="00D52A6F">
        <w:t xml:space="preserve"> an obstruction in the highway.</w:t>
      </w:r>
      <w:r w:rsidRPr="00D52A6F">
        <w:rPr>
          <w:rStyle w:val="FootnoteReference"/>
        </w:rPr>
        <w:footnoteReference w:id="694"/>
      </w:r>
      <w:r>
        <w:t xml:space="preserve"> This stance was later reiterated in </w:t>
      </w:r>
      <w:r w:rsidRPr="00FB2476">
        <w:rPr>
          <w:rStyle w:val="case"/>
        </w:rPr>
        <w:t>Whiting v Middlesex CC</w:t>
      </w:r>
      <w:r>
        <w:t>.</w:t>
      </w:r>
      <w:r>
        <w:rPr>
          <w:rStyle w:val="FootnoteReference"/>
        </w:rPr>
        <w:footnoteReference w:id="695"/>
      </w:r>
      <w:r>
        <w:t xml:space="preserve"> In this case, a local authority had</w:t>
      </w:r>
      <w:r w:rsidRPr="00D52A6F">
        <w:t xml:space="preserve"> created an obstruction on the highway</w:t>
      </w:r>
      <w:r>
        <w:t>, which</w:t>
      </w:r>
      <w:r w:rsidRPr="00D52A6F">
        <w:t xml:space="preserve"> constitute</w:t>
      </w:r>
      <w:r>
        <w:t>d</w:t>
      </w:r>
      <w:r w:rsidRPr="00D52A6F">
        <w:t xml:space="preserve"> a danger</w:t>
      </w:r>
      <w:r>
        <w:t xml:space="preserve"> due to the lack of</w:t>
      </w:r>
      <w:r w:rsidRPr="00D52A6F">
        <w:t xml:space="preserve"> lighting, </w:t>
      </w:r>
      <w:r>
        <w:t xml:space="preserve">and </w:t>
      </w:r>
      <w:r w:rsidRPr="00D52A6F">
        <w:t xml:space="preserve">the local authority </w:t>
      </w:r>
      <w:r>
        <w:t xml:space="preserve">was </w:t>
      </w:r>
      <w:r w:rsidRPr="00D52A6F">
        <w:t>found liable for failure to warn.</w:t>
      </w:r>
      <w:r w:rsidRPr="00D52A6F">
        <w:rPr>
          <w:rStyle w:val="FootnoteReference"/>
        </w:rPr>
        <w:footnoteReference w:id="696"/>
      </w:r>
      <w:r>
        <w:t xml:space="preserve"> However, the issue is less clear-cut when a local authority does not create a danger, but merely fails to act. As discussed previously, l</w:t>
      </w:r>
      <w:r w:rsidRPr="00C54693">
        <w:t xml:space="preserve">iability in </w:t>
      </w:r>
      <w:r>
        <w:t xml:space="preserve">common law </w:t>
      </w:r>
      <w:r w:rsidRPr="00C54693">
        <w:lastRenderedPageBreak/>
        <w:t xml:space="preserve">negligence </w:t>
      </w:r>
      <w:r>
        <w:t xml:space="preserve">requires, as a first step, the imposition of a </w:t>
      </w:r>
      <w:r w:rsidRPr="00C54693">
        <w:t>duty of care</w:t>
      </w:r>
      <w:r>
        <w:t>.</w:t>
      </w:r>
      <w:r>
        <w:rPr>
          <w:rStyle w:val="FootnoteReference"/>
        </w:rPr>
        <w:footnoteReference w:id="697"/>
      </w:r>
      <w:r>
        <w:t xml:space="preserve"> In situations of omissions, the imposition of a duty of care can be problematic. </w:t>
      </w:r>
    </w:p>
    <w:p w14:paraId="68D194E1" w14:textId="77777777" w:rsidR="0019789C" w:rsidRDefault="0019789C" w:rsidP="00683CF7"/>
    <w:p w14:paraId="4556DC75" w14:textId="77777777" w:rsidR="0019789C" w:rsidRDefault="0019789C" w:rsidP="00683CF7">
      <w:r>
        <w:t>One of the leading cases on obstructions and failures to act is</w:t>
      </w:r>
      <w:r w:rsidRPr="0082159F">
        <w:t xml:space="preserve"> </w:t>
      </w:r>
      <w:r w:rsidRPr="00C54693">
        <w:rPr>
          <w:i/>
        </w:rPr>
        <w:t>Stovin v Wise</w:t>
      </w:r>
      <w:r>
        <w:t>.</w:t>
      </w:r>
      <w:r w:rsidRPr="00AF38B6">
        <w:rPr>
          <w:rStyle w:val="FootnoteReference"/>
        </w:rPr>
        <w:footnoteReference w:id="698"/>
      </w:r>
      <w:r w:rsidRPr="0082159F">
        <w:t xml:space="preserve"> </w:t>
      </w:r>
      <w:r>
        <w:t>In this case, the claimant (</w:t>
      </w:r>
      <w:r w:rsidRPr="0082159F">
        <w:t>Stovin</w:t>
      </w:r>
      <w:r>
        <w:t>)</w:t>
      </w:r>
      <w:r w:rsidRPr="0082159F">
        <w:t xml:space="preserve"> </w:t>
      </w:r>
      <w:r>
        <w:t>was seriously injured</w:t>
      </w:r>
      <w:r w:rsidRPr="0082159F">
        <w:t xml:space="preserve"> when his motorcycle</w:t>
      </w:r>
      <w:r>
        <w:t xml:space="preserve"> collided with a </w:t>
      </w:r>
      <w:r w:rsidRPr="0082159F">
        <w:t>car driven by Mrs Wise.</w:t>
      </w:r>
      <w:r>
        <w:t xml:space="preserve"> The incident occurred at a </w:t>
      </w:r>
      <w:r w:rsidRPr="0082159F">
        <w:t xml:space="preserve">junction </w:t>
      </w:r>
      <w:r w:rsidRPr="00C54693">
        <w:t xml:space="preserve">where </w:t>
      </w:r>
      <w:r>
        <w:t xml:space="preserve">the </w:t>
      </w:r>
      <w:r w:rsidRPr="0082159F">
        <w:t>visibility of traffic was hampered due to a bank of earth</w:t>
      </w:r>
      <w:r>
        <w:t>.</w:t>
      </w:r>
      <w:r w:rsidRPr="00AF38B6">
        <w:t xml:space="preserve"> </w:t>
      </w:r>
      <w:r w:rsidRPr="00C54693">
        <w:t xml:space="preserve">The local </w:t>
      </w:r>
      <w:r>
        <w:t>council</w:t>
      </w:r>
      <w:r w:rsidRPr="00C54693">
        <w:t xml:space="preserve"> </w:t>
      </w:r>
      <w:r w:rsidRPr="00AF38B6">
        <w:t>knew this was an</w:t>
      </w:r>
      <w:r>
        <w:t xml:space="preserve"> exceedingly dangerous junction and three accidents had occurred there</w:t>
      </w:r>
      <w:r w:rsidRPr="001E2942">
        <w:t xml:space="preserve"> </w:t>
      </w:r>
      <w:r>
        <w:t xml:space="preserve">previously. It </w:t>
      </w:r>
      <w:r w:rsidRPr="00C54693">
        <w:t xml:space="preserve">had approached the railway authority with an offer to remove the bank and pay the cost, which </w:t>
      </w:r>
      <w:r>
        <w:t>was less than</w:t>
      </w:r>
      <w:r w:rsidRPr="00C54693">
        <w:t xml:space="preserve"> £1000, but</w:t>
      </w:r>
      <w:r>
        <w:t>,</w:t>
      </w:r>
      <w:r w:rsidRPr="00C54693">
        <w:t xml:space="preserve"> at the time of the accident</w:t>
      </w:r>
      <w:r>
        <w:t>,</w:t>
      </w:r>
      <w:r w:rsidRPr="00C54693">
        <w:t xml:space="preserve"> no</w:t>
      </w:r>
      <w:r>
        <w:t xml:space="preserve"> further action had been taken.</w:t>
      </w:r>
      <w:r>
        <w:rPr>
          <w:rStyle w:val="FootnoteReference"/>
        </w:rPr>
        <w:footnoteReference w:id="699"/>
      </w:r>
      <w:r w:rsidRPr="00AF38B6">
        <w:t xml:space="preserve"> </w:t>
      </w:r>
      <w:r w:rsidRPr="00C54693">
        <w:t xml:space="preserve">The </w:t>
      </w:r>
      <w:r>
        <w:t>claimant</w:t>
      </w:r>
      <w:r w:rsidRPr="00C54693">
        <w:t xml:space="preserve"> sued the defendant, who joined the highway authority as third party, alleging that it</w:t>
      </w:r>
      <w:r>
        <w:t>s</w:t>
      </w:r>
      <w:r w:rsidRPr="00C54693">
        <w:t xml:space="preserve"> fail</w:t>
      </w:r>
      <w:r>
        <w:t>ure</w:t>
      </w:r>
      <w:r w:rsidRPr="00C54693">
        <w:t xml:space="preserve"> to have the bank removed </w:t>
      </w:r>
      <w:r>
        <w:t>amounted to</w:t>
      </w:r>
      <w:r w:rsidRPr="00C54693">
        <w:t xml:space="preserve"> </w:t>
      </w:r>
      <w:r>
        <w:t xml:space="preserve">a </w:t>
      </w:r>
      <w:r w:rsidRPr="00C54693">
        <w:t xml:space="preserve">breach of its duty under s 41 </w:t>
      </w:r>
      <w:r>
        <w:t xml:space="preserve">of the </w:t>
      </w:r>
      <w:r w:rsidRPr="00C54693">
        <w:t>Highways Act 1980</w:t>
      </w:r>
      <w:r>
        <w:t xml:space="preserve"> (</w:t>
      </w:r>
      <w:r w:rsidRPr="00C54693">
        <w:t>to maintain the highway</w:t>
      </w:r>
      <w:r>
        <w:t>)</w:t>
      </w:r>
      <w:r w:rsidRPr="00C54693">
        <w:t xml:space="preserve"> or its common law duty to users of the highway </w:t>
      </w:r>
      <w:r>
        <w:t>(</w:t>
      </w:r>
      <w:r w:rsidRPr="00C54693">
        <w:t>to remove dangers which impaired visibility</w:t>
      </w:r>
      <w:r>
        <w:t>)</w:t>
      </w:r>
      <w:r w:rsidRPr="00C54693">
        <w:t>.</w:t>
      </w:r>
      <w:r>
        <w:rPr>
          <w:rStyle w:val="FootnoteReference"/>
        </w:rPr>
        <w:footnoteReference w:id="700"/>
      </w:r>
      <w:r>
        <w:t xml:space="preserve"> </w:t>
      </w:r>
      <w:r w:rsidRPr="0082159F">
        <w:t>The judge</w:t>
      </w:r>
      <w:r>
        <w:t xml:space="preserve"> at the</w:t>
      </w:r>
      <w:r w:rsidRPr="0081080F">
        <w:t xml:space="preserve"> </w:t>
      </w:r>
      <w:r>
        <w:t>first instance</w:t>
      </w:r>
      <w:r w:rsidRPr="0082159F">
        <w:t xml:space="preserve"> held </w:t>
      </w:r>
      <w:r w:rsidRPr="00C54693">
        <w:t>that the highway authority</w:t>
      </w:r>
      <w:r>
        <w:t xml:space="preserve"> </w:t>
      </w:r>
      <w:r w:rsidRPr="00C54693">
        <w:t xml:space="preserve">was in breach of its common law duty of care and </w:t>
      </w:r>
      <w:r>
        <w:t xml:space="preserve">that it was </w:t>
      </w:r>
      <w:r w:rsidRPr="00C54693">
        <w:t>30% to blame for the accident.</w:t>
      </w:r>
      <w:r>
        <w:rPr>
          <w:rStyle w:val="FootnoteReference"/>
        </w:rPr>
        <w:footnoteReference w:id="701"/>
      </w:r>
      <w:r w:rsidRPr="00C54693">
        <w:t xml:space="preserve"> </w:t>
      </w:r>
    </w:p>
    <w:p w14:paraId="2EBB6738" w14:textId="77777777" w:rsidR="0019789C" w:rsidRDefault="0019789C" w:rsidP="00683CF7"/>
    <w:p w14:paraId="4B4973FF" w14:textId="305457DC" w:rsidR="0019789C" w:rsidRDefault="0019789C" w:rsidP="00683CF7">
      <w:r w:rsidRPr="00C54693">
        <w:t xml:space="preserve">The Court of Appeal dismissed an appeal by the highway authority, which </w:t>
      </w:r>
      <w:r>
        <w:t xml:space="preserve">then </w:t>
      </w:r>
      <w:r w:rsidRPr="00C54693">
        <w:t xml:space="preserve">appealed to the House of Lords on </w:t>
      </w:r>
      <w:r>
        <w:t xml:space="preserve">the question of </w:t>
      </w:r>
      <w:r w:rsidRPr="00C54693">
        <w:t xml:space="preserve">whether it owed the </w:t>
      </w:r>
      <w:r>
        <w:t>claimant</w:t>
      </w:r>
      <w:r w:rsidRPr="00C54693">
        <w:t xml:space="preserve"> </w:t>
      </w:r>
      <w:r>
        <w:t>a</w:t>
      </w:r>
      <w:r w:rsidRPr="00C54693">
        <w:t xml:space="preserve"> common law duty of care </w:t>
      </w:r>
      <w:r>
        <w:t>for</w:t>
      </w:r>
      <w:r w:rsidRPr="00C54693">
        <w:t xml:space="preserve"> its failure to </w:t>
      </w:r>
      <w:r>
        <w:t>remove the bank</w:t>
      </w:r>
      <w:r w:rsidRPr="00C54693">
        <w:t>.</w:t>
      </w:r>
      <w:r>
        <w:t xml:space="preserve"> By a majority (3-2), the House of Lords found that the claim against the authority would fail. The </w:t>
      </w:r>
      <w:r w:rsidRPr="0082159F">
        <w:t xml:space="preserve">highway authority </w:t>
      </w:r>
      <w:r>
        <w:t xml:space="preserve">did </w:t>
      </w:r>
      <w:r w:rsidRPr="0082159F">
        <w:t xml:space="preserve">not owe a duty of care to </w:t>
      </w:r>
      <w:r>
        <w:t>the claimant</w:t>
      </w:r>
      <w:r w:rsidRPr="0082159F">
        <w:t xml:space="preserve"> regarding </w:t>
      </w:r>
      <w:r>
        <w:t>its failure to remove the obstruction</w:t>
      </w:r>
      <w:r w:rsidRPr="0082159F">
        <w:t>.</w:t>
      </w:r>
      <w:r>
        <w:t xml:space="preserve"> Essentially, ‘the complaint against the council was not about anything which it had done to make the highway dangerous, but about its omission to make it safer.’</w:t>
      </w:r>
      <w:r>
        <w:rPr>
          <w:rStyle w:val="FootnoteReference"/>
        </w:rPr>
        <w:footnoteReference w:id="702"/>
      </w:r>
      <w:r>
        <w:t xml:space="preserve"> Lord Hoffmann, speaking on behalf of the majority, said:</w:t>
      </w:r>
    </w:p>
    <w:p w14:paraId="5BF3EBEE" w14:textId="77777777" w:rsidR="0019789C" w:rsidRDefault="0019789C" w:rsidP="00683CF7">
      <w:pPr>
        <w:pStyle w:val="Quote"/>
      </w:pPr>
      <w:r w:rsidRPr="003C6536">
        <w:t xml:space="preserve">There are sound reasons why omissions require different treatment from positive conduct. It is one thing for the law to say that a person who undertakes some activity shall take reasonable care not to cause damage to others. It is another thing for the law to require that a person who is doing nothing in </w:t>
      </w:r>
      <w:r w:rsidRPr="003C6536">
        <w:lastRenderedPageBreak/>
        <w:t>particular shall take steps to prevent another from suffering harm from the acts of t</w:t>
      </w:r>
      <w:r>
        <w:t>hird parties or natural causes.</w:t>
      </w:r>
      <w:r>
        <w:rPr>
          <w:rStyle w:val="FootnoteReference"/>
        </w:rPr>
        <w:footnoteReference w:id="703"/>
      </w:r>
    </w:p>
    <w:p w14:paraId="37AEF1B0" w14:textId="77777777" w:rsidR="0019789C" w:rsidRDefault="0019789C" w:rsidP="00683CF7">
      <w:pPr>
        <w:rPr>
          <w:lang w:bidi="en-US"/>
        </w:rPr>
      </w:pPr>
    </w:p>
    <w:p w14:paraId="78374856" w14:textId="78E846E6" w:rsidR="0019789C" w:rsidRDefault="0019789C" w:rsidP="00C209D5">
      <w:r>
        <w:rPr>
          <w:lang w:bidi="en-US"/>
        </w:rPr>
        <w:t xml:space="preserve">A second issue before the House of Lords was whether the existence of a statutory duty could give rise to a duty of care at common law. It is worth mentioning that </w:t>
      </w:r>
      <w:r>
        <w:t>the claimant in</w:t>
      </w:r>
      <w:r w:rsidRPr="00D52A6F">
        <w:t xml:space="preserve"> </w:t>
      </w:r>
      <w:r w:rsidRPr="00C209D5">
        <w:rPr>
          <w:rStyle w:val="case"/>
        </w:rPr>
        <w:t>Stovin</w:t>
      </w:r>
      <w:r>
        <w:t xml:space="preserve"> argued that there had been a breach of</w:t>
      </w:r>
      <w:r w:rsidRPr="00B023E0">
        <w:t xml:space="preserve"> statutory duty under s 41 </w:t>
      </w:r>
      <w:r>
        <w:t xml:space="preserve">of the </w:t>
      </w:r>
      <w:r w:rsidRPr="00B023E0">
        <w:t>Highways Act 1980 to maintain the highway</w:t>
      </w:r>
      <w:r>
        <w:t xml:space="preserve">. This argument was rejected by the first instance </w:t>
      </w:r>
      <w:r w:rsidRPr="00B023E0">
        <w:t>judge on the ground that the b</w:t>
      </w:r>
      <w:r>
        <w:t>ank was not part of the highway – a</w:t>
      </w:r>
      <w:r w:rsidRPr="00B023E0">
        <w:t xml:space="preserve"> decision affirmed by the</w:t>
      </w:r>
      <w:r>
        <w:t xml:space="preserve"> Court of Appeal and</w:t>
      </w:r>
      <w:r w:rsidRPr="00B023E0">
        <w:t xml:space="preserve"> n</w:t>
      </w:r>
      <w:r>
        <w:t>ot challenged in the House of Lords.</w:t>
      </w:r>
      <w:r>
        <w:rPr>
          <w:rStyle w:val="FootnoteReference"/>
        </w:rPr>
        <w:footnoteReference w:id="704"/>
      </w:r>
      <w:r>
        <w:t xml:space="preserve"> There was further discussion of the link between common law negligence and breach of statutory duty. In particular, whether the s 79</w:t>
      </w:r>
      <w:r w:rsidRPr="00D52A6F">
        <w:t xml:space="preserve"> </w:t>
      </w:r>
      <w:r>
        <w:t xml:space="preserve">of the </w:t>
      </w:r>
      <w:r w:rsidRPr="00D52A6F">
        <w:t xml:space="preserve">Highways Act 1980 </w:t>
      </w:r>
      <w:r>
        <w:t xml:space="preserve">power </w:t>
      </w:r>
      <w:r w:rsidRPr="00D52A6F">
        <w:t>to remove highway obstructions</w:t>
      </w:r>
      <w:r>
        <w:t xml:space="preserve"> gave rise to a common law duty of care</w:t>
      </w:r>
      <w:r w:rsidRPr="00D52A6F">
        <w:t>.</w:t>
      </w:r>
      <w:r w:rsidRPr="00D52A6F">
        <w:rPr>
          <w:rStyle w:val="FootnoteReference"/>
        </w:rPr>
        <w:footnoteReference w:id="705"/>
      </w:r>
      <w:r>
        <w:t xml:space="preserve"> </w:t>
      </w:r>
    </w:p>
    <w:p w14:paraId="7BDEFB08" w14:textId="77777777" w:rsidR="0019789C" w:rsidRDefault="0019789C" w:rsidP="00683CF7"/>
    <w:p w14:paraId="34516269" w14:textId="7AF34BF9" w:rsidR="0019789C" w:rsidRDefault="0019789C" w:rsidP="00683CF7">
      <w:r>
        <w:t xml:space="preserve">The House of Lords noted that a </w:t>
      </w:r>
      <w:r w:rsidRPr="001F548C">
        <w:t>common law duty ca</w:t>
      </w:r>
      <w:r>
        <w:t>n be imposed</w:t>
      </w:r>
      <w:r w:rsidRPr="001F548C">
        <w:t xml:space="preserve"> </w:t>
      </w:r>
      <w:r>
        <w:t xml:space="preserve">on a local authority </w:t>
      </w:r>
      <w:r w:rsidRPr="001F548C">
        <w:t>while it performs its statutory functions</w:t>
      </w:r>
      <w:r>
        <w:t>,</w:t>
      </w:r>
      <w:r>
        <w:rPr>
          <w:rStyle w:val="FootnoteReference"/>
        </w:rPr>
        <w:footnoteReference w:id="706"/>
      </w:r>
      <w:r>
        <w:t xml:space="preserve"> and public bodies</w:t>
      </w:r>
      <w:r w:rsidRPr="001F548C">
        <w:t xml:space="preserve"> </w:t>
      </w:r>
      <w:r>
        <w:t>may be</w:t>
      </w:r>
      <w:r w:rsidRPr="001F548C">
        <w:t xml:space="preserve"> subject to</w:t>
      </w:r>
      <w:r>
        <w:t xml:space="preserve"> liability</w:t>
      </w:r>
      <w:r w:rsidRPr="001F548C">
        <w:t xml:space="preserve"> resulting from </w:t>
      </w:r>
      <w:r>
        <w:t>‘</w:t>
      </w:r>
      <w:r w:rsidRPr="001F548C">
        <w:t>a negligent failure to act, when they are under a duty to act, or for a negligent failure to consider the exer</w:t>
      </w:r>
      <w:r>
        <w:t>cise of a power vested in them’.</w:t>
      </w:r>
      <w:r>
        <w:rPr>
          <w:rStyle w:val="FootnoteReference"/>
        </w:rPr>
        <w:footnoteReference w:id="707"/>
      </w:r>
      <w:r>
        <w:t xml:space="preserve"> </w:t>
      </w:r>
      <w:r w:rsidRPr="00D52A6F">
        <w:t xml:space="preserve">The </w:t>
      </w:r>
      <w:r>
        <w:t>main</w:t>
      </w:r>
      <w:r w:rsidRPr="00D52A6F">
        <w:t xml:space="preserve"> conclusion reached by the House of Lords </w:t>
      </w:r>
      <w:r>
        <w:t xml:space="preserve">in </w:t>
      </w:r>
      <w:r>
        <w:rPr>
          <w:i/>
        </w:rPr>
        <w:t>Stovin</w:t>
      </w:r>
      <w:r>
        <w:t>, however,</w:t>
      </w:r>
      <w:r>
        <w:rPr>
          <w:i/>
        </w:rPr>
        <w:t xml:space="preserve"> </w:t>
      </w:r>
      <w:r w:rsidRPr="00D52A6F">
        <w:t>was that the power afforded by s 79 did not of itself give rise to a common law duty of care in negligence. Were there to be such a duty of care</w:t>
      </w:r>
      <w:r>
        <w:t>,</w:t>
      </w:r>
      <w:r w:rsidRPr="00D52A6F">
        <w:t xml:space="preserve"> it would arise independently, and on the basis of standard common law principles.</w:t>
      </w:r>
      <w:r w:rsidRPr="00D52A6F">
        <w:rPr>
          <w:rStyle w:val="FootnoteReference"/>
        </w:rPr>
        <w:footnoteReference w:id="708"/>
      </w:r>
      <w:r>
        <w:t xml:space="preserve"> The majority stressed the importance of legislative intent, observing that liability for breach of statutory duty depends on ‘an examination of the policy of the statute to decide whether it was intended to confer a right to compensation for breach’.</w:t>
      </w:r>
      <w:r>
        <w:rPr>
          <w:rStyle w:val="FootnoteReference"/>
        </w:rPr>
        <w:footnoteReference w:id="709"/>
      </w:r>
      <w:r>
        <w:t xml:space="preserve"> If a statute confers such </w:t>
      </w:r>
      <w:r w:rsidRPr="00775F53">
        <w:t>a r</w:t>
      </w:r>
      <w:r>
        <w:t xml:space="preserve">ight, then legal action can stem </w:t>
      </w:r>
      <w:r>
        <w:lastRenderedPageBreak/>
        <w:t xml:space="preserve">from it; but if a </w:t>
      </w:r>
      <w:r w:rsidRPr="00775F53">
        <w:t xml:space="preserve">duty </w:t>
      </w:r>
      <w:r>
        <w:t xml:space="preserve">or power </w:t>
      </w:r>
      <w:r w:rsidRPr="00775F53">
        <w:t xml:space="preserve">does not give rise to </w:t>
      </w:r>
      <w:r>
        <w:t>this</w:t>
      </w:r>
      <w:r w:rsidRPr="00775F53">
        <w:t xml:space="preserve"> right, it would</w:t>
      </w:r>
      <w:r>
        <w:t xml:space="preserve"> </w:t>
      </w:r>
      <w:r w:rsidRPr="00775F53">
        <w:t xml:space="preserve">be </w:t>
      </w:r>
      <w:r>
        <w:t>illogical</w:t>
      </w:r>
      <w:r w:rsidRPr="00775F53">
        <w:t xml:space="preserve"> </w:t>
      </w:r>
      <w:r>
        <w:t xml:space="preserve">for it to give rise </w:t>
      </w:r>
      <w:r w:rsidRPr="00775F53">
        <w:t>to a</w:t>
      </w:r>
      <w:r>
        <w:t xml:space="preserve"> common law</w:t>
      </w:r>
      <w:r w:rsidRPr="00775F53">
        <w:t xml:space="preserve"> duty of care</w:t>
      </w:r>
      <w:r>
        <w:t xml:space="preserve">, which in turn makes a </w:t>
      </w:r>
      <w:r w:rsidRPr="00775F53">
        <w:t>public authority liable to pay compensation.</w:t>
      </w:r>
      <w:r>
        <w:rPr>
          <w:rStyle w:val="FootnoteReference"/>
        </w:rPr>
        <w:footnoteReference w:id="710"/>
      </w:r>
      <w:r w:rsidRPr="00775F53">
        <w:t xml:space="preserve"> </w:t>
      </w:r>
    </w:p>
    <w:p w14:paraId="62B6780E" w14:textId="0D28A0CF" w:rsidR="0019789C" w:rsidRDefault="0019789C" w:rsidP="00683CF7"/>
    <w:p w14:paraId="49E8BCEF" w14:textId="33024FB1" w:rsidR="0019789C" w:rsidRPr="00B731EE" w:rsidRDefault="0019789C" w:rsidP="0091399C">
      <w:r>
        <w:t xml:space="preserve">There are two conditions that must be met in order for a statutory duty to give rise to </w:t>
      </w:r>
      <w:r w:rsidRPr="0001308A">
        <w:t>a common law duty of care</w:t>
      </w:r>
      <w:r>
        <w:t xml:space="preserve">: that it would </w:t>
      </w:r>
      <w:r w:rsidRPr="008818D5">
        <w:t xml:space="preserve">have been </w:t>
      </w:r>
      <w:r>
        <w:t>‘</w:t>
      </w:r>
      <w:r w:rsidRPr="008818D5">
        <w:t>irrational</w:t>
      </w:r>
      <w:r>
        <w:t>’ for the local authority not to exercise</w:t>
      </w:r>
      <w:r w:rsidRPr="008818D5">
        <w:t xml:space="preserve"> the power, </w:t>
      </w:r>
      <w:r>
        <w:t>and thus creating ‘</w:t>
      </w:r>
      <w:r w:rsidRPr="008818D5">
        <w:t>in effect a public law</w:t>
      </w:r>
      <w:r>
        <w:t xml:space="preserve"> duty to act’; and the existence</w:t>
      </w:r>
      <w:r w:rsidRPr="008818D5">
        <w:t xml:space="preserve"> </w:t>
      </w:r>
      <w:r>
        <w:t>of ‘</w:t>
      </w:r>
      <w:r w:rsidRPr="008818D5">
        <w:t>exceptional grounds for holding that the policy of the statute requires compensation to be paid to persons who suffer loss because the power was not exercised.</w:t>
      </w:r>
      <w:r>
        <w:t>’</w:t>
      </w:r>
      <w:r>
        <w:rPr>
          <w:rStyle w:val="FootnoteReference"/>
        </w:rPr>
        <w:footnoteReference w:id="711"/>
      </w:r>
      <w:r>
        <w:t xml:space="preserve"> In </w:t>
      </w:r>
      <w:r w:rsidRPr="0091399C">
        <w:rPr>
          <w:rStyle w:val="case"/>
        </w:rPr>
        <w:t>Stovin</w:t>
      </w:r>
      <w:r>
        <w:t xml:space="preserve">, however, </w:t>
      </w:r>
      <w:r w:rsidRPr="0001308A">
        <w:t>neither of these conditions were satisfied</w:t>
      </w:r>
      <w:r>
        <w:t xml:space="preserve">. Yet even if both were met, financial considerations play a key role in the adjudication of such cases, as noted by Lord Hoffmann: </w:t>
      </w:r>
    </w:p>
    <w:p w14:paraId="00A4EF1A" w14:textId="37885D93" w:rsidR="0019789C" w:rsidRDefault="0019789C" w:rsidP="0091399C">
      <w:pPr>
        <w:pStyle w:val="Quote"/>
      </w:pPr>
      <w:r>
        <w:t>I</w:t>
      </w:r>
      <w:r w:rsidRPr="002F2B38">
        <w:t>n my view the creation of a duty of care upon a highway authority, even on grounds of irrationality in failing to exercise a power, would inevitably expose the authority's budgetary decisions to judicial inquiry. This would distort the priorities of local authorities, which would be bound to try to play safe by increasing their spending on road improvements rather than risk enormous liabilities for personal injury accidents. They will spend less on education or social services. I think that it is important, before extending the duty of care owed by public authorities, to consider the cost</w:t>
      </w:r>
      <w:r>
        <w:t xml:space="preserve"> </w:t>
      </w:r>
      <w:r w:rsidRPr="002F2B38">
        <w:t>to the community of the defensive measures which they are likely to take in order to avoid liability.</w:t>
      </w:r>
      <w:r>
        <w:rPr>
          <w:rStyle w:val="FootnoteReference"/>
        </w:rPr>
        <w:footnoteReference w:id="712"/>
      </w:r>
    </w:p>
    <w:p w14:paraId="5275567E" w14:textId="77777777" w:rsidR="0019789C" w:rsidRDefault="0019789C" w:rsidP="0091399C"/>
    <w:p w14:paraId="7A83F364" w14:textId="77777777" w:rsidR="0019789C" w:rsidRDefault="0019789C" w:rsidP="0091399C">
      <w:r>
        <w:t>Indeed, as is often the case, insurance coverage proved to be decisive. The courts have taken the line that pedestrians and other victims of road accidents can recover compensation through the insurance system, rather that shifting such costs onto public authorities,</w:t>
      </w:r>
      <w:r>
        <w:rPr>
          <w:rStyle w:val="FootnoteReference"/>
        </w:rPr>
        <w:footnoteReference w:id="713"/>
      </w:r>
      <w:r>
        <w:t xml:space="preserve"> which may have been the result if </w:t>
      </w:r>
      <w:r w:rsidRPr="002F2B38">
        <w:rPr>
          <w:i/>
        </w:rPr>
        <w:t>Stovin</w:t>
      </w:r>
      <w:r>
        <w:t xml:space="preserve"> were decided differently. Yet, in doing so, the House of Lords managed to dodge the issue of </w:t>
      </w:r>
      <w:r w:rsidRPr="002F2B38">
        <w:t>improving roads and preventing accidents</w:t>
      </w:r>
      <w:r>
        <w:t xml:space="preserve">, even where there is a clear danger, as evidenced by the claimant’s unsuccessful attempt to shift the focus away from the individual fault, which is central in tort law, to the </w:t>
      </w:r>
      <w:r w:rsidRPr="002F2B38">
        <w:t>u</w:t>
      </w:r>
      <w:r>
        <w:t>nderlying cause</w:t>
      </w:r>
      <w:r w:rsidRPr="002F2B38">
        <w:t xml:space="preserve"> of </w:t>
      </w:r>
      <w:r>
        <w:t>the accident (the obstruction at the junction).</w:t>
      </w:r>
      <w:r>
        <w:rPr>
          <w:rStyle w:val="FootnoteReference"/>
        </w:rPr>
        <w:footnoteReference w:id="714"/>
      </w:r>
      <w:r>
        <w:t xml:space="preserve"> </w:t>
      </w:r>
    </w:p>
    <w:p w14:paraId="7729C84A" w14:textId="77777777" w:rsidR="0019789C" w:rsidRDefault="0019789C" w:rsidP="0091399C">
      <w:pPr>
        <w:ind w:firstLine="0"/>
        <w:rPr>
          <w:lang w:bidi="en-US"/>
        </w:rPr>
      </w:pPr>
    </w:p>
    <w:p w14:paraId="18F5B0DA" w14:textId="126667F9" w:rsidR="0019789C" w:rsidRPr="0080041A" w:rsidRDefault="0019789C" w:rsidP="00683CF7">
      <w:pPr>
        <w:pStyle w:val="Heading4"/>
      </w:pPr>
      <w:r w:rsidRPr="0080041A">
        <w:t xml:space="preserve">(b) </w:t>
      </w:r>
      <w:r w:rsidRPr="002A65B0">
        <w:t>Remedies</w:t>
      </w:r>
      <w:r>
        <w:t>, Sanctions or Other Outcomes</w:t>
      </w:r>
    </w:p>
    <w:p w14:paraId="04051BCC" w14:textId="77777777" w:rsidR="0019789C" w:rsidRPr="0080041A" w:rsidRDefault="0019789C" w:rsidP="00683CF7">
      <w:pPr>
        <w:rPr>
          <w:lang w:bidi="en-US"/>
        </w:rPr>
      </w:pPr>
      <w:r w:rsidRPr="0080041A">
        <w:rPr>
          <w:lang w:bidi="en-US"/>
        </w:rPr>
        <w:t>See above, C1.1</w:t>
      </w:r>
      <w:r>
        <w:rPr>
          <w:lang w:bidi="en-US"/>
        </w:rPr>
        <w:t xml:space="preserve"> (b) and C1.2 (b).</w:t>
      </w:r>
    </w:p>
    <w:p w14:paraId="7683A1C0" w14:textId="77777777" w:rsidR="0019789C" w:rsidRPr="0080041A" w:rsidRDefault="0019789C" w:rsidP="0091399C">
      <w:pPr>
        <w:ind w:firstLine="0"/>
      </w:pPr>
    </w:p>
    <w:p w14:paraId="32E13385" w14:textId="77777777" w:rsidR="0019789C" w:rsidRPr="0080041A" w:rsidRDefault="0019789C" w:rsidP="00683CF7">
      <w:pPr>
        <w:pStyle w:val="Heading4"/>
      </w:pPr>
      <w:r w:rsidRPr="0080041A">
        <w:t>(c) Enforcement</w:t>
      </w:r>
    </w:p>
    <w:p w14:paraId="1285ECD9" w14:textId="77777777" w:rsidR="0019789C" w:rsidRDefault="0019789C" w:rsidP="00683CF7">
      <w:pPr>
        <w:rPr>
          <w:lang w:bidi="en-US"/>
        </w:rPr>
      </w:pPr>
      <w:r w:rsidRPr="0080041A">
        <w:rPr>
          <w:lang w:bidi="en-US"/>
        </w:rPr>
        <w:t xml:space="preserve">See above, </w:t>
      </w:r>
      <w:r>
        <w:rPr>
          <w:lang w:bidi="en-US"/>
        </w:rPr>
        <w:t xml:space="preserve">C1.1 (c) and C1.2 (c). </w:t>
      </w:r>
    </w:p>
    <w:p w14:paraId="36DC0A7D" w14:textId="77777777" w:rsidR="0019789C" w:rsidRDefault="0019789C" w:rsidP="00683CF7"/>
    <w:p w14:paraId="3062D1CE" w14:textId="77777777" w:rsidR="0019789C" w:rsidRPr="0080041A" w:rsidRDefault="0019789C" w:rsidP="0091399C">
      <w:pPr>
        <w:ind w:firstLine="0"/>
        <w:rPr>
          <w:lang w:bidi="en-US"/>
        </w:rPr>
      </w:pPr>
    </w:p>
    <w:p w14:paraId="5A17A00E" w14:textId="77777777" w:rsidR="0019789C" w:rsidRPr="0080041A" w:rsidRDefault="0019789C" w:rsidP="00683CF7">
      <w:pPr>
        <w:pStyle w:val="Heading3"/>
      </w:pPr>
      <w:r>
        <w:t>C2.2 Breach of Statutory Duty</w:t>
      </w:r>
    </w:p>
    <w:p w14:paraId="362854E8" w14:textId="77777777" w:rsidR="0019789C" w:rsidRPr="0080041A" w:rsidRDefault="0019789C" w:rsidP="00683CF7">
      <w:pPr>
        <w:pStyle w:val="Heading4"/>
      </w:pPr>
      <w:r w:rsidRPr="0080041A">
        <w:t>(a) Description and Examples</w:t>
      </w:r>
    </w:p>
    <w:p w14:paraId="044C1344" w14:textId="01F4E756" w:rsidR="0019789C" w:rsidRPr="0080041A" w:rsidRDefault="0019789C" w:rsidP="00683CF7">
      <w:r>
        <w:t xml:space="preserve">Section </w:t>
      </w:r>
      <w:r w:rsidRPr="0080041A">
        <w:t xml:space="preserve">130(a) </w:t>
      </w:r>
      <w:r>
        <w:t xml:space="preserve">of the </w:t>
      </w:r>
      <w:r w:rsidRPr="0080041A">
        <w:t>Highways Act 1980 is entitled 'Protection of public rights'</w:t>
      </w:r>
      <w:r>
        <w:t>. However,</w:t>
      </w:r>
      <w:r w:rsidRPr="0080041A">
        <w:t xml:space="preserve"> </w:t>
      </w:r>
      <w:r>
        <w:t>it</w:t>
      </w:r>
      <w:r w:rsidRPr="0080041A">
        <w:t xml:space="preserve"> is specifically concerned with protecting the rights of the public to use the public highway and with legal rights of access. </w:t>
      </w:r>
      <w:r>
        <w:t>It</w:t>
      </w:r>
      <w:r w:rsidRPr="0080041A">
        <w:t xml:space="preserve"> is not concerned with the condition of the highway and does not impose a duty to remove obstructions, such as mud and debris.</w:t>
      </w:r>
      <w:bookmarkStart w:id="76" w:name="_Ref94100281"/>
      <w:r w:rsidRPr="0080041A">
        <w:rPr>
          <w:rStyle w:val="FootnoteReference"/>
        </w:rPr>
        <w:footnoteReference w:id="715"/>
      </w:r>
      <w:bookmarkEnd w:id="76"/>
      <w:r w:rsidRPr="0080041A">
        <w:t xml:space="preserve"> </w:t>
      </w:r>
    </w:p>
    <w:p w14:paraId="758BC82E" w14:textId="77777777" w:rsidR="0019789C" w:rsidRPr="0080041A" w:rsidRDefault="0019789C" w:rsidP="00683CF7"/>
    <w:p w14:paraId="56DF02D0" w14:textId="7C087636" w:rsidR="0019789C" w:rsidRDefault="0019789C" w:rsidP="003A0555">
      <w:r>
        <w:t>In terms of sidewalks and pavements, u</w:t>
      </w:r>
      <w:r w:rsidRPr="0080041A">
        <w:t>nder s 130A</w:t>
      </w:r>
      <w:r>
        <w:t>(1)</w:t>
      </w:r>
      <w:r w:rsidRPr="0080041A">
        <w:t xml:space="preserve"> </w:t>
      </w:r>
      <w:r>
        <w:t xml:space="preserve">of the </w:t>
      </w:r>
      <w:r w:rsidRPr="0080041A">
        <w:t>Highways Act 1980, a person who alleges that a footpath, bridleway or restricted byway is obstructed may serve notice on the highway authority asking them to secure the removal of the obstruction</w:t>
      </w:r>
      <w:r>
        <w:t xml:space="preserve">. If a notice has been served under s </w:t>
      </w:r>
      <w:r w:rsidRPr="00C1696D">
        <w:t xml:space="preserve">130A(1) </w:t>
      </w:r>
      <w:r>
        <w:t>and the person who served it is</w:t>
      </w:r>
      <w:r w:rsidRPr="00C1696D">
        <w:t xml:space="preserve"> not satisfied that the obstruction has been removed, </w:t>
      </w:r>
      <w:r>
        <w:t xml:space="preserve">they </w:t>
      </w:r>
      <w:r w:rsidRPr="00C1696D">
        <w:t>may apply to a magistrates' court</w:t>
      </w:r>
      <w:r>
        <w:t xml:space="preserve"> to make an order. Such an order will be granted if obstruction of a highway to which </w:t>
      </w:r>
      <w:r>
        <w:rPr>
          <w:iCs/>
        </w:rPr>
        <w:t xml:space="preserve">s </w:t>
      </w:r>
      <w:r>
        <w:t>130A applies</w:t>
      </w:r>
      <w:r>
        <w:rPr>
          <w:iCs/>
        </w:rPr>
        <w:t xml:space="preserve"> and it ‘</w:t>
      </w:r>
      <w:r>
        <w:t>significantly interferes with the exercise of public rights of way over that way’.</w:t>
      </w:r>
      <w:r>
        <w:rPr>
          <w:rStyle w:val="FootnoteReference"/>
        </w:rPr>
        <w:footnoteReference w:id="716"/>
      </w:r>
      <w:r>
        <w:t xml:space="preserve"> According to </w:t>
      </w:r>
      <w:r w:rsidRPr="0091399C">
        <w:rPr>
          <w:rStyle w:val="case"/>
        </w:rPr>
        <w:t>Herrick and another v Kidner and another,</w:t>
      </w:r>
      <w:r w:rsidRPr="00C1696D">
        <w:rPr>
          <w:rStyle w:val="FootnoteReference"/>
          <w:rFonts w:cs="Times New Roman"/>
          <w:szCs w:val="24"/>
          <w:lang w:eastAsia="en-GB"/>
        </w:rPr>
        <w:footnoteReference w:id="717"/>
      </w:r>
      <w:r>
        <w:t xml:space="preserve"> the ‘significantly interferes’ requirement must be read in light of the legal principle that ‘</w:t>
      </w:r>
      <w:r w:rsidRPr="00004CBA">
        <w:t>a member of the public is in general entitled to unrestricted access to the whole and any part of the highway.</w:t>
      </w:r>
      <w:r>
        <w:t>’</w:t>
      </w:r>
      <w:r>
        <w:rPr>
          <w:rStyle w:val="FootnoteReference"/>
        </w:rPr>
        <w:footnoteReference w:id="718"/>
      </w:r>
    </w:p>
    <w:p w14:paraId="1C9AAED8" w14:textId="77777777" w:rsidR="0019789C" w:rsidRPr="0080041A" w:rsidRDefault="0019789C" w:rsidP="0091399C">
      <w:pPr>
        <w:ind w:firstLine="0"/>
      </w:pPr>
    </w:p>
    <w:p w14:paraId="75326889" w14:textId="4FB8278E" w:rsidR="0019789C" w:rsidRPr="0080041A" w:rsidRDefault="0019789C" w:rsidP="00683CF7">
      <w:pPr>
        <w:pStyle w:val="Heading4"/>
      </w:pPr>
      <w:r w:rsidRPr="0080041A">
        <w:lastRenderedPageBreak/>
        <w:t xml:space="preserve">(b) </w:t>
      </w:r>
      <w:r w:rsidRPr="002A65B0">
        <w:t>Remedies</w:t>
      </w:r>
      <w:r>
        <w:t>, Sanctions or Other Outcomes</w:t>
      </w:r>
    </w:p>
    <w:p w14:paraId="42A0A265" w14:textId="77777777" w:rsidR="0019789C" w:rsidRPr="0080041A" w:rsidRDefault="0019789C" w:rsidP="00683CF7">
      <w:pPr>
        <w:rPr>
          <w:lang w:bidi="en-US"/>
        </w:rPr>
      </w:pPr>
      <w:r w:rsidRPr="0080041A">
        <w:rPr>
          <w:lang w:bidi="en-US"/>
        </w:rPr>
        <w:t xml:space="preserve">See </w:t>
      </w:r>
      <w:r>
        <w:rPr>
          <w:lang w:bidi="en-US"/>
        </w:rPr>
        <w:t>also above</w:t>
      </w:r>
      <w:r w:rsidRPr="0080041A">
        <w:rPr>
          <w:lang w:bidi="en-US"/>
        </w:rPr>
        <w:t xml:space="preserve"> C1.1</w:t>
      </w:r>
      <w:r>
        <w:rPr>
          <w:lang w:bidi="en-US"/>
        </w:rPr>
        <w:t xml:space="preserve"> (b) and C1.2 (b).</w:t>
      </w:r>
    </w:p>
    <w:p w14:paraId="2782DB67" w14:textId="77777777" w:rsidR="0019789C" w:rsidRDefault="0019789C" w:rsidP="00683CF7"/>
    <w:p w14:paraId="6227C8AC" w14:textId="3BCF0A14" w:rsidR="0019789C" w:rsidRDefault="0019789C" w:rsidP="00683CF7">
      <w:r>
        <w:t xml:space="preserve">The s </w:t>
      </w:r>
      <w:r w:rsidRPr="0080041A">
        <w:t>130A</w:t>
      </w:r>
      <w:r>
        <w:t>(1) Highways Act 1980 provision on pavement obstructions does not allow for the recovery of damages, but the recovery of costs is permitted.</w:t>
      </w:r>
      <w:r w:rsidRPr="0034422D">
        <w:rPr>
          <w:rStyle w:val="FootnoteReference"/>
          <w:rFonts w:cs="Times New Roman"/>
          <w:szCs w:val="24"/>
          <w:lang w:eastAsia="en-GB"/>
        </w:rPr>
        <w:footnoteReference w:id="719"/>
      </w:r>
      <w:r w:rsidRPr="0034422D">
        <w:t xml:space="preserve"> </w:t>
      </w:r>
    </w:p>
    <w:p w14:paraId="0A4CDAB8" w14:textId="77777777" w:rsidR="0019789C" w:rsidRPr="0080041A" w:rsidRDefault="0019789C" w:rsidP="0091399C">
      <w:pPr>
        <w:ind w:firstLine="0"/>
      </w:pPr>
    </w:p>
    <w:p w14:paraId="416F6DD4" w14:textId="77777777" w:rsidR="0019789C" w:rsidRPr="0080041A" w:rsidRDefault="0019789C" w:rsidP="00683CF7">
      <w:pPr>
        <w:pStyle w:val="Heading4"/>
      </w:pPr>
      <w:r w:rsidRPr="0080041A">
        <w:t>(c) Enforcement</w:t>
      </w:r>
    </w:p>
    <w:p w14:paraId="12DAA691" w14:textId="77777777" w:rsidR="0019789C" w:rsidRPr="0080041A" w:rsidRDefault="0019789C" w:rsidP="00683CF7">
      <w:pPr>
        <w:rPr>
          <w:lang w:bidi="en-US"/>
        </w:rPr>
      </w:pPr>
      <w:r w:rsidRPr="0080041A">
        <w:rPr>
          <w:lang w:bidi="en-US"/>
        </w:rPr>
        <w:t xml:space="preserve">See above, </w:t>
      </w:r>
      <w:r>
        <w:rPr>
          <w:lang w:bidi="en-US"/>
        </w:rPr>
        <w:t xml:space="preserve">C1.1 (c) and C1.2 (c). </w:t>
      </w:r>
    </w:p>
    <w:p w14:paraId="6934C8E3" w14:textId="77777777" w:rsidR="0019789C" w:rsidRDefault="0019789C" w:rsidP="00683CF7"/>
    <w:p w14:paraId="290B9FDB" w14:textId="77777777" w:rsidR="0019789C" w:rsidRDefault="0019789C" w:rsidP="00683CF7"/>
    <w:p w14:paraId="3E0063E8" w14:textId="77777777" w:rsidR="0019789C" w:rsidRPr="0080041A" w:rsidRDefault="0019789C" w:rsidP="00683CF7">
      <w:pPr>
        <w:pStyle w:val="Heading3"/>
      </w:pPr>
      <w:r>
        <w:t>C2.3 Public nuisance</w:t>
      </w:r>
    </w:p>
    <w:p w14:paraId="6344A044" w14:textId="77777777" w:rsidR="0019789C" w:rsidRPr="0080041A" w:rsidRDefault="0019789C" w:rsidP="00683CF7">
      <w:pPr>
        <w:pStyle w:val="Heading4"/>
      </w:pPr>
      <w:r w:rsidRPr="0080041A">
        <w:t>(a) Description and Examples</w:t>
      </w:r>
    </w:p>
    <w:p w14:paraId="5AE3B24F" w14:textId="05F2A2DB" w:rsidR="0019789C" w:rsidRPr="0080041A" w:rsidRDefault="0019789C" w:rsidP="00683CF7">
      <w:r>
        <w:t>The</w:t>
      </w:r>
      <w:r w:rsidRPr="0080041A">
        <w:t xml:space="preserve"> focus </w:t>
      </w:r>
      <w:r>
        <w:t xml:space="preserve">of this section is </w:t>
      </w:r>
      <w:r w:rsidRPr="0080041A">
        <w:t xml:space="preserve">on </w:t>
      </w:r>
      <w:r>
        <w:t>civil public nuisance claims brought by individual claimants</w:t>
      </w:r>
      <w:r w:rsidRPr="0080041A">
        <w:t xml:space="preserve"> </w:t>
      </w:r>
      <w:r>
        <w:t>–</w:t>
      </w:r>
      <w:r w:rsidRPr="0080041A">
        <w:t xml:space="preserve"> criminal and tort proceedings brought by </w:t>
      </w:r>
      <w:r>
        <w:t>prosecutors and local</w:t>
      </w:r>
      <w:r w:rsidRPr="0080041A">
        <w:t xml:space="preserve"> authorities for public nuisance </w:t>
      </w:r>
      <w:r>
        <w:t>are</w:t>
      </w:r>
      <w:r w:rsidRPr="0080041A">
        <w:t xml:space="preserve"> discussed </w:t>
      </w:r>
      <w:r>
        <w:t>in Part D below</w:t>
      </w:r>
      <w:r w:rsidRPr="0080041A">
        <w:t>.</w:t>
      </w:r>
      <w:r>
        <w:rPr>
          <w:rStyle w:val="FootnoteReference"/>
        </w:rPr>
        <w:footnoteReference w:id="720"/>
      </w:r>
      <w:r w:rsidRPr="0080041A">
        <w:t xml:space="preserve"> </w:t>
      </w:r>
    </w:p>
    <w:p w14:paraId="6C3C7A88" w14:textId="69F29D96" w:rsidR="0019789C" w:rsidRDefault="0019789C" w:rsidP="00683CF7"/>
    <w:p w14:paraId="1B947131" w14:textId="55A89604" w:rsidR="0019789C" w:rsidRDefault="0019789C" w:rsidP="00683CF7">
      <w:r w:rsidRPr="0080041A">
        <w:t xml:space="preserve">The torts of private and public nuisance arise from unreasonable behaviour or interference with the enjoyment of private property rights or public spaces. The tort of private nuisance </w:t>
      </w:r>
      <w:r>
        <w:t xml:space="preserve">is more commonplace but </w:t>
      </w:r>
      <w:r w:rsidRPr="0080041A">
        <w:t xml:space="preserve">is not relevant to the topic at hand </w:t>
      </w:r>
      <w:r>
        <w:t>because</w:t>
      </w:r>
      <w:r w:rsidRPr="0080041A">
        <w:t xml:space="preserve"> it is concerned with property rights – ie protecting the rights of a property owner/occupier from unlawful interference with the use or enjoyment of their land.</w:t>
      </w:r>
      <w:r w:rsidRPr="0080041A">
        <w:rPr>
          <w:rStyle w:val="FootnoteReference"/>
        </w:rPr>
        <w:footnoteReference w:id="721"/>
      </w:r>
      <w:r w:rsidRPr="005A6D4B">
        <w:t xml:space="preserve"> </w:t>
      </w:r>
      <w:r w:rsidRPr="0080041A">
        <w:t>By contrast, public nuisance is any nuisance that ‘materially affects the reasonable comfort and convenience of life of a class of her Majesty’s subjects.’</w:t>
      </w:r>
      <w:bookmarkStart w:id="77" w:name="_Ref94101263"/>
      <w:r w:rsidRPr="0080041A">
        <w:rPr>
          <w:rStyle w:val="FootnoteReference"/>
        </w:rPr>
        <w:footnoteReference w:id="722"/>
      </w:r>
      <w:bookmarkEnd w:id="77"/>
    </w:p>
    <w:p w14:paraId="63EF6134" w14:textId="77777777" w:rsidR="0019789C" w:rsidRPr="0080041A" w:rsidRDefault="0019789C" w:rsidP="00683CF7"/>
    <w:p w14:paraId="556858CC" w14:textId="69557DE9" w:rsidR="0019789C" w:rsidRDefault="0019789C" w:rsidP="00685509">
      <w:r w:rsidRPr="0080041A">
        <w:t>A</w:t>
      </w:r>
      <w:r>
        <w:t>n individual claimant</w:t>
      </w:r>
      <w:r w:rsidRPr="0080041A">
        <w:t xml:space="preserve"> may bring an action for public nuisance when they have suffered damage over and above that sustained by the public at large</w:t>
      </w:r>
      <w:r>
        <w:t xml:space="preserve"> (ie ‘particular’ or </w:t>
      </w:r>
      <w:r w:rsidRPr="0080041A">
        <w:lastRenderedPageBreak/>
        <w:t>‘special’ damage</w:t>
      </w:r>
      <w:r>
        <w:t>)</w:t>
      </w:r>
      <w:r w:rsidRPr="0080041A">
        <w:t>,</w:t>
      </w:r>
      <w:r w:rsidRPr="0080041A">
        <w:rPr>
          <w:rStyle w:val="FootnoteReference"/>
        </w:rPr>
        <w:footnoteReference w:id="723"/>
      </w:r>
      <w:r w:rsidRPr="0080041A">
        <w:t xml:space="preserve"> or when the interference with the public right involves a violation of a private right.</w:t>
      </w:r>
      <w:r w:rsidRPr="0080041A">
        <w:rPr>
          <w:rStyle w:val="FootnoteReference"/>
        </w:rPr>
        <w:footnoteReference w:id="724"/>
      </w:r>
      <w:r w:rsidRPr="0080041A">
        <w:t xml:space="preserve"> As set out in the case of </w:t>
      </w:r>
      <w:r w:rsidRPr="002B19CC">
        <w:rPr>
          <w:rStyle w:val="case"/>
        </w:rPr>
        <w:t>Harper v GN Haden &amp; Sons Ltd</w:t>
      </w:r>
      <w:r w:rsidRPr="0080041A">
        <w:t>,</w:t>
      </w:r>
      <w:r w:rsidRPr="0080041A">
        <w:rPr>
          <w:rStyle w:val="FootnoteReference"/>
        </w:rPr>
        <w:footnoteReference w:id="725"/>
      </w:r>
      <w:r w:rsidRPr="0080041A">
        <w:t xml:space="preserve"> obstructions to the public highway (a legal term that includes footpaths and footways), may rise to the level of public nuisance where the claimant can prove that:</w:t>
      </w:r>
    </w:p>
    <w:p w14:paraId="0FCC4FE1" w14:textId="77777777" w:rsidR="0019789C" w:rsidRPr="0080041A" w:rsidRDefault="0019789C" w:rsidP="00685509"/>
    <w:p w14:paraId="2E7B9365" w14:textId="2C21245C" w:rsidR="0019789C" w:rsidRDefault="0019789C" w:rsidP="00427643">
      <w:pPr>
        <w:pStyle w:val="ListParagraph"/>
        <w:numPr>
          <w:ilvl w:val="0"/>
          <w:numId w:val="21"/>
        </w:numPr>
      </w:pPr>
      <w:r w:rsidRPr="0080041A">
        <w:t>there has been an unreasonable obstruction of the highway by the defendant that does not give rise to a legal remedy (which would arise if such obstruction were reasonable in quantum and in duration; exceeding either limitation will create a public nuisance)</w:t>
      </w:r>
      <w:r>
        <w:t>;</w:t>
      </w:r>
    </w:p>
    <w:p w14:paraId="0E7CAB0D" w14:textId="77777777" w:rsidR="0019789C" w:rsidRPr="0080041A" w:rsidRDefault="0019789C" w:rsidP="00685509">
      <w:pPr>
        <w:pStyle w:val="ListParagraph"/>
        <w:ind w:left="1008" w:firstLine="0"/>
      </w:pPr>
    </w:p>
    <w:p w14:paraId="3D630804" w14:textId="77777777" w:rsidR="0019789C" w:rsidRPr="0080041A" w:rsidRDefault="0019789C" w:rsidP="00427643">
      <w:pPr>
        <w:pStyle w:val="ListParagraph"/>
        <w:numPr>
          <w:ilvl w:val="0"/>
          <w:numId w:val="21"/>
        </w:numPr>
      </w:pPr>
      <w:r w:rsidRPr="0080041A">
        <w:t xml:space="preserve">the claimant has </w:t>
      </w:r>
      <w:r w:rsidRPr="0080041A">
        <w:rPr>
          <w:lang w:eastAsia="zh-CN"/>
        </w:rPr>
        <w:t xml:space="preserve">suffered a </w:t>
      </w:r>
      <w:r w:rsidRPr="0080041A">
        <w:t>particular injury beyond that suffered by the rest of the public affected by the nuisance; the injury is a direct and immediate consequence of the nuisance; and the injury is of a substantial character, not fleeting or evanescent.</w:t>
      </w:r>
      <w:r w:rsidRPr="0080041A">
        <w:rPr>
          <w:rStyle w:val="FootnoteReference"/>
        </w:rPr>
        <w:footnoteReference w:id="726"/>
      </w:r>
    </w:p>
    <w:p w14:paraId="1B37590C" w14:textId="77777777" w:rsidR="0019789C" w:rsidRPr="0080041A" w:rsidRDefault="0019789C" w:rsidP="00683CF7"/>
    <w:p w14:paraId="355FE1CC" w14:textId="77777777" w:rsidR="0019789C" w:rsidRDefault="0019789C" w:rsidP="00683CF7">
      <w:r w:rsidRPr="0080041A">
        <w:t>However, as noted in</w:t>
      </w:r>
      <w:r w:rsidRPr="0080041A">
        <w:rPr>
          <w:i/>
        </w:rPr>
        <w:t xml:space="preserve"> </w:t>
      </w:r>
      <w:r w:rsidRPr="002B19CC">
        <w:rPr>
          <w:rStyle w:val="case"/>
        </w:rPr>
        <w:t>Harper</w:t>
      </w:r>
      <w:r w:rsidRPr="0080041A">
        <w:t>, pedestrians do not have an absolute or exclusive right to use the highways in an unobstructed manner, rather ‘a right to use it subject to the reasonable user of others, and if that reasonable user causes him to be obstructed he has no legal cause of complaint.’</w:t>
      </w:r>
      <w:r w:rsidRPr="0080041A">
        <w:rPr>
          <w:rStyle w:val="FootnoteReference"/>
        </w:rPr>
        <w:footnoteReference w:id="727"/>
      </w:r>
      <w:r w:rsidRPr="0080041A">
        <w:t xml:space="preserve"> A</w:t>
      </w:r>
      <w:r>
        <w:t xml:space="preserve">nd later in the same judgment: </w:t>
      </w:r>
    </w:p>
    <w:p w14:paraId="3A66310B" w14:textId="77777777" w:rsidR="0019789C" w:rsidRPr="0080041A" w:rsidRDefault="0019789C" w:rsidP="00683CF7">
      <w:pPr>
        <w:pStyle w:val="Quote"/>
      </w:pPr>
      <w:r w:rsidRPr="0080041A">
        <w:t>The law relating to the user of highways is in truth the law of give and take. Those who use them must in doing so have reasonable regard to the convenience and comfort of others, and must not themselves expect a degree of convenience and comfort only obtainable by disregarding that of other people. They must expect to be obstructed occasionally. It is the price they pay for the p</w:t>
      </w:r>
      <w:r>
        <w:t>rivilege of obstructing others.</w:t>
      </w:r>
      <w:r w:rsidRPr="0080041A">
        <w:rPr>
          <w:rStyle w:val="FootnoteReference"/>
        </w:rPr>
        <w:footnoteReference w:id="728"/>
      </w:r>
    </w:p>
    <w:p w14:paraId="7D7435FB" w14:textId="6C3C3B52" w:rsidR="0019789C" w:rsidRDefault="0019789C" w:rsidP="00683CF7"/>
    <w:p w14:paraId="1C347B4E" w14:textId="6010B833" w:rsidR="0019789C" w:rsidRPr="006164B4" w:rsidRDefault="0019789C" w:rsidP="006164B4">
      <w:pPr>
        <w:rPr>
          <w:rFonts w:ascii="Times New Roman" w:eastAsia="Times New Roman" w:hAnsi="Times New Roman"/>
          <w:color w:val="auto"/>
          <w:lang w:val="en-US" w:eastAsia="en-US"/>
        </w:rPr>
      </w:pPr>
      <w:r w:rsidRPr="00685509">
        <w:t xml:space="preserve">In </w:t>
      </w:r>
      <w:r w:rsidRPr="00685509">
        <w:rPr>
          <w:rStyle w:val="case"/>
        </w:rPr>
        <w:t>Hubbard and Others v Pitt and Others</w:t>
      </w:r>
      <w:r>
        <w:rPr>
          <w:rStyle w:val="case"/>
          <w:i w:val="0"/>
          <w:iCs/>
        </w:rPr>
        <w:t>,</w:t>
      </w:r>
      <w:r w:rsidRPr="00685509">
        <w:rPr>
          <w:rStyle w:val="FootnoteReference"/>
          <w:iCs/>
        </w:rPr>
        <w:footnoteReference w:id="729"/>
      </w:r>
      <w:r>
        <w:rPr>
          <w:rStyle w:val="case"/>
          <w:i w:val="0"/>
          <w:iCs/>
        </w:rPr>
        <w:t xml:space="preserve"> the </w:t>
      </w:r>
      <w:r w:rsidRPr="00685509">
        <w:rPr>
          <w:rFonts w:eastAsia="Times New Roman"/>
          <w:lang w:val="en-US" w:eastAsia="en-US"/>
        </w:rPr>
        <w:t xml:space="preserve">defendants were </w:t>
      </w:r>
      <w:r>
        <w:rPr>
          <w:rFonts w:eastAsia="Times New Roman"/>
          <w:lang w:val="en-US" w:eastAsia="en-US"/>
        </w:rPr>
        <w:t xml:space="preserve">picketing in protest of </w:t>
      </w:r>
      <w:r w:rsidRPr="00685509">
        <w:rPr>
          <w:rFonts w:eastAsia="Times New Roman"/>
          <w:lang w:val="en-US" w:eastAsia="en-US"/>
        </w:rPr>
        <w:t xml:space="preserve">property </w:t>
      </w:r>
      <w:r>
        <w:rPr>
          <w:rFonts w:eastAsia="Times New Roman"/>
          <w:lang w:val="en-US" w:eastAsia="en-US"/>
        </w:rPr>
        <w:t>development in the Islington area of London</w:t>
      </w:r>
      <w:r w:rsidRPr="00685509">
        <w:rPr>
          <w:rFonts w:eastAsia="Times New Roman"/>
          <w:lang w:val="en-US" w:eastAsia="en-US"/>
        </w:rPr>
        <w:t xml:space="preserve">. On three consecutive days and </w:t>
      </w:r>
      <w:r>
        <w:rPr>
          <w:rFonts w:eastAsia="Times New Roman"/>
          <w:lang w:val="en-US" w:eastAsia="en-US"/>
        </w:rPr>
        <w:lastRenderedPageBreak/>
        <w:t xml:space="preserve">every </w:t>
      </w:r>
      <w:r w:rsidRPr="00685509">
        <w:rPr>
          <w:rFonts w:eastAsia="Times New Roman"/>
          <w:lang w:val="en-US" w:eastAsia="en-US"/>
        </w:rPr>
        <w:t xml:space="preserve">Saturday, the defendants picketed </w:t>
      </w:r>
      <w:r>
        <w:rPr>
          <w:rFonts w:eastAsia="Times New Roman"/>
          <w:lang w:val="en-US" w:eastAsia="en-US"/>
        </w:rPr>
        <w:t xml:space="preserve">on the footway outside </w:t>
      </w:r>
      <w:r w:rsidRPr="00685509">
        <w:rPr>
          <w:rFonts w:eastAsia="Times New Roman"/>
          <w:lang w:val="en-US" w:eastAsia="en-US"/>
        </w:rPr>
        <w:t>the plaintiff</w:t>
      </w:r>
      <w:r>
        <w:rPr>
          <w:rFonts w:eastAsia="Times New Roman"/>
          <w:lang w:val="en-US" w:eastAsia="en-US"/>
        </w:rPr>
        <w:t>’s</w:t>
      </w:r>
      <w:r w:rsidRPr="00685509">
        <w:rPr>
          <w:rFonts w:eastAsia="Times New Roman"/>
          <w:lang w:val="en-US" w:eastAsia="en-US"/>
        </w:rPr>
        <w:t xml:space="preserve"> offices, holding placards and</w:t>
      </w:r>
      <w:r>
        <w:rPr>
          <w:rFonts w:eastAsia="Times New Roman"/>
          <w:lang w:val="en-US" w:eastAsia="en-US"/>
        </w:rPr>
        <w:t xml:space="preserve"> </w:t>
      </w:r>
      <w:r w:rsidRPr="00685509">
        <w:rPr>
          <w:rFonts w:eastAsia="Times New Roman"/>
          <w:lang w:val="en-US" w:eastAsia="en-US"/>
        </w:rPr>
        <w:t>distributing leaflets</w:t>
      </w:r>
      <w:r>
        <w:rPr>
          <w:rFonts w:eastAsia="Times New Roman"/>
          <w:lang w:val="en-US" w:eastAsia="en-US"/>
        </w:rPr>
        <w:t>.</w:t>
      </w:r>
      <w:r>
        <w:rPr>
          <w:rStyle w:val="FootnoteReference"/>
          <w:rFonts w:eastAsia="Times New Roman"/>
          <w:lang w:val="en-US" w:eastAsia="en-US"/>
        </w:rPr>
        <w:footnoteReference w:id="730"/>
      </w:r>
      <w:r w:rsidRPr="00685509">
        <w:rPr>
          <w:rFonts w:eastAsia="Times New Roman"/>
          <w:lang w:val="en-US" w:eastAsia="en-US"/>
        </w:rPr>
        <w:t xml:space="preserve"> The plaintiffs brought </w:t>
      </w:r>
      <w:r>
        <w:rPr>
          <w:rFonts w:eastAsia="Times New Roman"/>
          <w:lang w:val="en-US" w:eastAsia="en-US"/>
        </w:rPr>
        <w:t>legal</w:t>
      </w:r>
      <w:r w:rsidRPr="00685509">
        <w:rPr>
          <w:rFonts w:eastAsia="Times New Roman"/>
          <w:lang w:val="en-US" w:eastAsia="en-US"/>
        </w:rPr>
        <w:t xml:space="preserve"> action </w:t>
      </w:r>
      <w:r>
        <w:rPr>
          <w:rFonts w:eastAsia="Times New Roman"/>
          <w:lang w:val="en-US" w:eastAsia="en-US"/>
        </w:rPr>
        <w:t xml:space="preserve">for conspiracy and public nuisance, alleging </w:t>
      </w:r>
      <w:r>
        <w:rPr>
          <w:rFonts w:eastAsia="Times New Roman"/>
          <w:shd w:val="clear" w:color="auto" w:fill="FFFFFF"/>
          <w:lang w:val="en-US" w:eastAsia="en-US"/>
        </w:rPr>
        <w:t xml:space="preserve">unlawful use of the </w:t>
      </w:r>
      <w:r w:rsidRPr="00685509">
        <w:rPr>
          <w:rFonts w:eastAsia="Times New Roman"/>
          <w:shd w:val="clear" w:color="auto" w:fill="FFFFFF"/>
          <w:lang w:val="en-US" w:eastAsia="en-US"/>
        </w:rPr>
        <w:t>highway</w:t>
      </w:r>
      <w:r w:rsidRPr="00685509">
        <w:rPr>
          <w:rFonts w:eastAsia="Times New Roman"/>
          <w:lang w:val="en-US" w:eastAsia="en-US"/>
        </w:rPr>
        <w:t>.</w:t>
      </w:r>
      <w:r>
        <w:rPr>
          <w:rStyle w:val="FootnoteReference"/>
          <w:rFonts w:eastAsia="Times New Roman"/>
          <w:lang w:val="en-US" w:eastAsia="en-US"/>
        </w:rPr>
        <w:footnoteReference w:id="731"/>
      </w:r>
      <w:r w:rsidRPr="00685509">
        <w:rPr>
          <w:rFonts w:eastAsia="Times New Roman"/>
          <w:lang w:val="en-US" w:eastAsia="en-US"/>
        </w:rPr>
        <w:t xml:space="preserve"> </w:t>
      </w:r>
      <w:r>
        <w:rPr>
          <w:rFonts w:eastAsia="Times New Roman"/>
          <w:lang w:val="en-US" w:eastAsia="en-US"/>
        </w:rPr>
        <w:t xml:space="preserve">The picket </w:t>
      </w:r>
      <w:r>
        <w:rPr>
          <w:rFonts w:eastAsia="Times New Roman"/>
          <w:shd w:val="clear" w:color="auto" w:fill="FFFFFF"/>
          <w:lang w:val="en-US" w:eastAsia="en-US"/>
        </w:rPr>
        <w:t xml:space="preserve">spanned the length </w:t>
      </w:r>
      <w:r w:rsidRPr="000558A5">
        <w:rPr>
          <w:rFonts w:eastAsia="Times New Roman"/>
          <w:shd w:val="clear" w:color="auto" w:fill="FFFFFF"/>
          <w:lang w:val="en-US" w:eastAsia="en-US"/>
        </w:rPr>
        <w:t xml:space="preserve">of the footway </w:t>
      </w:r>
      <w:r>
        <w:rPr>
          <w:rFonts w:eastAsia="Times New Roman"/>
          <w:shd w:val="clear" w:color="auto" w:fill="FFFFFF"/>
          <w:lang w:val="en-US" w:eastAsia="en-US"/>
        </w:rPr>
        <w:t>but</w:t>
      </w:r>
      <w:r w:rsidRPr="000558A5">
        <w:rPr>
          <w:rFonts w:eastAsia="Times New Roman"/>
          <w:shd w:val="clear" w:color="auto" w:fill="FFFFFF"/>
          <w:lang w:val="en-US" w:eastAsia="en-US"/>
        </w:rPr>
        <w:t xml:space="preserve"> not across it. </w:t>
      </w:r>
      <w:r>
        <w:rPr>
          <w:rFonts w:eastAsia="Times New Roman"/>
          <w:shd w:val="clear" w:color="auto" w:fill="FFFFFF"/>
          <w:lang w:val="en-US" w:eastAsia="en-US"/>
        </w:rPr>
        <w:t>Thus, t</w:t>
      </w:r>
      <w:r w:rsidRPr="000558A5">
        <w:rPr>
          <w:rFonts w:eastAsia="Times New Roman"/>
          <w:shd w:val="clear" w:color="auto" w:fill="FFFFFF"/>
          <w:lang w:val="en-US" w:eastAsia="en-US"/>
        </w:rPr>
        <w:t xml:space="preserve">here was room either side of the picket, and between the </w:t>
      </w:r>
      <w:r>
        <w:rPr>
          <w:rFonts w:eastAsia="Times New Roman"/>
          <w:shd w:val="clear" w:color="auto" w:fill="FFFFFF"/>
          <w:lang w:val="en-US" w:eastAsia="en-US"/>
        </w:rPr>
        <w:t>picketers</w:t>
      </w:r>
      <w:r w:rsidRPr="000558A5">
        <w:rPr>
          <w:rFonts w:eastAsia="Times New Roman"/>
          <w:shd w:val="clear" w:color="auto" w:fill="FFFFFF"/>
          <w:lang w:val="en-US" w:eastAsia="en-US"/>
        </w:rPr>
        <w:t>, for members of the public to pass along or across the footpath.</w:t>
      </w:r>
      <w:r>
        <w:rPr>
          <w:rStyle w:val="FootnoteReference"/>
          <w:rFonts w:eastAsia="Times New Roman"/>
          <w:shd w:val="clear" w:color="auto" w:fill="FFFFFF"/>
          <w:lang w:val="en-US" w:eastAsia="en-US"/>
        </w:rPr>
        <w:footnoteReference w:id="732"/>
      </w:r>
      <w:r w:rsidRPr="000558A5">
        <w:rPr>
          <w:rFonts w:eastAsia="Times New Roman"/>
          <w:shd w:val="clear" w:color="auto" w:fill="FFFFFF"/>
          <w:lang w:val="en-US" w:eastAsia="en-US"/>
        </w:rPr>
        <w:t xml:space="preserve"> </w:t>
      </w:r>
      <w:r>
        <w:rPr>
          <w:rFonts w:eastAsia="Times New Roman"/>
          <w:shd w:val="clear" w:color="auto" w:fill="FFFFFF"/>
          <w:lang w:val="en-US" w:eastAsia="en-US"/>
        </w:rPr>
        <w:t>Nonetheless, according to court, ‘</w:t>
      </w:r>
      <w:r w:rsidRPr="000558A5">
        <w:rPr>
          <w:rFonts w:eastAsia="Times New Roman"/>
          <w:shd w:val="clear" w:color="auto" w:fill="FFFFFF"/>
          <w:lang w:val="en-US" w:eastAsia="en-US"/>
        </w:rPr>
        <w:t>the public has a right to go on every part of the highway, and any act which makes it less commodious is a public nuisance unless it can be said to be so fleeting and so inappreciable as to fall within the de minimis rule.</w:t>
      </w:r>
      <w:r>
        <w:rPr>
          <w:rFonts w:eastAsia="Times New Roman"/>
          <w:shd w:val="clear" w:color="auto" w:fill="FFFFFF"/>
          <w:lang w:val="en-US" w:eastAsia="en-US"/>
        </w:rPr>
        <w:t>’</w:t>
      </w:r>
      <w:r>
        <w:rPr>
          <w:rStyle w:val="FootnoteReference"/>
          <w:rFonts w:eastAsia="Times New Roman"/>
          <w:shd w:val="clear" w:color="auto" w:fill="FFFFFF"/>
          <w:lang w:val="en-US" w:eastAsia="en-US"/>
        </w:rPr>
        <w:footnoteReference w:id="733"/>
      </w:r>
      <w:r>
        <w:rPr>
          <w:rFonts w:eastAsia="Times New Roman"/>
          <w:shd w:val="clear" w:color="auto" w:fill="FFFFFF"/>
          <w:lang w:val="en-US" w:eastAsia="en-US"/>
        </w:rPr>
        <w:t xml:space="preserve"> Here, the picketing was designed to have considerable impact and interfere with the</w:t>
      </w:r>
      <w:r w:rsidRPr="00D0426B">
        <w:rPr>
          <w:rFonts w:eastAsia="Times New Roman"/>
          <w:shd w:val="clear" w:color="auto" w:fill="FFFFFF"/>
          <w:lang w:val="en-US" w:eastAsia="en-US"/>
        </w:rPr>
        <w:t xml:space="preserve"> unimpeded access</w:t>
      </w:r>
      <w:r>
        <w:rPr>
          <w:rFonts w:eastAsia="Times New Roman"/>
          <w:shd w:val="clear" w:color="auto" w:fill="FFFFFF"/>
          <w:lang w:val="en-US" w:eastAsia="en-US"/>
        </w:rPr>
        <w:t xml:space="preserve"> rights of adjoining owners to, and was deemed to be an unlawful as an unreasonable use of the highway.</w:t>
      </w:r>
      <w:r>
        <w:rPr>
          <w:rStyle w:val="FootnoteReference"/>
          <w:rFonts w:eastAsia="Times New Roman"/>
          <w:shd w:val="clear" w:color="auto" w:fill="FFFFFF"/>
          <w:lang w:val="en-US" w:eastAsia="en-US"/>
        </w:rPr>
        <w:footnoteReference w:id="734"/>
      </w:r>
      <w:r>
        <w:rPr>
          <w:rFonts w:eastAsia="Times New Roman"/>
          <w:shd w:val="clear" w:color="auto" w:fill="FFFFFF"/>
          <w:lang w:val="en-US" w:eastAsia="en-US"/>
        </w:rPr>
        <w:t xml:space="preserve"> The plaintiffs </w:t>
      </w:r>
      <w:r w:rsidRPr="00D0426B">
        <w:rPr>
          <w:rFonts w:eastAsia="Times New Roman"/>
          <w:shd w:val="clear" w:color="auto" w:fill="FFFFFF"/>
          <w:lang w:val="en-US" w:eastAsia="en-US"/>
        </w:rPr>
        <w:t xml:space="preserve">were </w:t>
      </w:r>
      <w:r>
        <w:rPr>
          <w:rFonts w:eastAsia="Times New Roman"/>
          <w:shd w:val="clear" w:color="auto" w:fill="FFFFFF"/>
          <w:lang w:val="en-US" w:eastAsia="en-US"/>
        </w:rPr>
        <w:t xml:space="preserve">thus </w:t>
      </w:r>
      <w:r w:rsidRPr="00D0426B">
        <w:rPr>
          <w:rFonts w:eastAsia="Times New Roman"/>
          <w:shd w:val="clear" w:color="auto" w:fill="FFFFFF"/>
          <w:lang w:val="en-US" w:eastAsia="en-US"/>
        </w:rPr>
        <w:t>entitled to an interlocutory injunction restraining the defendants from picketing.</w:t>
      </w:r>
      <w:r>
        <w:rPr>
          <w:rStyle w:val="FootnoteReference"/>
          <w:rFonts w:eastAsia="Times New Roman"/>
          <w:shd w:val="clear" w:color="auto" w:fill="FFFFFF"/>
          <w:lang w:val="en-US" w:eastAsia="en-US"/>
        </w:rPr>
        <w:footnoteReference w:id="735"/>
      </w:r>
    </w:p>
    <w:p w14:paraId="3B58C040" w14:textId="77777777" w:rsidR="0019789C" w:rsidRPr="0080041A" w:rsidRDefault="0019789C" w:rsidP="00683CF7"/>
    <w:p w14:paraId="6E47C6DB" w14:textId="4E70199E" w:rsidR="0019789C" w:rsidRPr="0080041A" w:rsidRDefault="0019789C" w:rsidP="0091399C">
      <w:pPr>
        <w:pStyle w:val="Heading4"/>
        <w:ind w:left="851" w:firstLine="0"/>
      </w:pPr>
      <w:r>
        <w:t xml:space="preserve">(b) </w:t>
      </w:r>
      <w:r w:rsidRPr="002A65B0">
        <w:t>Remedies</w:t>
      </w:r>
      <w:r>
        <w:t>, Sanctions or Other Outcomes</w:t>
      </w:r>
    </w:p>
    <w:p w14:paraId="13F33DE2" w14:textId="0BF96624" w:rsidR="0019789C" w:rsidRDefault="0019789C" w:rsidP="00685509">
      <w:r>
        <w:t>The most common remedy is an injunction restraining the behaviour in question. Prior to 2008,</w:t>
      </w:r>
      <w:r w:rsidRPr="0080041A">
        <w:t xml:space="preserve"> individuals could not recover for personal injuries under public nuisanc</w:t>
      </w:r>
      <w:r>
        <w:t xml:space="preserve">e, </w:t>
      </w:r>
      <w:r w:rsidRPr="0080041A">
        <w:t xml:space="preserve">needing </w:t>
      </w:r>
      <w:r>
        <w:t xml:space="preserve">instead </w:t>
      </w:r>
      <w:r w:rsidRPr="0080041A">
        <w:t>to bring a claim in negligen</w:t>
      </w:r>
      <w:r>
        <w:t>ce.</w:t>
      </w:r>
      <w:r w:rsidRPr="0080041A">
        <w:t xml:space="preserve"> </w:t>
      </w:r>
      <w:r>
        <w:t>However,</w:t>
      </w:r>
      <w:r w:rsidRPr="0080041A">
        <w:t xml:space="preserve"> the case of </w:t>
      </w:r>
      <w:r w:rsidRPr="0080041A">
        <w:rPr>
          <w:i/>
        </w:rPr>
        <w:t>Corby Group v Corby Borough Council</w:t>
      </w:r>
      <w:r w:rsidRPr="00685509">
        <w:rPr>
          <w:rStyle w:val="FootnoteReference"/>
        </w:rPr>
        <w:footnoteReference w:id="736"/>
      </w:r>
      <w:r w:rsidRPr="0080041A">
        <w:t xml:space="preserve"> </w:t>
      </w:r>
      <w:r>
        <w:t xml:space="preserve">created the </w:t>
      </w:r>
      <w:r w:rsidRPr="0080041A">
        <w:t>possibility of personal injuries being recoverable in public nuisance.</w:t>
      </w:r>
      <w:r w:rsidRPr="0080041A">
        <w:rPr>
          <w:rStyle w:val="FootnoteReference"/>
        </w:rPr>
        <w:footnoteReference w:id="737"/>
      </w:r>
      <w:r>
        <w:t xml:space="preserve"> </w:t>
      </w:r>
      <w:r>
        <w:rPr>
          <w:lang w:bidi="en-US"/>
        </w:rPr>
        <w:t xml:space="preserve">See above C1.1 (b) on remedies for personal injury in common law in negligence. </w:t>
      </w:r>
    </w:p>
    <w:p w14:paraId="7599D5A0" w14:textId="77777777" w:rsidR="0019789C" w:rsidRPr="0080041A" w:rsidRDefault="0019789C" w:rsidP="00683CF7"/>
    <w:p w14:paraId="29A542C1" w14:textId="2A56E0D8" w:rsidR="0019789C" w:rsidRPr="0080041A" w:rsidRDefault="0019789C" w:rsidP="0091399C">
      <w:pPr>
        <w:pStyle w:val="Heading4"/>
      </w:pPr>
      <w:r>
        <w:lastRenderedPageBreak/>
        <w:t xml:space="preserve">(c) </w:t>
      </w:r>
      <w:r w:rsidRPr="0080041A">
        <w:t>Enforcement</w:t>
      </w:r>
    </w:p>
    <w:p w14:paraId="2773D27D" w14:textId="407864D8" w:rsidR="0019789C" w:rsidRPr="0080041A" w:rsidRDefault="0019789C" w:rsidP="002B19CC">
      <w:pPr>
        <w:rPr>
          <w:lang w:bidi="en-US"/>
        </w:rPr>
      </w:pPr>
      <w:r>
        <w:rPr>
          <w:lang w:bidi="en-US"/>
        </w:rPr>
        <w:t>See above C</w:t>
      </w:r>
      <w:r w:rsidRPr="0080041A">
        <w:rPr>
          <w:lang w:bidi="en-US"/>
        </w:rPr>
        <w:t>1.1 (c).</w:t>
      </w:r>
      <w:r>
        <w:rPr>
          <w:lang w:bidi="en-US"/>
        </w:rPr>
        <w:t xml:space="preserve"> The Attorney-General can also join legal action brought by an individual claimant.</w:t>
      </w:r>
      <w:r>
        <w:rPr>
          <w:rStyle w:val="FootnoteReference"/>
          <w:lang w:bidi="en-US"/>
        </w:rPr>
        <w:footnoteReference w:id="738"/>
      </w:r>
    </w:p>
    <w:p w14:paraId="0FA143B2" w14:textId="77777777" w:rsidR="0019789C" w:rsidRDefault="0019789C" w:rsidP="002B19CC">
      <w:pPr>
        <w:ind w:firstLine="0"/>
      </w:pPr>
    </w:p>
    <w:p w14:paraId="031B7F15" w14:textId="77777777" w:rsidR="0019789C" w:rsidRDefault="0019789C" w:rsidP="002B19CC">
      <w:pPr>
        <w:ind w:firstLine="0"/>
      </w:pPr>
    </w:p>
    <w:p w14:paraId="38AEC8AC" w14:textId="42A27154" w:rsidR="0019789C" w:rsidRPr="0080041A" w:rsidRDefault="0019789C" w:rsidP="00683CF7">
      <w:pPr>
        <w:pStyle w:val="Heading2"/>
      </w:pPr>
      <w:r>
        <w:t>C3</w:t>
      </w:r>
      <w:r w:rsidRPr="0080041A">
        <w:t xml:space="preserve"> Inaccessible or </w:t>
      </w:r>
      <w:r>
        <w:t>u</w:t>
      </w:r>
      <w:r w:rsidRPr="0080041A">
        <w:t xml:space="preserve">nsafe </w:t>
      </w:r>
      <w:r>
        <w:t>d</w:t>
      </w:r>
      <w:r w:rsidRPr="0080041A">
        <w:t xml:space="preserve">esign of </w:t>
      </w:r>
      <w:r>
        <w:t>s</w:t>
      </w:r>
      <w:r w:rsidRPr="0080041A">
        <w:t xml:space="preserve">treets or </w:t>
      </w:r>
      <w:r>
        <w:t>s</w:t>
      </w:r>
      <w:r w:rsidRPr="0080041A">
        <w:t xml:space="preserve">treet </w:t>
      </w:r>
      <w:r>
        <w:t>f</w:t>
      </w:r>
      <w:r w:rsidRPr="0080041A">
        <w:t>eatures</w:t>
      </w:r>
    </w:p>
    <w:p w14:paraId="7870B68D" w14:textId="7F1A2C6E" w:rsidR="0019789C" w:rsidRPr="0080041A" w:rsidRDefault="0019789C" w:rsidP="00683CF7">
      <w:pPr>
        <w:pStyle w:val="Heading3"/>
      </w:pPr>
      <w:r>
        <w:t>C3</w:t>
      </w:r>
      <w:r w:rsidRPr="0080041A">
        <w:t xml:space="preserve">.1 Common Law Negligence </w:t>
      </w:r>
      <w:r>
        <w:t>and Breach of Statutory Duty</w:t>
      </w:r>
    </w:p>
    <w:p w14:paraId="182C2B96" w14:textId="77777777" w:rsidR="0019789C" w:rsidRPr="0080041A" w:rsidRDefault="0019789C" w:rsidP="00683CF7">
      <w:r>
        <w:t>The torts of common law n</w:t>
      </w:r>
      <w:r w:rsidRPr="0080041A">
        <w:t xml:space="preserve">egligence </w:t>
      </w:r>
      <w:r>
        <w:t>and breach of statutory duty explained above (see C1.1 and C1.2) might be expected to prove helpful in this context. However, t</w:t>
      </w:r>
      <w:r w:rsidRPr="0080041A">
        <w:t xml:space="preserve">here is a noticeable lack of </w:t>
      </w:r>
      <w:r>
        <w:t xml:space="preserve">tort-related </w:t>
      </w:r>
      <w:r w:rsidRPr="0080041A">
        <w:t xml:space="preserve">case law on the issue of inaccessible or unsafe design of streets or features. </w:t>
      </w:r>
      <w:r>
        <w:t xml:space="preserve">For the sake of clarity, the two legal actions will be jointly discussed here. </w:t>
      </w:r>
    </w:p>
    <w:p w14:paraId="7190D92E" w14:textId="77777777" w:rsidR="0019789C" w:rsidRPr="0080041A" w:rsidRDefault="0019789C" w:rsidP="00683CF7"/>
    <w:p w14:paraId="5CE8A2AF" w14:textId="77777777" w:rsidR="0019789C" w:rsidRDefault="0019789C" w:rsidP="00683CF7">
      <w:pPr>
        <w:pStyle w:val="Heading4"/>
      </w:pPr>
      <w:r>
        <w:t xml:space="preserve">(a) </w:t>
      </w:r>
      <w:r w:rsidRPr="0080041A">
        <w:t>Description and Examples</w:t>
      </w:r>
    </w:p>
    <w:p w14:paraId="5824ED5D" w14:textId="3F80FCFC" w:rsidR="0019789C" w:rsidRDefault="0019789C" w:rsidP="00683CF7">
      <w:r>
        <w:t>In the context of ‘inaccessible or unsafe design of streets or street features’, i</w:t>
      </w:r>
      <w:r w:rsidRPr="00D52A6F">
        <w:t>nadequate or absent st</w:t>
      </w:r>
      <w:r>
        <w:t>reet lighting may be a factor if</w:t>
      </w:r>
      <w:r w:rsidRPr="00D52A6F">
        <w:t xml:space="preserve"> injury or damage</w:t>
      </w:r>
      <w:r>
        <w:t xml:space="preserve"> is</w:t>
      </w:r>
      <w:r w:rsidRPr="00D52A6F">
        <w:t xml:space="preserve"> caused to pedestrians. In </w:t>
      </w:r>
      <w:r w:rsidRPr="006164B4">
        <w:rPr>
          <w:rStyle w:val="case"/>
        </w:rPr>
        <w:t>Sheppard v Glossop Corporation</w:t>
      </w:r>
      <w:r w:rsidRPr="00D52A6F">
        <w:t>,</w:t>
      </w:r>
      <w:r>
        <w:rPr>
          <w:rStyle w:val="FootnoteReference"/>
        </w:rPr>
        <w:footnoteReference w:id="739"/>
      </w:r>
      <w:r w:rsidRPr="00D52A6F">
        <w:t xml:space="preserve"> for example, the claimant was injured when he fell over a retaining wall close to a gas lamp </w:t>
      </w:r>
      <w:r>
        <w:t xml:space="preserve">which had been </w:t>
      </w:r>
      <w:r w:rsidRPr="00D52A6F">
        <w:t xml:space="preserve">erected by the defendant corporation </w:t>
      </w:r>
      <w:r>
        <w:t>by virtue of</w:t>
      </w:r>
      <w:r w:rsidRPr="00D52A6F">
        <w:t xml:space="preserve"> their statutory powers</w:t>
      </w:r>
      <w:r>
        <w:t>.</w:t>
      </w:r>
      <w:r w:rsidRPr="00D52A6F">
        <w:t xml:space="preserve"> </w:t>
      </w:r>
      <w:r>
        <w:t>The corporation</w:t>
      </w:r>
      <w:r w:rsidRPr="00D52A6F">
        <w:t xml:space="preserve"> extinguished the light around 9 PM</w:t>
      </w:r>
      <w:r>
        <w:t>, and the accident took place after this had happened</w:t>
      </w:r>
      <w:r w:rsidRPr="00D52A6F">
        <w:t>.</w:t>
      </w:r>
      <w:r w:rsidRPr="00D52A6F">
        <w:rPr>
          <w:rStyle w:val="FootnoteReference"/>
        </w:rPr>
        <w:footnoteReference w:id="740"/>
      </w:r>
      <w:r w:rsidRPr="00D52A6F">
        <w:t xml:space="preserve"> </w:t>
      </w:r>
      <w:r w:rsidRPr="0080041A">
        <w:t>The claimant brought legal action for negligence and breach of statutory duty, arguing that the defendant was liable to him in damages for personal injur</w:t>
      </w:r>
      <w:r>
        <w:t>y</w:t>
      </w:r>
      <w:r w:rsidRPr="0080041A">
        <w:t xml:space="preserve">, </w:t>
      </w:r>
      <w:r>
        <w:t xml:space="preserve">and that he had </w:t>
      </w:r>
      <w:r w:rsidRPr="0080041A">
        <w:t xml:space="preserve">sustained </w:t>
      </w:r>
      <w:r>
        <w:t xml:space="preserve">that injury </w:t>
      </w:r>
      <w:r w:rsidRPr="0080041A">
        <w:t>due to thei</w:t>
      </w:r>
      <w:r>
        <w:t xml:space="preserve">r failure to keep a lamp alight. </w:t>
      </w:r>
    </w:p>
    <w:p w14:paraId="1BB2F835" w14:textId="77777777" w:rsidR="0019789C" w:rsidRDefault="0019789C" w:rsidP="00683CF7"/>
    <w:p w14:paraId="3BE8C08D" w14:textId="77777777" w:rsidR="0019789C" w:rsidRPr="0080041A" w:rsidRDefault="0019789C" w:rsidP="00683CF7">
      <w:r>
        <w:t xml:space="preserve">In terms of the statutory duty claim, the claimant cited </w:t>
      </w:r>
      <w:r w:rsidRPr="0080041A">
        <w:t xml:space="preserve">s 161 </w:t>
      </w:r>
      <w:r>
        <w:t xml:space="preserve">of the </w:t>
      </w:r>
      <w:r w:rsidRPr="0080041A">
        <w:t>Public Health Act 187</w:t>
      </w:r>
      <w:r>
        <w:t>5, according to which:</w:t>
      </w:r>
    </w:p>
    <w:p w14:paraId="6B2FBD02" w14:textId="77777777" w:rsidR="0019789C" w:rsidRPr="0080041A" w:rsidRDefault="0019789C" w:rsidP="00683CF7">
      <w:pPr>
        <w:pStyle w:val="Quote"/>
      </w:pPr>
      <w:r w:rsidRPr="0080041A">
        <w:t xml:space="preserve">Any urban authority may contract with any person for the supply of gas, or other means of lighting the streets, markets, and public buildings in their district, and </w:t>
      </w:r>
      <w:r w:rsidRPr="0080041A">
        <w:lastRenderedPageBreak/>
        <w:t>may provide such lamps, lamp posts and other materials and apparatus as they may think n</w:t>
      </w:r>
      <w:r>
        <w:t>ecessary for lighting the same.</w:t>
      </w:r>
    </w:p>
    <w:p w14:paraId="169469F9" w14:textId="2E55CC98" w:rsidR="0019789C" w:rsidRDefault="0019789C" w:rsidP="008E5F47">
      <w:pPr>
        <w:ind w:firstLine="0"/>
      </w:pPr>
      <w:r w:rsidRPr="0080041A">
        <w:t>The Court of Appeal rejected Sheppard’s claim, finding that s 161 merely empowered an authority to light their district, but created no obligation upon them to do so and gave them discretion in whether they should light all of their district or just a portion of it.</w:t>
      </w:r>
      <w:r w:rsidRPr="0080041A">
        <w:rPr>
          <w:rStyle w:val="FootnoteReference"/>
        </w:rPr>
        <w:footnoteReference w:id="741"/>
      </w:r>
      <w:r w:rsidRPr="0080041A">
        <w:t xml:space="preserve"> </w:t>
      </w:r>
    </w:p>
    <w:p w14:paraId="0BA56CD4" w14:textId="77777777" w:rsidR="0019789C" w:rsidRDefault="0019789C" w:rsidP="006164B4"/>
    <w:p w14:paraId="352EAE76" w14:textId="4477C5C8" w:rsidR="0019789C" w:rsidRDefault="0019789C" w:rsidP="006164B4">
      <w:r>
        <w:t xml:space="preserve">As to the common law negligence claim in </w:t>
      </w:r>
      <w:r w:rsidRPr="006164B4">
        <w:rPr>
          <w:rStyle w:val="case"/>
        </w:rPr>
        <w:t>Sheppard</w:t>
      </w:r>
      <w:r>
        <w:t>,</w:t>
      </w:r>
      <w:r w:rsidRPr="003F2B4A">
        <w:t xml:space="preserve"> </w:t>
      </w:r>
      <w:r>
        <w:t>t</w:t>
      </w:r>
      <w:r w:rsidRPr="003F2B4A">
        <w:t xml:space="preserve">he Court of Appeal </w:t>
      </w:r>
      <w:r>
        <w:t xml:space="preserve">found </w:t>
      </w:r>
      <w:r w:rsidRPr="003F2B4A">
        <w:t xml:space="preserve">that the council owed </w:t>
      </w:r>
      <w:r>
        <w:t>the claimant</w:t>
      </w:r>
      <w:r w:rsidRPr="003F2B4A">
        <w:t xml:space="preserve"> no duty of care. </w:t>
      </w:r>
      <w:r w:rsidRPr="00D52A6F">
        <w:t>Scrutton LJ</w:t>
      </w:r>
      <w:r>
        <w:t>, however,</w:t>
      </w:r>
      <w:r w:rsidRPr="00D52A6F">
        <w:t xml:space="preserve"> </w:t>
      </w:r>
      <w:r>
        <w:t xml:space="preserve">stated </w:t>
      </w:r>
      <w:r w:rsidRPr="00D52A6F">
        <w:t xml:space="preserve">that a local authority would be liable in negligence if </w:t>
      </w:r>
      <w:r>
        <w:t>it</w:t>
      </w:r>
      <w:r w:rsidRPr="00D52A6F">
        <w:t xml:space="preserve"> put an obstruction in the highway, in which case</w:t>
      </w:r>
      <w:r>
        <w:t xml:space="preserve"> there is an obligation to warn. If the council creates a danger on the highway, the council is obligated to warn people by ‘proper means’, such as lighting, fencing or any reasonable means that would guard against the danger created.</w:t>
      </w:r>
      <w:r w:rsidRPr="00D52A6F">
        <w:rPr>
          <w:rStyle w:val="FootnoteReference"/>
        </w:rPr>
        <w:footnoteReference w:id="742"/>
      </w:r>
      <w:r>
        <w:t xml:space="preserve"> </w:t>
      </w:r>
      <w:r w:rsidRPr="00D52A6F">
        <w:t xml:space="preserve">Scrutton LJ </w:t>
      </w:r>
      <w:r>
        <w:t xml:space="preserve">thus distinguished between unsafe or inaccessible street design, which was arguably the problem in </w:t>
      </w:r>
      <w:r w:rsidRPr="006164B4">
        <w:rPr>
          <w:rStyle w:val="case"/>
        </w:rPr>
        <w:t>Sheppard</w:t>
      </w:r>
      <w:r>
        <w:t>, and obstructing a road or pavement.</w:t>
      </w:r>
      <w:r>
        <w:rPr>
          <w:rStyle w:val="FootnoteReference"/>
        </w:rPr>
        <w:footnoteReference w:id="743"/>
      </w:r>
      <w:r>
        <w:t xml:space="preserve"> This case is interesting in that it illustrates the type of barriers that may give rise to legal action as compared to those that do not.</w:t>
      </w:r>
    </w:p>
    <w:p w14:paraId="5AE7B0C5" w14:textId="453DD824" w:rsidR="0019789C" w:rsidRDefault="0019789C" w:rsidP="00683CF7"/>
    <w:p w14:paraId="563BADD3" w14:textId="3B613265" w:rsidR="0019789C" w:rsidRDefault="0019789C" w:rsidP="002040FE">
      <w:r>
        <w:t xml:space="preserve">While </w:t>
      </w:r>
      <w:r w:rsidRPr="0091399C">
        <w:rPr>
          <w:rStyle w:val="case"/>
        </w:rPr>
        <w:t xml:space="preserve">Sheppard </w:t>
      </w:r>
      <w:r w:rsidRPr="0080041A">
        <w:t xml:space="preserve">is almost 100 years old, it remains good law to this day and begs the question of how this ruling might operate in the context of accessibility of streets. For example, when today’s cars move much faster and the road network is more complex, as compared to 1921, one could argue that eg certain roads, overpasses/underpasses, cycle lanes, etc should be illuminated regardless of whether the local authority has created an obstruction. </w:t>
      </w:r>
      <w:r>
        <w:t>Nevertheless, even the newer cases follow the line of reasoning that a local authority must create a danger in order open the door to possible liability.</w:t>
      </w:r>
    </w:p>
    <w:p w14:paraId="7099C587" w14:textId="77777777" w:rsidR="0019789C" w:rsidRDefault="0019789C" w:rsidP="00683CF7"/>
    <w:p w14:paraId="05754F7C" w14:textId="5339A6E2" w:rsidR="0019789C" w:rsidRDefault="0019789C" w:rsidP="00683CF7">
      <w:r>
        <w:t>As to planning permissions, in</w:t>
      </w:r>
      <w:r w:rsidRPr="0076362B">
        <w:t xml:space="preserve"> </w:t>
      </w:r>
      <w:r w:rsidRPr="0091399C">
        <w:rPr>
          <w:rStyle w:val="case"/>
        </w:rPr>
        <w:t>Kane v New Forest District Council</w:t>
      </w:r>
      <w:r w:rsidRPr="0076362B">
        <w:t>,</w:t>
      </w:r>
      <w:r>
        <w:rPr>
          <w:rStyle w:val="FootnoteReference"/>
        </w:rPr>
        <w:footnoteReference w:id="744"/>
      </w:r>
      <w:r w:rsidRPr="0076362B">
        <w:t xml:space="preserve"> </w:t>
      </w:r>
      <w:r>
        <w:t xml:space="preserve">the claimant was injured </w:t>
      </w:r>
      <w:r w:rsidRPr="0026534B">
        <w:t xml:space="preserve">when he was </w:t>
      </w:r>
      <w:r>
        <w:t xml:space="preserve">hit by a </w:t>
      </w:r>
      <w:r w:rsidRPr="0026534B">
        <w:t>car while out walking. He had emerged from a footpath, which ended on the inside of a bend in the road and the trees and vegetation growing alongside the road reduced the oncoming driver’s visibility to</w:t>
      </w:r>
      <w:r>
        <w:t xml:space="preserve"> no more than 10-15 meters.</w:t>
      </w:r>
      <w:r>
        <w:rPr>
          <w:rStyle w:val="FootnoteReference"/>
        </w:rPr>
        <w:footnoteReference w:id="745"/>
      </w:r>
      <w:r w:rsidRPr="0026534B">
        <w:t xml:space="preserve"> </w:t>
      </w:r>
      <w:r>
        <w:t>The claimant</w:t>
      </w:r>
      <w:r w:rsidRPr="0026534B">
        <w:t xml:space="preserve"> brought proceedings in </w:t>
      </w:r>
      <w:r>
        <w:t xml:space="preserve">common law </w:t>
      </w:r>
      <w:r w:rsidRPr="0026534B">
        <w:t xml:space="preserve">negligence against the </w:t>
      </w:r>
      <w:r>
        <w:t>local council</w:t>
      </w:r>
      <w:r w:rsidRPr="0026534B">
        <w:t xml:space="preserve">, </w:t>
      </w:r>
      <w:r>
        <w:t>arguing</w:t>
      </w:r>
      <w:r w:rsidRPr="0026534B">
        <w:t xml:space="preserve"> that they caused or permitted the footpath to be created and used by </w:t>
      </w:r>
      <w:r w:rsidRPr="0026534B">
        <w:lastRenderedPageBreak/>
        <w:t>the public before any adequate measures had be</w:t>
      </w:r>
      <w:r>
        <w:t xml:space="preserve">en taken to improve visibility. </w:t>
      </w:r>
      <w:r w:rsidRPr="0026534B">
        <w:t>The footpath had been constructed pursuant to a planning permission granted by the defendant local planning authority. The highway authority responsible for the roadw</w:t>
      </w:r>
      <w:r>
        <w:t>ay had criticised the access on</w:t>
      </w:r>
      <w:r w:rsidRPr="0026534B">
        <w:t>to main road provided by the footpa</w:t>
      </w:r>
      <w:r>
        <w:t>th as ‘totally unsuitable because of the lack of sight</w:t>
      </w:r>
      <w:r w:rsidRPr="0026534B">
        <w:t>lines</w:t>
      </w:r>
      <w:r>
        <w:t>’</w:t>
      </w:r>
      <w:r w:rsidRPr="0026534B">
        <w:t>.</w:t>
      </w:r>
      <w:r>
        <w:rPr>
          <w:rStyle w:val="FootnoteReference"/>
        </w:rPr>
        <w:footnoteReference w:id="746"/>
      </w:r>
      <w:r>
        <w:t xml:space="preserve"> Yet </w:t>
      </w:r>
      <w:r w:rsidRPr="00C157DA">
        <w:t xml:space="preserve">the planning authority entered into a statutory agreement </w:t>
      </w:r>
      <w:r>
        <w:t>with a</w:t>
      </w:r>
      <w:r w:rsidRPr="00C157DA">
        <w:t xml:space="preserve"> developer to construct the footpath</w:t>
      </w:r>
      <w:r>
        <w:t xml:space="preserve"> and took steps to improve the sightlines</w:t>
      </w:r>
      <w:r w:rsidRPr="00C157DA">
        <w:t>.</w:t>
      </w:r>
      <w:r>
        <w:rPr>
          <w:rStyle w:val="FootnoteReference"/>
        </w:rPr>
        <w:footnoteReference w:id="747"/>
      </w:r>
      <w:r w:rsidRPr="00C157DA">
        <w:t xml:space="preserve"> </w:t>
      </w:r>
      <w:r>
        <w:t>W</w:t>
      </w:r>
      <w:r w:rsidRPr="00C157DA">
        <w:t>hen the footpath was nearing completion</w:t>
      </w:r>
      <w:r>
        <w:t xml:space="preserve"> in 1993</w:t>
      </w:r>
      <w:r w:rsidRPr="00C157DA">
        <w:t xml:space="preserve">, </w:t>
      </w:r>
      <w:r>
        <w:t xml:space="preserve">the </w:t>
      </w:r>
      <w:r w:rsidRPr="00C157DA">
        <w:t xml:space="preserve">highway authority </w:t>
      </w:r>
      <w:r>
        <w:t xml:space="preserve">responded to a request by </w:t>
      </w:r>
      <w:r w:rsidRPr="00C157DA">
        <w:t>the planning authority</w:t>
      </w:r>
      <w:r>
        <w:t xml:space="preserve"> regarding </w:t>
      </w:r>
      <w:r w:rsidRPr="00C157DA">
        <w:t>improvement of the sightline</w:t>
      </w:r>
      <w:r>
        <w:t>, noting it</w:t>
      </w:r>
      <w:r w:rsidRPr="00C157DA">
        <w:t xml:space="preserve"> w</w:t>
      </w:r>
      <w:r>
        <w:t xml:space="preserve">ould be done in </w:t>
      </w:r>
      <w:r w:rsidRPr="00C157DA">
        <w:t>fiv</w:t>
      </w:r>
      <w:r>
        <w:t>e or six weeks</w:t>
      </w:r>
      <w:r w:rsidRPr="00C157DA">
        <w:t>.</w:t>
      </w:r>
      <w:r>
        <w:rPr>
          <w:rStyle w:val="FootnoteReference"/>
        </w:rPr>
        <w:footnoteReference w:id="748"/>
      </w:r>
      <w:r w:rsidRPr="00C157DA">
        <w:t xml:space="preserve"> However, nothing </w:t>
      </w:r>
      <w:r>
        <w:t>was</w:t>
      </w:r>
      <w:r w:rsidRPr="00C157DA">
        <w:t xml:space="preserve"> done to improve the sightline by October 1994 when the fo</w:t>
      </w:r>
      <w:r>
        <w:t xml:space="preserve">otpath was opened to the public, nor </w:t>
      </w:r>
      <w:r w:rsidRPr="00C157DA">
        <w:t xml:space="preserve">were any improvements in place by March 1995 when </w:t>
      </w:r>
      <w:r>
        <w:t>the accident occurred</w:t>
      </w:r>
      <w:r w:rsidRPr="00C157DA">
        <w:t>.</w:t>
      </w:r>
      <w:r>
        <w:rPr>
          <w:rStyle w:val="FootnoteReference"/>
        </w:rPr>
        <w:footnoteReference w:id="749"/>
      </w:r>
    </w:p>
    <w:p w14:paraId="0076FA54" w14:textId="77777777" w:rsidR="0019789C" w:rsidRDefault="0019789C" w:rsidP="00683CF7"/>
    <w:p w14:paraId="6F6E176B" w14:textId="77777777" w:rsidR="0019789C" w:rsidRDefault="0019789C" w:rsidP="00683CF7">
      <w:r>
        <w:t>The Court of Appeal h</w:t>
      </w:r>
      <w:r w:rsidRPr="0076362B">
        <w:t>eld that a planning authority did owe a duty to an injured pedestrian when it allowed a footpath with access on to a road to be opened to the public despite knowing that it lacked adequate sightlines.</w:t>
      </w:r>
      <w:r>
        <w:rPr>
          <w:rStyle w:val="FootnoteReference"/>
        </w:rPr>
        <w:footnoteReference w:id="750"/>
      </w:r>
      <w:r w:rsidRPr="0076362B">
        <w:t xml:space="preserve"> The court</w:t>
      </w:r>
      <w:r>
        <w:t xml:space="preserve"> distinguished</w:t>
      </w:r>
      <w:r w:rsidRPr="003178E6">
        <w:t xml:space="preserve"> </w:t>
      </w:r>
      <w:r w:rsidRPr="0076362B">
        <w:t>between a simple omission to act and an omission to act ha</w:t>
      </w:r>
      <w:r>
        <w:t xml:space="preserve">ving created a source of danger, drawing on the previously discussed case of </w:t>
      </w:r>
      <w:r w:rsidRPr="0091399C">
        <w:rPr>
          <w:rStyle w:val="case"/>
        </w:rPr>
        <w:t>Stovin v Wise</w:t>
      </w:r>
      <w:r>
        <w:t>.</w:t>
      </w:r>
      <w:r>
        <w:rPr>
          <w:rStyle w:val="FootnoteReference"/>
        </w:rPr>
        <w:footnoteReference w:id="751"/>
      </w:r>
      <w:r>
        <w:t xml:space="preserve"> Whereas in </w:t>
      </w:r>
      <w:r w:rsidRPr="0091399C">
        <w:rPr>
          <w:rStyle w:val="case"/>
        </w:rPr>
        <w:t>Stovin</w:t>
      </w:r>
      <w:r>
        <w:t xml:space="preserve"> the </w:t>
      </w:r>
      <w:r w:rsidRPr="003178E6">
        <w:t xml:space="preserve">complaint </w:t>
      </w:r>
      <w:r>
        <w:t xml:space="preserve">was about the council’s omission to make the highway safer, the local </w:t>
      </w:r>
      <w:r w:rsidRPr="003178E6">
        <w:t>council</w:t>
      </w:r>
      <w:r>
        <w:t xml:space="preserve"> in</w:t>
      </w:r>
      <w:r w:rsidRPr="003178E6">
        <w:t xml:space="preserve"> </w:t>
      </w:r>
      <w:r w:rsidRPr="0091399C">
        <w:rPr>
          <w:rStyle w:val="case"/>
        </w:rPr>
        <w:t>Kane</w:t>
      </w:r>
      <w:r w:rsidRPr="003178E6">
        <w:rPr>
          <w:i/>
        </w:rPr>
        <w:t xml:space="preserve"> </w:t>
      </w:r>
      <w:r>
        <w:t>created the source of danger.</w:t>
      </w:r>
      <w:r>
        <w:rPr>
          <w:rStyle w:val="FootnoteReference"/>
        </w:rPr>
        <w:footnoteReference w:id="752"/>
      </w:r>
      <w:r>
        <w:t xml:space="preserve"> T</w:t>
      </w:r>
      <w:r w:rsidRPr="003178E6">
        <w:t xml:space="preserve">hey </w:t>
      </w:r>
      <w:r>
        <w:t>contracted</w:t>
      </w:r>
      <w:r w:rsidRPr="003178E6">
        <w:t xml:space="preserve"> </w:t>
      </w:r>
      <w:r>
        <w:t>for the footpath to be constructed,</w:t>
      </w:r>
      <w:r w:rsidRPr="003178E6">
        <w:t xml:space="preserve"> </w:t>
      </w:r>
      <w:r w:rsidRPr="009F7494">
        <w:t xml:space="preserve">the relevant works </w:t>
      </w:r>
      <w:r>
        <w:t xml:space="preserve">necessary to remove the danger </w:t>
      </w:r>
      <w:r w:rsidRPr="009F7494">
        <w:t xml:space="preserve">were not carried out when the footpath was opened. </w:t>
      </w:r>
      <w:r>
        <w:t xml:space="preserve">As noted by Simon Brown LJ, it would be one thing to say that </w:t>
      </w:r>
      <w:r w:rsidRPr="003178E6">
        <w:t xml:space="preserve">improvements would ultimately allow </w:t>
      </w:r>
      <w:r>
        <w:t xml:space="preserve">the footpath </w:t>
      </w:r>
      <w:r w:rsidRPr="003178E6">
        <w:t xml:space="preserve">to be safely </w:t>
      </w:r>
      <w:r>
        <w:t>used, it was ‘</w:t>
      </w:r>
      <w:r w:rsidRPr="003178E6">
        <w:t>quite another to say that they were later entitled to stand idly by whilst, as they must have known, the footpath lay open to the public in a recognisably dangerous state.</w:t>
      </w:r>
      <w:r>
        <w:t>’</w:t>
      </w:r>
      <w:r>
        <w:rPr>
          <w:rStyle w:val="FootnoteReference"/>
        </w:rPr>
        <w:footnoteReference w:id="753"/>
      </w:r>
    </w:p>
    <w:p w14:paraId="6D8558D5" w14:textId="77777777" w:rsidR="0019789C" w:rsidRDefault="0019789C" w:rsidP="00683CF7"/>
    <w:p w14:paraId="2FADDD97" w14:textId="3CFFB16D" w:rsidR="0019789C" w:rsidRDefault="0019789C" w:rsidP="00683CF7">
      <w:r>
        <w:t xml:space="preserve">In </w:t>
      </w:r>
      <w:r w:rsidRPr="0091399C">
        <w:rPr>
          <w:rStyle w:val="case"/>
        </w:rPr>
        <w:t>Forbes v City of Dundee District Council</w:t>
      </w:r>
      <w:r>
        <w:t>,</w:t>
      </w:r>
      <w:r>
        <w:rPr>
          <w:rStyle w:val="FootnoteReference"/>
        </w:rPr>
        <w:footnoteReference w:id="754"/>
      </w:r>
      <w:r w:rsidRPr="0076362B">
        <w:t xml:space="preserve"> </w:t>
      </w:r>
      <w:r>
        <w:t>the claimant</w:t>
      </w:r>
      <w:r w:rsidRPr="0076362B">
        <w:t xml:space="preserve"> was injured when </w:t>
      </w:r>
      <w:r>
        <w:t xml:space="preserve">she </w:t>
      </w:r>
      <w:r w:rsidRPr="0076362B">
        <w:t>fell down a stairway</w:t>
      </w:r>
      <w:r>
        <w:t xml:space="preserve"> outside a supermarket. She attributed</w:t>
      </w:r>
      <w:r w:rsidRPr="0076362B">
        <w:t xml:space="preserve"> liability to the </w:t>
      </w:r>
      <w:r>
        <w:t xml:space="preserve">local </w:t>
      </w:r>
      <w:r w:rsidRPr="0076362B">
        <w:t xml:space="preserve">council by virtue of </w:t>
      </w:r>
      <w:r>
        <w:t xml:space="preserve">their statutory functions, namely that she fell because </w:t>
      </w:r>
      <w:r w:rsidRPr="0076362B">
        <w:t xml:space="preserve">of </w:t>
      </w:r>
      <w:r>
        <w:t xml:space="preserve">the </w:t>
      </w:r>
      <w:r w:rsidRPr="0076362B">
        <w:t xml:space="preserve">unevenness </w:t>
      </w:r>
      <w:r>
        <w:t>of</w:t>
      </w:r>
      <w:r w:rsidRPr="0076362B">
        <w:t xml:space="preserve"> </w:t>
      </w:r>
      <w:r>
        <w:t>the</w:t>
      </w:r>
      <w:r w:rsidRPr="0076362B">
        <w:t xml:space="preserve"> </w:t>
      </w:r>
      <w:r w:rsidRPr="0076362B">
        <w:lastRenderedPageBreak/>
        <w:t>stairway</w:t>
      </w:r>
      <w:r>
        <w:t xml:space="preserve">, which </w:t>
      </w:r>
      <w:r w:rsidRPr="0076362B">
        <w:t>had not been constructed in accordance with the</w:t>
      </w:r>
      <w:r w:rsidRPr="00C17E59">
        <w:t xml:space="preserve"> </w:t>
      </w:r>
      <w:r>
        <w:t>B</w:t>
      </w:r>
      <w:r w:rsidRPr="00C17E59">
        <w:t>uilding (Scotland) Act 1959</w:t>
      </w:r>
      <w:r>
        <w:t xml:space="preserve"> and associated</w:t>
      </w:r>
      <w:r w:rsidRPr="0076362B">
        <w:t xml:space="preserve"> building standards regulations</w:t>
      </w:r>
      <w:r>
        <w:t xml:space="preserve"> in place at the time.</w:t>
      </w:r>
      <w:r>
        <w:rPr>
          <w:rStyle w:val="FootnoteReference"/>
        </w:rPr>
        <w:footnoteReference w:id="755"/>
      </w:r>
      <w:r>
        <w:t xml:space="preserve"> The</w:t>
      </w:r>
      <w:r w:rsidRPr="0076362B">
        <w:t xml:space="preserve"> local authority was found not to owe a duty of care to the </w:t>
      </w:r>
      <w:r>
        <w:t>claimant because, first, the</w:t>
      </w:r>
      <w:r w:rsidRPr="00C17E59">
        <w:t xml:space="preserve"> designers, builders, </w:t>
      </w:r>
      <w:r>
        <w:t>or</w:t>
      </w:r>
      <w:r w:rsidRPr="00C17E59">
        <w:t xml:space="preserve"> occupiers </w:t>
      </w:r>
      <w:r>
        <w:t xml:space="preserve">of the stairway might be </w:t>
      </w:r>
      <w:r w:rsidRPr="00C17E59">
        <w:t>regarded, jointly or severally, as responsible for the condition of the stai</w:t>
      </w:r>
      <w:r>
        <w:t>rway but were not named parties in</w:t>
      </w:r>
      <w:r w:rsidRPr="00C17E59">
        <w:t xml:space="preserve"> the action. </w:t>
      </w:r>
      <w:r>
        <w:t>Thus the council’s role, while important, was secondary to that of the other parties.</w:t>
      </w:r>
      <w:r>
        <w:rPr>
          <w:rStyle w:val="FootnoteReference"/>
        </w:rPr>
        <w:footnoteReference w:id="756"/>
      </w:r>
      <w:r>
        <w:t xml:space="preserve"> Second, </w:t>
      </w:r>
      <w:r w:rsidRPr="00C17E59">
        <w:t>Parliament did not intend any civil liability to arise from the 1959 Act, particularly o</w:t>
      </w:r>
      <w:r>
        <w:t xml:space="preserve">n the part of local authorities; third, while civil liability may arise </w:t>
      </w:r>
      <w:r w:rsidRPr="00C17E59">
        <w:t xml:space="preserve">if a local authority </w:t>
      </w:r>
      <w:r>
        <w:t>is</w:t>
      </w:r>
      <w:r w:rsidRPr="00C17E59">
        <w:t xml:space="preserve"> negligent in the performance of their statutory functions</w:t>
      </w:r>
      <w:r>
        <w:t>, there must be ‘</w:t>
      </w:r>
      <w:r w:rsidRPr="0076362B">
        <w:t>a sufficiently determinate class of persons to whom a duty of care could be said to be owed</w:t>
      </w:r>
      <w:r>
        <w:t>’</w:t>
      </w:r>
      <w:r w:rsidRPr="0076362B">
        <w:t>, which must be fewer than the public at large, and no such class</w:t>
      </w:r>
      <w:r>
        <w:t xml:space="preserve"> was created.</w:t>
      </w:r>
      <w:r>
        <w:rPr>
          <w:rStyle w:val="FootnoteReference"/>
        </w:rPr>
        <w:footnoteReference w:id="757"/>
      </w:r>
      <w:r>
        <w:t xml:space="preserve"> Lastly, the court found that </w:t>
      </w:r>
      <w:r w:rsidRPr="0076362B">
        <w:t>no absolute duty had been</w:t>
      </w:r>
      <w:r>
        <w:t xml:space="preserve"> imposed on the local authority; it only required </w:t>
      </w:r>
      <w:r w:rsidRPr="0076362B">
        <w:t>local authorit</w:t>
      </w:r>
      <w:r>
        <w:t>ies</w:t>
      </w:r>
      <w:r w:rsidRPr="0076362B">
        <w:t xml:space="preserve"> </w:t>
      </w:r>
      <w:r>
        <w:t xml:space="preserve">‘to </w:t>
      </w:r>
      <w:r w:rsidRPr="0076362B">
        <w:t>take reasonable steps in carrying out an inspection</w:t>
      </w:r>
      <w:r>
        <w:t>’</w:t>
      </w:r>
      <w:r w:rsidRPr="0076362B">
        <w:t xml:space="preserve"> and</w:t>
      </w:r>
      <w:r>
        <w:t>,</w:t>
      </w:r>
      <w:r w:rsidRPr="0076362B">
        <w:t xml:space="preserve"> given</w:t>
      </w:r>
      <w:r>
        <w:t xml:space="preserve"> finite resources, local authorities are to</w:t>
      </w:r>
      <w:r w:rsidRPr="0076362B">
        <w:t xml:space="preserve"> exercise their discretion, in the public interest, as to how best to use these resources.</w:t>
      </w:r>
      <w:r>
        <w:rPr>
          <w:rStyle w:val="FootnoteReference"/>
        </w:rPr>
        <w:footnoteReference w:id="758"/>
      </w:r>
      <w:r w:rsidRPr="00333218">
        <w:t xml:space="preserve"> </w:t>
      </w:r>
    </w:p>
    <w:p w14:paraId="42D88146" w14:textId="06E41FD1" w:rsidR="0019789C" w:rsidRDefault="0019789C" w:rsidP="000C2325">
      <w:pPr>
        <w:ind w:firstLine="0"/>
      </w:pPr>
    </w:p>
    <w:p w14:paraId="3C4C6D59" w14:textId="599C60C6" w:rsidR="0019789C" w:rsidRDefault="0019789C" w:rsidP="002E77FC">
      <w:r>
        <w:t>A</w:t>
      </w:r>
      <w:r w:rsidRPr="0080041A">
        <w:t xml:space="preserve"> statutory duty of note is s 66 </w:t>
      </w:r>
      <w:r>
        <w:t xml:space="preserve">of the </w:t>
      </w:r>
      <w:r w:rsidRPr="0080041A">
        <w:t>Highways Act 1980, which applies in England and Wales</w:t>
      </w:r>
      <w:r>
        <w:t xml:space="preserve">. Section 66(1) covers the duty of highway authorities to provide </w:t>
      </w:r>
      <w:r w:rsidRPr="0080041A">
        <w:t>footways for publicly maintainable highways</w:t>
      </w:r>
      <w:r w:rsidRPr="002E77FC">
        <w:t xml:space="preserve"> </w:t>
      </w:r>
      <w:r>
        <w:t>‘</w:t>
      </w:r>
      <w:r w:rsidRPr="0080041A">
        <w:t xml:space="preserve">where </w:t>
      </w:r>
      <w:r>
        <w:t xml:space="preserve">they </w:t>
      </w:r>
      <w:r w:rsidRPr="0080041A">
        <w:t>consider the provision of a footway as necessary or desirable for the safety or accommodation of pedestrians</w:t>
      </w:r>
      <w:r>
        <w:t>’; s 66(1)-(2) covers the power of highways to provide guardrails, fences, etc ‘</w:t>
      </w:r>
      <w:r w:rsidRPr="0080041A">
        <w:t>as they think necessary for the purpose of safeguarding persons using the highway.</w:t>
      </w:r>
      <w:r>
        <w:rPr>
          <w:iCs/>
          <w:lang w:bidi="en-US"/>
        </w:rPr>
        <w:t>’</w:t>
      </w:r>
      <w:r>
        <w:t xml:space="preserve"> </w:t>
      </w:r>
      <w:r w:rsidRPr="0080041A">
        <w:t xml:space="preserve">However, a series of cases have curbed enforceability of s 66, finding that it does not give rise to a statutory duty and should be considered in light of financial resources. In </w:t>
      </w:r>
      <w:r w:rsidRPr="008E5F47">
        <w:rPr>
          <w:rStyle w:val="case"/>
        </w:rPr>
        <w:t>Shine v Tower Hamlets LBC</w:t>
      </w:r>
      <w:r w:rsidRPr="0080041A">
        <w:rPr>
          <w:i/>
        </w:rPr>
        <w:t>,</w:t>
      </w:r>
      <w:r w:rsidRPr="0080041A">
        <w:rPr>
          <w:rStyle w:val="FootnoteReference"/>
          <w:rFonts w:cs="Times New Roman"/>
          <w:szCs w:val="24"/>
        </w:rPr>
        <w:footnoteReference w:id="759"/>
      </w:r>
      <w:r w:rsidRPr="0080041A">
        <w:t xml:space="preserve"> the court found that s 66 is ‘permissive’ in that it ‘permits the highway authority to install such barriers or other street furniture as they think are reasonably necessary in order to maintain safety’, but does not in itself create any liability, which is derived from s 41 Highways Act 1980.</w:t>
      </w:r>
      <w:r w:rsidRPr="0080041A">
        <w:rPr>
          <w:rStyle w:val="FootnoteReference"/>
        </w:rPr>
        <w:footnoteReference w:id="760"/>
      </w:r>
      <w:r w:rsidRPr="0080041A">
        <w:t xml:space="preserve"> </w:t>
      </w:r>
    </w:p>
    <w:p w14:paraId="6C208673" w14:textId="77777777" w:rsidR="0019789C" w:rsidRDefault="0019789C" w:rsidP="000C2325"/>
    <w:p w14:paraId="3C1AA739" w14:textId="5F396997" w:rsidR="0019789C" w:rsidRDefault="0019789C" w:rsidP="008E5F47">
      <w:r w:rsidRPr="0080041A">
        <w:lastRenderedPageBreak/>
        <w:t xml:space="preserve">In </w:t>
      </w:r>
      <w:r w:rsidRPr="008E5F47">
        <w:rPr>
          <w:rStyle w:val="case"/>
        </w:rPr>
        <w:t>R v Norfolk CC Ex p. Thorpe</w:t>
      </w:r>
      <w:r w:rsidRPr="0080041A">
        <w:rPr>
          <w:i/>
        </w:rPr>
        <w:t>,</w:t>
      </w:r>
      <w:r w:rsidRPr="0080041A">
        <w:rPr>
          <w:rStyle w:val="FootnoteReference"/>
          <w:rFonts w:cs="Times New Roman"/>
          <w:szCs w:val="24"/>
        </w:rPr>
        <w:footnoteReference w:id="761"/>
      </w:r>
      <w:r w:rsidRPr="0080041A">
        <w:t xml:space="preserve"> the claimant applied for judicial review of Norfolk City Council’s decision not to include provision for a public footpath in road improvements being carried out near his home, contending that the Council should not have considered its financial resources as a relevant factor in its decision. The High Court found, </w:t>
      </w:r>
      <w:r w:rsidRPr="0080041A">
        <w:rPr>
          <w:i/>
        </w:rPr>
        <w:t>inter alia</w:t>
      </w:r>
      <w:r w:rsidRPr="0080041A">
        <w:t>, that the duty imposed by s 66 is not a duty to individuals, but to the public at large; accordingly, a wider range of considerations may be taken into account in deciding whether it was necessary or desirable for a public footpath to be provided by the side of a highway – including financial resources.</w:t>
      </w:r>
      <w:r w:rsidRPr="0080041A">
        <w:rPr>
          <w:rStyle w:val="FootnoteReference"/>
        </w:rPr>
        <w:footnoteReference w:id="762"/>
      </w:r>
      <w:r>
        <w:t xml:space="preserve"> Second, in English courts, a breach of statutory duty does not give rise to a separate legal action under common law negligence: Doubt remains as to whether it is ever possible to ground</w:t>
      </w:r>
      <w:r w:rsidRPr="0001308A">
        <w:t xml:space="preserve"> a common law duty of care </w:t>
      </w:r>
      <w:r>
        <w:t>in</w:t>
      </w:r>
      <w:r w:rsidRPr="0001308A">
        <w:t xml:space="preserve"> the existence of a statutory power</w:t>
      </w:r>
      <w:r>
        <w:t xml:space="preserve">. But, following </w:t>
      </w:r>
      <w:r w:rsidRPr="008E5F47">
        <w:rPr>
          <w:rStyle w:val="case"/>
        </w:rPr>
        <w:t>Stovin</w:t>
      </w:r>
      <w:r>
        <w:t xml:space="preserve">, this could occur if two conditions are met: (1) that, </w:t>
      </w:r>
      <w:r w:rsidRPr="008818D5">
        <w:t xml:space="preserve">in the circumstances </w:t>
      </w:r>
      <w:r>
        <w:t xml:space="preserve">of the case, it would </w:t>
      </w:r>
      <w:r w:rsidRPr="008818D5">
        <w:t xml:space="preserve">have been </w:t>
      </w:r>
      <w:r>
        <w:t>‘</w:t>
      </w:r>
      <w:r w:rsidRPr="008818D5">
        <w:t>irrational not to have exercised the power, so that there was in effect a public law</w:t>
      </w:r>
      <w:r>
        <w:t xml:space="preserve"> duty to act’; and (2) </w:t>
      </w:r>
      <w:r w:rsidRPr="008818D5">
        <w:t xml:space="preserve">that </w:t>
      </w:r>
      <w:r>
        <w:t>‘</w:t>
      </w:r>
      <w:r w:rsidRPr="008818D5">
        <w:t>there are exceptional grounds for holding that the policy of the statute requires compensation to be paid to persons who suffer loss because the power was not exercised.</w:t>
      </w:r>
      <w:r>
        <w:t>’</w:t>
      </w:r>
      <w:r>
        <w:rPr>
          <w:rStyle w:val="FootnoteReference"/>
        </w:rPr>
        <w:footnoteReference w:id="763"/>
      </w:r>
      <w:r>
        <w:t xml:space="preserve"> </w:t>
      </w:r>
    </w:p>
    <w:p w14:paraId="0A25E598" w14:textId="77777777" w:rsidR="0019789C" w:rsidRPr="0080041A" w:rsidRDefault="0019789C" w:rsidP="00683CF7"/>
    <w:p w14:paraId="658E067A" w14:textId="2C5208B4" w:rsidR="0019789C" w:rsidRPr="0080041A" w:rsidRDefault="0019789C" w:rsidP="00683CF7">
      <w:pPr>
        <w:pStyle w:val="Heading4"/>
      </w:pPr>
      <w:r w:rsidRPr="0080041A">
        <w:t xml:space="preserve">(b) </w:t>
      </w:r>
      <w:r w:rsidRPr="002A65B0">
        <w:t>Remedies</w:t>
      </w:r>
      <w:r>
        <w:t>, Sanctions or Other Outcomes</w:t>
      </w:r>
    </w:p>
    <w:p w14:paraId="2A051107" w14:textId="77777777" w:rsidR="0019789C" w:rsidRPr="0080041A" w:rsidRDefault="0019789C" w:rsidP="00683CF7">
      <w:pPr>
        <w:rPr>
          <w:lang w:bidi="en-US"/>
        </w:rPr>
      </w:pPr>
      <w:r w:rsidRPr="0080041A">
        <w:rPr>
          <w:lang w:bidi="en-US"/>
        </w:rPr>
        <w:t>See above, C1.1</w:t>
      </w:r>
      <w:r>
        <w:rPr>
          <w:lang w:bidi="en-US"/>
        </w:rPr>
        <w:t xml:space="preserve"> (b) and C1.2 (b).</w:t>
      </w:r>
    </w:p>
    <w:p w14:paraId="1F6B00CD" w14:textId="77777777" w:rsidR="0019789C" w:rsidRPr="0080041A" w:rsidRDefault="0019789C" w:rsidP="00683CF7"/>
    <w:p w14:paraId="670A8858" w14:textId="77777777" w:rsidR="0019789C" w:rsidRPr="0080041A" w:rsidRDefault="0019789C" w:rsidP="00683CF7">
      <w:pPr>
        <w:pStyle w:val="Heading4"/>
      </w:pPr>
      <w:r w:rsidRPr="0080041A">
        <w:t>(c) Enforcement</w:t>
      </w:r>
    </w:p>
    <w:p w14:paraId="2ADA4662" w14:textId="565F9074" w:rsidR="0019789C" w:rsidRPr="009F7494" w:rsidRDefault="0019789C" w:rsidP="006164B4">
      <w:pPr>
        <w:rPr>
          <w:lang w:bidi="en-US"/>
        </w:rPr>
      </w:pPr>
      <w:r w:rsidRPr="0080041A">
        <w:rPr>
          <w:lang w:bidi="en-US"/>
        </w:rPr>
        <w:t xml:space="preserve">See above, </w:t>
      </w:r>
      <w:r>
        <w:rPr>
          <w:lang w:bidi="en-US"/>
        </w:rPr>
        <w:t xml:space="preserve">C1.1 (c) and C1.2 (c). </w:t>
      </w:r>
    </w:p>
    <w:p w14:paraId="6104CBA1" w14:textId="77777777" w:rsidR="0019789C" w:rsidRDefault="0019789C" w:rsidP="00683CF7"/>
    <w:p w14:paraId="20A30426" w14:textId="77777777" w:rsidR="0019789C" w:rsidRPr="0080041A" w:rsidRDefault="0019789C" w:rsidP="00683CF7"/>
    <w:p w14:paraId="24BD39D2" w14:textId="77777777" w:rsidR="0019789C" w:rsidRPr="0080041A" w:rsidRDefault="0019789C" w:rsidP="00683CF7">
      <w:pPr>
        <w:pStyle w:val="Heading2"/>
      </w:pPr>
      <w:r w:rsidRPr="0080041A">
        <w:t xml:space="preserve">C4 Driving, cycling and other travelling on roads which might endanger pedestrians </w:t>
      </w:r>
    </w:p>
    <w:p w14:paraId="1D6C37CA" w14:textId="77777777" w:rsidR="0019789C" w:rsidRPr="0080041A" w:rsidRDefault="0019789C" w:rsidP="00683CF7">
      <w:pPr>
        <w:pStyle w:val="Heading3"/>
      </w:pPr>
      <w:r w:rsidRPr="0080041A">
        <w:t xml:space="preserve">C4.1 Common law negligence </w:t>
      </w:r>
    </w:p>
    <w:p w14:paraId="630686C3" w14:textId="77777777" w:rsidR="0019789C" w:rsidRPr="0080041A" w:rsidRDefault="0019789C" w:rsidP="00683CF7">
      <w:pPr>
        <w:pStyle w:val="Heading4"/>
      </w:pPr>
      <w:r w:rsidRPr="0080041A">
        <w:t>(a) Description and Examples</w:t>
      </w:r>
    </w:p>
    <w:p w14:paraId="41C63CA8" w14:textId="77777777" w:rsidR="0019789C" w:rsidRDefault="0019789C" w:rsidP="00683CF7">
      <w:r w:rsidRPr="0080041A">
        <w:lastRenderedPageBreak/>
        <w:t xml:space="preserve">Arguably, the most common means of challenging injury or loss caused by dangerous driving, cycling and other travelling on roads is through the common law tort of negligence, outlined above in section C1.1. </w:t>
      </w:r>
    </w:p>
    <w:p w14:paraId="5E1BBA78" w14:textId="77777777" w:rsidR="0019789C" w:rsidRDefault="0019789C" w:rsidP="00683CF7"/>
    <w:p w14:paraId="47E5AE4F" w14:textId="6D11C767" w:rsidR="0019789C" w:rsidRPr="0080041A" w:rsidRDefault="0019789C" w:rsidP="00683CF7">
      <w:r w:rsidRPr="0080041A">
        <w:t xml:space="preserve">Drivers owe a duty of care not only to other drivers, but also to pedestrians. In </w:t>
      </w:r>
      <w:r w:rsidRPr="0091399C">
        <w:rPr>
          <w:rStyle w:val="case"/>
        </w:rPr>
        <w:t>Bourhill v Young</w:t>
      </w:r>
      <w:r w:rsidRPr="0080041A">
        <w:t>,</w:t>
      </w:r>
      <w:r w:rsidRPr="0080041A">
        <w:rPr>
          <w:rStyle w:val="FootnoteReference"/>
        </w:rPr>
        <w:footnoteReference w:id="764"/>
      </w:r>
      <w:r w:rsidRPr="0080041A">
        <w:t xml:space="preserve"> which involved a motorcyclist colliding with motorcar, Lord Macmillan stated that </w:t>
      </w:r>
    </w:p>
    <w:p w14:paraId="515CD95A" w14:textId="77777777" w:rsidR="0019789C" w:rsidRPr="0080041A" w:rsidRDefault="0019789C" w:rsidP="00683CF7">
      <w:pPr>
        <w:pStyle w:val="Quote"/>
      </w:pPr>
      <w:r w:rsidRPr="0080041A">
        <w:t>[t]he duty to take care is the duty to avoid doing or omitting do anything which may have as its reasonable and probable consequence the injury to others, and the duty is owed to those to whom injury may reasonably and probably be anticipated if the duty is not observed.</w:t>
      </w:r>
      <w:r w:rsidRPr="0080041A">
        <w:rPr>
          <w:rStyle w:val="FootnoteReference"/>
        </w:rPr>
        <w:footnoteReference w:id="765"/>
      </w:r>
    </w:p>
    <w:p w14:paraId="720B2490" w14:textId="77777777" w:rsidR="0019789C" w:rsidRPr="0080041A" w:rsidRDefault="0019789C" w:rsidP="006164B4">
      <w:pPr>
        <w:ind w:firstLine="0"/>
      </w:pPr>
      <w:r w:rsidRPr="0080041A">
        <w:t xml:space="preserve">By comparison, a pedestrian owes a duty of care to themselves, as noted by Lord Denning in </w:t>
      </w:r>
      <w:r w:rsidRPr="006164B4">
        <w:rPr>
          <w:rStyle w:val="case"/>
        </w:rPr>
        <w:t>Davies v Swan</w:t>
      </w:r>
      <w:r w:rsidRPr="0080041A">
        <w:t>, ‘[w]hen a man steps into the road he owes a duty to himself to take care for his own safety, but he does not owe any duty to a motorist.’</w:t>
      </w:r>
      <w:r w:rsidRPr="0080041A">
        <w:rPr>
          <w:rStyle w:val="FootnoteReference"/>
        </w:rPr>
        <w:footnoteReference w:id="766"/>
      </w:r>
    </w:p>
    <w:p w14:paraId="3086A478" w14:textId="77777777" w:rsidR="0019789C" w:rsidRPr="0080041A" w:rsidRDefault="0019789C" w:rsidP="00683CF7"/>
    <w:p w14:paraId="23C34473" w14:textId="1B5D6FEE" w:rsidR="0019789C" w:rsidRDefault="0019789C" w:rsidP="003A0555">
      <w:r w:rsidRPr="0080041A">
        <w:rPr>
          <w:lang w:bidi="en-US"/>
        </w:rPr>
        <w:t xml:space="preserve">From the cases surveyed, it is clear that the elements of negligence are mutually reinforcing in cases involving pedestrians injured by drivers. The case of </w:t>
      </w:r>
      <w:r w:rsidRPr="003A0555">
        <w:rPr>
          <w:rStyle w:val="case"/>
        </w:rPr>
        <w:t>Sam v Atkins</w:t>
      </w:r>
      <w:r w:rsidRPr="0080041A">
        <w:rPr>
          <w:lang w:bidi="en-US"/>
        </w:rPr>
        <w:t>,</w:t>
      </w:r>
      <w:r w:rsidRPr="0080041A">
        <w:rPr>
          <w:rStyle w:val="FootnoteReference"/>
          <w:lang w:bidi="en-US"/>
        </w:rPr>
        <w:footnoteReference w:id="767"/>
      </w:r>
      <w:r w:rsidRPr="0080041A">
        <w:rPr>
          <w:lang w:bidi="en-US"/>
        </w:rPr>
        <w:t xml:space="preserve"> for example, involved a pedestrian who stepped into a car’s path at the last moment, such that the driver could not stop to avoid her colliding with the wing-mirror of the car.</w:t>
      </w:r>
      <w:r w:rsidRPr="0080041A">
        <w:rPr>
          <w:rStyle w:val="FootnoteReference"/>
          <w:lang w:bidi="en-US"/>
        </w:rPr>
        <w:footnoteReference w:id="768"/>
      </w:r>
      <w:r w:rsidRPr="0080041A">
        <w:rPr>
          <w:lang w:bidi="en-US"/>
        </w:rPr>
        <w:t xml:space="preserve"> The trial judge found the driver was ‘negligent’ but this was not causative of the pedestrian's injuries.</w:t>
      </w:r>
      <w:r w:rsidRPr="0080041A">
        <w:rPr>
          <w:rStyle w:val="FootnoteReference"/>
          <w:lang w:bidi="en-US"/>
        </w:rPr>
        <w:footnoteReference w:id="769"/>
      </w:r>
      <w:r w:rsidRPr="0080041A">
        <w:rPr>
          <w:lang w:bidi="en-US"/>
        </w:rPr>
        <w:t xml:space="preserve"> The Court of Appeal disagreed, noting that the judge had analysed negligence by a compartmental approach, but ‘[n]egligence is a composite concept necessarily combining all the elements.’</w:t>
      </w:r>
      <w:r w:rsidRPr="0080041A">
        <w:rPr>
          <w:rStyle w:val="FootnoteReference"/>
          <w:lang w:bidi="en-US"/>
        </w:rPr>
        <w:footnoteReference w:id="770"/>
      </w:r>
      <w:r w:rsidRPr="0080041A">
        <w:rPr>
          <w:lang w:bidi="en-US"/>
        </w:rPr>
        <w:t xml:space="preserve"> Approaching the facts of the case in this way,</w:t>
      </w:r>
      <w:r w:rsidRPr="0080041A">
        <w:t xml:space="preserve"> the defendant did not owe a duty of care to the claimant to take care to avoid the injury, which in fact occurred when the pedestrian walked into the path of the driver’s car.</w:t>
      </w:r>
      <w:r w:rsidRPr="0080041A">
        <w:rPr>
          <w:rStyle w:val="FootnoteReference"/>
        </w:rPr>
        <w:footnoteReference w:id="771"/>
      </w:r>
      <w:r w:rsidRPr="0080041A">
        <w:t xml:space="preserve"> Moreover, </w:t>
      </w:r>
      <w:r w:rsidRPr="0080041A">
        <w:rPr>
          <w:lang w:bidi="en-US"/>
        </w:rPr>
        <w:t>it would be ‘an unattainable counsel of perfection’ to suggest that the defendant should have driven so slowly as to have avoided the accident.</w:t>
      </w:r>
      <w:r w:rsidRPr="0080041A">
        <w:rPr>
          <w:rStyle w:val="FootnoteReference"/>
          <w:lang w:bidi="en-US"/>
        </w:rPr>
        <w:footnoteReference w:id="772"/>
      </w:r>
      <w:r w:rsidRPr="0080041A">
        <w:rPr>
          <w:lang w:bidi="en-US"/>
        </w:rPr>
        <w:t xml:space="preserve"> While </w:t>
      </w:r>
      <w:r w:rsidRPr="0080041A">
        <w:t xml:space="preserve">the </w:t>
      </w:r>
      <w:r w:rsidRPr="0080041A">
        <w:lastRenderedPageBreak/>
        <w:t xml:space="preserve">defendant ‘was under no duty to guard against the accident and injuries which in fact happened’, it did not much matter how that was articulated by the court: </w:t>
      </w:r>
    </w:p>
    <w:p w14:paraId="386068AF" w14:textId="650DCB92" w:rsidR="0019789C" w:rsidRPr="0080041A" w:rsidRDefault="0019789C" w:rsidP="003A0555">
      <w:pPr>
        <w:pStyle w:val="Quote"/>
      </w:pPr>
      <w:r w:rsidRPr="0080041A">
        <w:t>this can be expressed explanatorily by saying that the Defendant's negligence did not cause the accident. It is technically more accurate to say that she was not in breach of duty to this Claimant in the circumstances of this case. The judge was entitled so to hold and in substance did so.</w:t>
      </w:r>
      <w:r w:rsidRPr="0080041A">
        <w:rPr>
          <w:rStyle w:val="FootnoteReference"/>
        </w:rPr>
        <w:footnoteReference w:id="773"/>
      </w:r>
    </w:p>
    <w:p w14:paraId="659CDA4A" w14:textId="77777777" w:rsidR="0019789C" w:rsidRPr="0080041A" w:rsidRDefault="0019789C" w:rsidP="00683CF7"/>
    <w:p w14:paraId="4D6F251E" w14:textId="68CD77C4" w:rsidR="0019789C" w:rsidRPr="0080041A" w:rsidRDefault="0019789C" w:rsidP="00683CF7">
      <w:r w:rsidRPr="0080041A">
        <w:t xml:space="preserve">In terms of issues of breach of duty, in </w:t>
      </w:r>
      <w:r w:rsidRPr="006164B4">
        <w:rPr>
          <w:rStyle w:val="case"/>
        </w:rPr>
        <w:t>Daly v Liverpool Corporation</w:t>
      </w:r>
      <w:r w:rsidRPr="0080041A">
        <w:t>,</w:t>
      </w:r>
      <w:r w:rsidRPr="0080041A">
        <w:rPr>
          <w:rStyle w:val="FootnoteReference"/>
        </w:rPr>
        <w:footnoteReference w:id="774"/>
      </w:r>
      <w:r w:rsidRPr="0080041A">
        <w:t xml:space="preserve"> the claimant was a 69-year-old woman injured when she has hit by an omnibus, driven by an employee of the defendant corporation, while crossing the road.</w:t>
      </w:r>
      <w:r w:rsidRPr="0080041A">
        <w:rPr>
          <w:rStyle w:val="FootnoteReference"/>
        </w:rPr>
        <w:footnoteReference w:id="775"/>
      </w:r>
      <w:r w:rsidRPr="0080041A">
        <w:t xml:space="preserve"> The Court found that ‘[o]ne must take people as one finds them’; a driver owes no special duty to elderly persons on the road unless they he know or should have known the characteristics in question: </w:t>
      </w:r>
    </w:p>
    <w:p w14:paraId="3BEFE0BE" w14:textId="77777777" w:rsidR="0019789C" w:rsidRPr="0080041A" w:rsidRDefault="0019789C" w:rsidP="00683CF7">
      <w:pPr>
        <w:pStyle w:val="Quote"/>
      </w:pPr>
      <w:r w:rsidRPr="0080041A">
        <w:t>[The driver] saw the plaintiff at a time when he could have averted this accident. Of course, he did not know whether the woman he saw was young and quick or rather elderly and slow. If the woman had been young, there would not have been an accident. If the woman had been elderly – as in fact she was – there was a very grave chance of an accident.</w:t>
      </w:r>
      <w:r w:rsidRPr="0080041A">
        <w:rPr>
          <w:rStyle w:val="FootnoteReference"/>
        </w:rPr>
        <w:footnoteReference w:id="776"/>
      </w:r>
    </w:p>
    <w:p w14:paraId="7C8DA1A0" w14:textId="07E723CD" w:rsidR="0019789C" w:rsidRDefault="0019789C" w:rsidP="00683CF7"/>
    <w:p w14:paraId="611F41FA" w14:textId="1DB3EC23" w:rsidR="0019789C" w:rsidRPr="00D93941" w:rsidRDefault="0019789C" w:rsidP="00D93941">
      <w:pPr>
        <w:rPr>
          <w:rFonts w:eastAsia="Times New Roman"/>
          <w:lang w:val="en-US" w:eastAsia="en-US"/>
        </w:rPr>
      </w:pPr>
      <w:r>
        <w:rPr>
          <w:rFonts w:eastAsia="Times New Roman"/>
          <w:shd w:val="clear" w:color="auto" w:fill="FFFFFF"/>
        </w:rPr>
        <w:t xml:space="preserve">In </w:t>
      </w:r>
      <w:r w:rsidRPr="005F3CA8">
        <w:rPr>
          <w:rStyle w:val="case"/>
        </w:rPr>
        <w:t>Probert v Moore</w:t>
      </w:r>
      <w:r>
        <w:rPr>
          <w:rStyle w:val="case"/>
          <w:i w:val="0"/>
          <w:iCs/>
        </w:rPr>
        <w:t>,</w:t>
      </w:r>
      <w:bookmarkStart w:id="78" w:name="_Ref39588130"/>
      <w:r>
        <w:rPr>
          <w:rStyle w:val="FootnoteReference"/>
          <w:rFonts w:eastAsia="Times New Roman"/>
          <w:shd w:val="clear" w:color="auto" w:fill="FFFFFF"/>
        </w:rPr>
        <w:footnoteReference w:id="777"/>
      </w:r>
      <w:bookmarkEnd w:id="78"/>
      <w:r>
        <w:rPr>
          <w:rFonts w:eastAsia="Times New Roman"/>
          <w:shd w:val="clear" w:color="auto" w:fill="FFFFFF"/>
        </w:rPr>
        <w:t xml:space="preserve"> the defendant driver was held liable for significant injuries to a pedestrian, whom he collided with while</w:t>
      </w:r>
      <w:r w:rsidRPr="0034216D">
        <w:rPr>
          <w:rFonts w:eastAsia="Times New Roman"/>
          <w:shd w:val="clear" w:color="auto" w:fill="FFFFFF"/>
        </w:rPr>
        <w:t xml:space="preserve"> driving within the speed limit</w:t>
      </w:r>
      <w:r>
        <w:rPr>
          <w:rFonts w:eastAsia="Times New Roman"/>
          <w:shd w:val="clear" w:color="auto" w:fill="FFFFFF"/>
        </w:rPr>
        <w:t>.</w:t>
      </w:r>
      <w:r w:rsidRPr="0034216D">
        <w:rPr>
          <w:rFonts w:eastAsia="Times New Roman"/>
          <w:shd w:val="clear" w:color="auto" w:fill="FFFFFF"/>
        </w:rPr>
        <w:t xml:space="preserve"> </w:t>
      </w:r>
      <w:r>
        <w:rPr>
          <w:rFonts w:eastAsia="Times New Roman"/>
          <w:shd w:val="clear" w:color="auto" w:fill="FFFFFF"/>
        </w:rPr>
        <w:t>The pedestrian was a 1</w:t>
      </w:r>
      <w:r w:rsidRPr="0034216D">
        <w:rPr>
          <w:rFonts w:eastAsia="Times New Roman"/>
          <w:shd w:val="clear" w:color="auto" w:fill="FFFFFF"/>
        </w:rPr>
        <w:t xml:space="preserve">3-year-old girl wearing dark clothing </w:t>
      </w:r>
      <w:r>
        <w:rPr>
          <w:rFonts w:eastAsia="Times New Roman"/>
          <w:shd w:val="clear" w:color="auto" w:fill="FFFFFF"/>
        </w:rPr>
        <w:t>while</w:t>
      </w:r>
      <w:r w:rsidRPr="0034216D">
        <w:rPr>
          <w:rFonts w:eastAsia="Times New Roman"/>
          <w:shd w:val="clear" w:color="auto" w:fill="FFFFFF"/>
        </w:rPr>
        <w:t xml:space="preserve"> walking home along </w:t>
      </w:r>
      <w:r>
        <w:rPr>
          <w:rFonts w:eastAsia="Times New Roman"/>
          <w:shd w:val="clear" w:color="auto" w:fill="FFFFFF"/>
        </w:rPr>
        <w:t>the</w:t>
      </w:r>
      <w:r w:rsidRPr="0034216D">
        <w:rPr>
          <w:rFonts w:eastAsia="Times New Roman"/>
          <w:shd w:val="clear" w:color="auto" w:fill="FFFFFF"/>
        </w:rPr>
        <w:t xml:space="preserve"> dark road listening to music on her headphones.</w:t>
      </w:r>
      <w:r>
        <w:rPr>
          <w:rStyle w:val="FootnoteReference"/>
          <w:rFonts w:eastAsia="Times New Roman"/>
          <w:shd w:val="clear" w:color="auto" w:fill="FFFFFF"/>
        </w:rPr>
        <w:footnoteReference w:id="778"/>
      </w:r>
      <w:r w:rsidRPr="0034216D">
        <w:rPr>
          <w:rFonts w:eastAsia="Times New Roman"/>
          <w:shd w:val="clear" w:color="auto" w:fill="FFFFFF"/>
        </w:rPr>
        <w:t xml:space="preserve"> </w:t>
      </w:r>
      <w:r>
        <w:rPr>
          <w:rFonts w:eastAsia="Times New Roman"/>
          <w:shd w:val="clear" w:color="auto" w:fill="FFFFFF"/>
        </w:rPr>
        <w:t>The court found that a</w:t>
      </w:r>
      <w:r w:rsidRPr="0034216D">
        <w:rPr>
          <w:rFonts w:eastAsia="Times New Roman"/>
          <w:shd w:val="clear" w:color="auto" w:fill="FFFFFF"/>
        </w:rPr>
        <w:t xml:space="preserve"> reasonably prudent driver would not have exceeded 40-45 mph despite the speed limit being 60 mp</w:t>
      </w:r>
      <w:r>
        <w:rPr>
          <w:rFonts w:eastAsia="Times New Roman"/>
          <w:shd w:val="clear" w:color="auto" w:fill="FFFFFF"/>
        </w:rPr>
        <w:t>h</w:t>
      </w:r>
      <w:r>
        <w:rPr>
          <w:rFonts w:eastAsia="Times New Roman"/>
          <w:shd w:val="clear" w:color="auto" w:fill="FFFFFF"/>
          <w:lang w:val="en-US" w:eastAsia="en-US"/>
        </w:rPr>
        <w:t>.</w:t>
      </w:r>
      <w:r>
        <w:rPr>
          <w:rStyle w:val="FootnoteReference"/>
          <w:rFonts w:eastAsia="Times New Roman"/>
          <w:shd w:val="clear" w:color="auto" w:fill="FFFFFF"/>
          <w:lang w:val="en-US" w:eastAsia="en-US"/>
        </w:rPr>
        <w:footnoteReference w:id="779"/>
      </w:r>
      <w:r>
        <w:rPr>
          <w:rFonts w:eastAsia="Times New Roman"/>
          <w:shd w:val="clear" w:color="auto" w:fill="FFFFFF"/>
          <w:lang w:val="en-US" w:eastAsia="en-US"/>
        </w:rPr>
        <w:t xml:space="preserve"> </w:t>
      </w:r>
      <w:r>
        <w:rPr>
          <w:rFonts w:eastAsia="Times New Roman"/>
          <w:shd w:val="clear" w:color="auto" w:fill="FFFFFF"/>
        </w:rPr>
        <w:t>The defendant should have</w:t>
      </w:r>
      <w:r>
        <w:rPr>
          <w:rFonts w:eastAsia="Times New Roman"/>
          <w:shd w:val="clear" w:color="auto" w:fill="FFFFFF"/>
          <w:lang w:val="en-US" w:eastAsia="en-US"/>
        </w:rPr>
        <w:t xml:space="preserve"> </w:t>
      </w:r>
      <w:r w:rsidRPr="005F3CA8">
        <w:rPr>
          <w:rFonts w:eastAsia="Times New Roman"/>
          <w:shd w:val="clear" w:color="auto" w:fill="FFFFFF"/>
          <w:lang w:val="en-US" w:eastAsia="en-US"/>
        </w:rPr>
        <w:t>been aware of the presence of other road users</w:t>
      </w:r>
      <w:r>
        <w:rPr>
          <w:rFonts w:eastAsia="Times New Roman"/>
          <w:shd w:val="clear" w:color="auto" w:fill="FFFFFF"/>
          <w:lang w:val="en-US" w:eastAsia="en-US"/>
        </w:rPr>
        <w:t xml:space="preserve">, </w:t>
      </w:r>
      <w:r w:rsidRPr="005F3CA8">
        <w:rPr>
          <w:rFonts w:eastAsia="Times New Roman"/>
          <w:shd w:val="clear" w:color="auto" w:fill="FFFFFF"/>
          <w:lang w:val="en-US" w:eastAsia="en-US"/>
        </w:rPr>
        <w:t>whether pedestrians, cyclists or horse-riders, on country roads</w:t>
      </w:r>
      <w:r>
        <w:rPr>
          <w:rFonts w:eastAsia="Times New Roman"/>
          <w:shd w:val="clear" w:color="auto" w:fill="FFFFFF"/>
          <w:lang w:val="en-US" w:eastAsia="en-US"/>
        </w:rPr>
        <w:t>;</w:t>
      </w:r>
      <w:r>
        <w:rPr>
          <w:rFonts w:eastAsia="Times New Roman"/>
          <w:shd w:val="clear" w:color="auto" w:fill="FFFFFF"/>
        </w:rPr>
        <w:t xml:space="preserve"> the presence of pedestrians were </w:t>
      </w:r>
      <w:r>
        <w:rPr>
          <w:rFonts w:eastAsia="Times New Roman"/>
          <w:shd w:val="clear" w:color="auto" w:fill="FFFFFF"/>
        </w:rPr>
        <w:lastRenderedPageBreak/>
        <w:t>expected given the time of day (5 PM);</w:t>
      </w:r>
      <w:r>
        <w:rPr>
          <w:rFonts w:eastAsia="Times New Roman"/>
          <w:shd w:val="clear" w:color="auto" w:fill="FFFFFF"/>
          <w:lang w:val="en-US" w:eastAsia="en-US"/>
        </w:rPr>
        <w:t xml:space="preserve"> and the </w:t>
      </w:r>
      <w:r w:rsidRPr="005F3CA8">
        <w:rPr>
          <w:rFonts w:eastAsia="Times New Roman"/>
          <w:lang w:val="en-US" w:eastAsia="en-US"/>
        </w:rPr>
        <w:t xml:space="preserve">presence of oncoming traffic on a narrow country road </w:t>
      </w:r>
      <w:r>
        <w:rPr>
          <w:rFonts w:eastAsia="Times New Roman"/>
          <w:lang w:val="en-US" w:eastAsia="en-US"/>
        </w:rPr>
        <w:t xml:space="preserve">itself </w:t>
      </w:r>
      <w:r w:rsidRPr="005F3CA8">
        <w:rPr>
          <w:rFonts w:eastAsia="Times New Roman"/>
          <w:lang w:val="en-US" w:eastAsia="en-US"/>
        </w:rPr>
        <w:t xml:space="preserve">should have caused </w:t>
      </w:r>
      <w:r>
        <w:rPr>
          <w:rFonts w:eastAsia="Times New Roman"/>
          <w:lang w:val="en-US" w:eastAsia="en-US"/>
        </w:rPr>
        <w:t>the defendant</w:t>
      </w:r>
      <w:r w:rsidRPr="005F3CA8">
        <w:rPr>
          <w:rFonts w:eastAsia="Times New Roman"/>
          <w:lang w:val="en-US" w:eastAsia="en-US"/>
        </w:rPr>
        <w:t xml:space="preserve"> to reduce his speed</w:t>
      </w:r>
      <w:r w:rsidRPr="0034216D">
        <w:rPr>
          <w:rFonts w:eastAsia="Times New Roman"/>
          <w:shd w:val="clear" w:color="auto" w:fill="FFFFFF"/>
        </w:rPr>
        <w:t>.</w:t>
      </w:r>
      <w:r>
        <w:rPr>
          <w:rStyle w:val="FootnoteReference"/>
          <w:rFonts w:eastAsia="Times New Roman"/>
          <w:shd w:val="clear" w:color="auto" w:fill="FFFFFF"/>
        </w:rPr>
        <w:footnoteReference w:id="780"/>
      </w:r>
      <w:r w:rsidRPr="0034216D">
        <w:rPr>
          <w:rFonts w:ascii="Times New Roman" w:eastAsia="Times New Roman" w:hAnsi="Times New Roman"/>
        </w:rPr>
        <w:t xml:space="preserve"> </w:t>
      </w:r>
    </w:p>
    <w:p w14:paraId="033EE232" w14:textId="77777777" w:rsidR="0019789C" w:rsidRPr="0080041A" w:rsidRDefault="0019789C" w:rsidP="00D93941">
      <w:pPr>
        <w:ind w:firstLine="0"/>
      </w:pPr>
    </w:p>
    <w:p w14:paraId="607E77B3" w14:textId="1FF8C914" w:rsidR="0019789C" w:rsidRDefault="0019789C" w:rsidP="00683CF7">
      <w:r w:rsidRPr="0080041A">
        <w:t xml:space="preserve">In </w:t>
      </w:r>
      <w:r w:rsidRPr="006D2C7D">
        <w:rPr>
          <w:rStyle w:val="case"/>
        </w:rPr>
        <w:t>Dursan v J Sainsbury plc</w:t>
      </w:r>
      <w:r w:rsidRPr="0080041A">
        <w:t>,</w:t>
      </w:r>
      <w:r w:rsidRPr="0080041A">
        <w:rPr>
          <w:rStyle w:val="FootnoteReference"/>
        </w:rPr>
        <w:footnoteReference w:id="781"/>
      </w:r>
      <w:r w:rsidRPr="0080041A">
        <w:t xml:space="preserve"> Mr Dursan was crossing a two-lane road, between lines of traffic, when he collided with the defendant’s lorry collided and was killed.</w:t>
      </w:r>
      <w:r w:rsidRPr="0080041A">
        <w:rPr>
          <w:rStyle w:val="FootnoteReference"/>
        </w:rPr>
        <w:footnoteReference w:id="782"/>
      </w:r>
      <w:r w:rsidRPr="0080041A">
        <w:t xml:space="preserve"> There were queues of traffic and pedestrians were crossing the road in various places; it was raining lightly and dark outside, but the road was illuminated by vehicular, street and shop lighting.</w:t>
      </w:r>
      <w:r w:rsidRPr="0080041A">
        <w:rPr>
          <w:rStyle w:val="FootnoteReference"/>
        </w:rPr>
        <w:footnoteReference w:id="783"/>
      </w:r>
      <w:r w:rsidRPr="0080041A">
        <w:t xml:space="preserve"> Mr Dursan had been wearing dark clothing and, crossing the inside lane of traffic behind a double-decker bus, he started to walk in the front of the defendant's lorry when he was struck.</w:t>
      </w:r>
      <w:r w:rsidRPr="0080041A">
        <w:rPr>
          <w:rStyle w:val="FootnoteReference"/>
        </w:rPr>
        <w:footnoteReference w:id="784"/>
      </w:r>
      <w:r w:rsidRPr="0080041A">
        <w:t xml:space="preserve"> The driver was found to have checked all of his nearside mirrors prior to moving forward, including the Class VI mirror affording a view of the blind spot area immediately in front of the vehicle.</w:t>
      </w:r>
      <w:r w:rsidRPr="0080041A">
        <w:rPr>
          <w:rStyle w:val="FootnoteReference"/>
        </w:rPr>
        <w:footnoteReference w:id="785"/>
      </w:r>
      <w:r w:rsidRPr="0080041A">
        <w:t xml:space="preserve"> On appeal, the court found that the circumstances demanded ‘a significant degree of vigilance’ from the driver, there could be ‘no justifiable criticism’ of his not re-checking mirrors before moving forward.</w:t>
      </w:r>
      <w:r w:rsidRPr="0080041A">
        <w:rPr>
          <w:rStyle w:val="FootnoteReference"/>
        </w:rPr>
        <w:footnoteReference w:id="786"/>
      </w:r>
      <w:r w:rsidRPr="0080041A">
        <w:t xml:space="preserve"> The possibility that a person would walk across the front of the lorry after having walked across the rear and down the side of the bus, was not one that ought to have been within the driver’s reasonable contemplation. </w:t>
      </w:r>
      <w:r>
        <w:t xml:space="preserve">The case was </w:t>
      </w:r>
      <w:r w:rsidRPr="0005069B">
        <w:t>dismissed as the deceased’s widow failed to establish a lack of reasonable care on the part of the defendant, necessary to establish liability.</w:t>
      </w:r>
      <w:r w:rsidRPr="0005069B">
        <w:rPr>
          <w:rStyle w:val="FootnoteReference"/>
        </w:rPr>
        <w:footnoteReference w:id="787"/>
      </w:r>
    </w:p>
    <w:p w14:paraId="6EC3028A" w14:textId="77777777" w:rsidR="0019789C" w:rsidRPr="0080041A" w:rsidRDefault="0019789C" w:rsidP="00D93941">
      <w:pPr>
        <w:ind w:firstLine="0"/>
      </w:pPr>
    </w:p>
    <w:p w14:paraId="4A455348" w14:textId="334FB937" w:rsidR="0019789C" w:rsidRPr="0080041A" w:rsidRDefault="0019789C" w:rsidP="00683CF7">
      <w:pPr>
        <w:pStyle w:val="Heading4"/>
      </w:pPr>
      <w:r w:rsidRPr="0080041A">
        <w:t xml:space="preserve">(b) </w:t>
      </w:r>
      <w:r w:rsidRPr="002A65B0">
        <w:t>Remedies</w:t>
      </w:r>
      <w:r>
        <w:t>, Sanctions or Other Outcomes</w:t>
      </w:r>
    </w:p>
    <w:p w14:paraId="5F407ADC" w14:textId="480A9CF4" w:rsidR="0019789C" w:rsidRDefault="0019789C" w:rsidP="00683CF7">
      <w:r w:rsidRPr="0080041A">
        <w:t>See above section C1.1</w:t>
      </w:r>
      <w:r>
        <w:t xml:space="preserve"> </w:t>
      </w:r>
      <w:r w:rsidRPr="0080041A">
        <w:t>(b).</w:t>
      </w:r>
      <w:r w:rsidRPr="0080041A">
        <w:rPr>
          <w:lang w:bidi="en-US"/>
        </w:rPr>
        <w:t xml:space="preserve"> Most cases involving dangerous driving are rather straightforward. If a pedestrian has been injured, they must prove on a balance of probabil</w:t>
      </w:r>
      <w:r>
        <w:rPr>
          <w:lang w:bidi="en-US"/>
        </w:rPr>
        <w:t xml:space="preserve">ities, that the injury and for </w:t>
      </w:r>
      <w:r w:rsidRPr="0080041A">
        <w:rPr>
          <w:lang w:bidi="en-US"/>
        </w:rPr>
        <w:t>pain</w:t>
      </w:r>
      <w:r>
        <w:rPr>
          <w:lang w:bidi="en-US"/>
        </w:rPr>
        <w:t>, suffering and loss of amenity</w:t>
      </w:r>
      <w:r w:rsidRPr="0080041A">
        <w:rPr>
          <w:lang w:bidi="en-US"/>
        </w:rPr>
        <w:t xml:space="preserve"> was caused by the dangerous driving. It</w:t>
      </w:r>
      <w:r>
        <w:rPr>
          <w:lang w:bidi="en-US"/>
        </w:rPr>
        <w:t xml:space="preserve"> may then turn</w:t>
      </w:r>
      <w:r w:rsidRPr="0080041A">
        <w:rPr>
          <w:lang w:bidi="en-US"/>
        </w:rPr>
        <w:t xml:space="preserve"> on evidence from a medical expert who can state whether they consider the incident to be causally li</w:t>
      </w:r>
      <w:r>
        <w:rPr>
          <w:lang w:bidi="en-US"/>
        </w:rPr>
        <w:t xml:space="preserve">nked to the injuries sustained. </w:t>
      </w:r>
      <w:r>
        <w:t xml:space="preserve">In </w:t>
      </w:r>
      <w:r w:rsidRPr="00416EBF">
        <w:rPr>
          <w:i/>
        </w:rPr>
        <w:t xml:space="preserve">H West &amp; Son Ltd </w:t>
      </w:r>
      <w:r>
        <w:rPr>
          <w:i/>
        </w:rPr>
        <w:t xml:space="preserve">and Another </w:t>
      </w:r>
      <w:r w:rsidRPr="00416EBF">
        <w:rPr>
          <w:i/>
        </w:rPr>
        <w:t>v Shephard</w:t>
      </w:r>
      <w:r>
        <w:t xml:space="preserve">, for example, the 41-year-old claimant crossing </w:t>
      </w:r>
      <w:r>
        <w:lastRenderedPageBreak/>
        <w:t>a junction when she knocked down by a motor-lorry and dragged by the defendants. She sustained severe head injuries and paralysis of all four limbs.</w:t>
      </w:r>
      <w:r>
        <w:rPr>
          <w:rStyle w:val="FootnoteReference"/>
        </w:rPr>
        <w:footnoteReference w:id="788"/>
      </w:r>
      <w:r>
        <w:t xml:space="preserve"> She was awarded </w:t>
      </w:r>
      <w:r w:rsidRPr="00416EBF">
        <w:t xml:space="preserve">£600 for future loss of earnings </w:t>
      </w:r>
      <w:r>
        <w:t>(</w:t>
      </w:r>
      <w:r w:rsidRPr="00416EBF">
        <w:t xml:space="preserve">on the basis that </w:t>
      </w:r>
      <w:r>
        <w:t xml:space="preserve">she would have </w:t>
      </w:r>
      <w:r w:rsidRPr="00416EBF">
        <w:t xml:space="preserve">earned £150 a year and her </w:t>
      </w:r>
      <w:r>
        <w:t>life expectancy was</w:t>
      </w:r>
      <w:r w:rsidRPr="00416EBF">
        <w:t xml:space="preserve"> approximately five years</w:t>
      </w:r>
      <w:r>
        <w:t xml:space="preserve">), plus </w:t>
      </w:r>
      <w:r w:rsidRPr="00416EBF">
        <w:t xml:space="preserve">£500 </w:t>
      </w:r>
      <w:r>
        <w:t xml:space="preserve">for loss of expectation of life and </w:t>
      </w:r>
      <w:r w:rsidRPr="00416EBF">
        <w:t>£17,500 general damages.</w:t>
      </w:r>
    </w:p>
    <w:p w14:paraId="5A34289C" w14:textId="1E06DF10" w:rsidR="0019789C" w:rsidRDefault="0019789C" w:rsidP="00683CF7"/>
    <w:p w14:paraId="51604866" w14:textId="0CC4E8B1" w:rsidR="0019789C" w:rsidRPr="0080041A" w:rsidRDefault="0019789C" w:rsidP="006D2C7D">
      <w:r w:rsidRPr="0080041A">
        <w:t xml:space="preserve">In terms of </w:t>
      </w:r>
      <w:r>
        <w:t>defences</w:t>
      </w:r>
      <w:r w:rsidRPr="0080041A">
        <w:t>,</w:t>
      </w:r>
      <w:r>
        <w:t xml:space="preserve"> which may reduce the amount of money awarded,</w:t>
      </w:r>
      <w:r w:rsidRPr="0080041A">
        <w:t xml:space="preserve"> the Court of Appeal has held that, in road traffic accidents involving personal injury claims, it is no longer appropriate to ignore breaches of the various Road Traffic Acts, even though they are not intended to provide a remedy in civil law to a party injured by their non-observance</w:t>
      </w:r>
      <w:r>
        <w:t>.</w:t>
      </w:r>
      <w:r w:rsidRPr="0080041A">
        <w:rPr>
          <w:rStyle w:val="FootnoteReference"/>
        </w:rPr>
        <w:footnoteReference w:id="789"/>
      </w:r>
    </w:p>
    <w:p w14:paraId="55CC06FD" w14:textId="77777777" w:rsidR="0019789C" w:rsidRDefault="0019789C" w:rsidP="006D2C7D">
      <w:pPr>
        <w:ind w:firstLine="0"/>
        <w:rPr>
          <w:lang w:bidi="en-US"/>
        </w:rPr>
      </w:pPr>
    </w:p>
    <w:p w14:paraId="0F34F87F" w14:textId="5D740AAD" w:rsidR="0019789C" w:rsidRDefault="0019789C" w:rsidP="006D2C7D">
      <w:r w:rsidRPr="0080041A">
        <w:rPr>
          <w:lang w:bidi="en-US"/>
        </w:rPr>
        <w:t xml:space="preserve">Additionally, </w:t>
      </w:r>
      <w:r w:rsidRPr="0080041A">
        <w:t>where a pedestrian is injured while standing or crossing the road, the pedestrian’s duty to take care of their own safety plays a greater role, and thus the defence of contributory negligence is a great factor, but the case law on the topic suggests that it still boils down to relative blameworthiness.</w:t>
      </w:r>
      <w:r>
        <w:rPr>
          <w:rStyle w:val="FootnoteReference"/>
        </w:rPr>
        <w:footnoteReference w:id="790"/>
      </w:r>
      <w:r w:rsidRPr="0080041A">
        <w:t xml:space="preserve"> </w:t>
      </w:r>
    </w:p>
    <w:p w14:paraId="7E2DD8C7" w14:textId="77777777" w:rsidR="0019789C" w:rsidRPr="0080041A" w:rsidRDefault="0019789C" w:rsidP="006D2C7D"/>
    <w:p w14:paraId="44608387" w14:textId="487AA433" w:rsidR="0019789C" w:rsidRDefault="0019789C" w:rsidP="00D93941">
      <w:r w:rsidRPr="0080041A">
        <w:t xml:space="preserve">In </w:t>
      </w:r>
      <w:r w:rsidRPr="00D93941">
        <w:rPr>
          <w:rStyle w:val="case"/>
        </w:rPr>
        <w:t>Osei-Antwi v South East London &amp; Kent Bus Co Ltd</w:t>
      </w:r>
      <w:r w:rsidRPr="0080041A">
        <w:t>,</w:t>
      </w:r>
      <w:r w:rsidRPr="0080041A">
        <w:rPr>
          <w:rStyle w:val="FootnoteReference"/>
        </w:rPr>
        <w:footnoteReference w:id="791"/>
      </w:r>
      <w:r w:rsidRPr="0080041A">
        <w:t xml:space="preserve"> for example, the claimant alighted from the bus and was standing on the pavement by some safety railings waiting to cross the road. The bus driver turned sharply and, as she did so, the rear of the bus crushed Osei-Antwi against the safety railings. The lower court held her to be contributorily negligent (ie two-thirds liable) because she was standing on the wrong side of the railings at the time of the accident and failed to have regard for her own safety.</w:t>
      </w:r>
      <w:r w:rsidRPr="0080041A">
        <w:rPr>
          <w:rStyle w:val="FootnoteReference"/>
        </w:rPr>
        <w:footnoteReference w:id="792"/>
      </w:r>
      <w:r w:rsidRPr="0080041A">
        <w:t xml:space="preserve"> The Court of Appeal disagreed, finding that Osei-Antwi was not partly at fault: she was not standing or walking in an obviously dangerous position; she was standing in an area designated for pedestrians to wait to cross the road; and she was not doing anything inherently dangerous or risky.</w:t>
      </w:r>
      <w:r w:rsidRPr="0080041A">
        <w:rPr>
          <w:rStyle w:val="FootnoteReference"/>
        </w:rPr>
        <w:footnoteReference w:id="793"/>
      </w:r>
      <w:r w:rsidRPr="0080041A">
        <w:t xml:space="preserve"> The Court of Appeal was quick to point out, however, that had Osei-Antwi been standing on the road (rather than the pavement), she may </w:t>
      </w:r>
      <w:r w:rsidRPr="0080041A">
        <w:lastRenderedPageBreak/>
        <w:t>have been partly to blame or to blame for the accident.</w:t>
      </w:r>
      <w:r w:rsidRPr="0080041A">
        <w:rPr>
          <w:rStyle w:val="FootnoteReference"/>
        </w:rPr>
        <w:footnoteReference w:id="794"/>
      </w:r>
      <w:r w:rsidRPr="0080041A">
        <w:t xml:space="preserve"> But as long as the pedestrian remains on the pavement, rather than standing on the road, the courts have shown a tendency not to find the claimant contributorily negligent, regardless of </w:t>
      </w:r>
      <w:r>
        <w:t>where</w:t>
      </w:r>
      <w:r w:rsidRPr="0080041A">
        <w:t xml:space="preserve"> they were standing on the pavement. </w:t>
      </w:r>
    </w:p>
    <w:p w14:paraId="45A2B33A" w14:textId="77777777" w:rsidR="0019789C" w:rsidRDefault="0019789C" w:rsidP="006D2C7D"/>
    <w:p w14:paraId="0DC2821A" w14:textId="77777777" w:rsidR="0019789C" w:rsidRPr="0080041A" w:rsidRDefault="0019789C" w:rsidP="006D2C7D">
      <w:r w:rsidRPr="0080041A">
        <w:t xml:space="preserve">In </w:t>
      </w:r>
      <w:r w:rsidRPr="00D93941">
        <w:rPr>
          <w:rStyle w:val="case"/>
        </w:rPr>
        <w:t>Chapman v Post Office</w:t>
      </w:r>
      <w:r w:rsidRPr="0080041A">
        <w:t>,</w:t>
      </w:r>
      <w:r w:rsidRPr="0080041A">
        <w:rPr>
          <w:rStyle w:val="FootnoteReference"/>
        </w:rPr>
        <w:footnoteReference w:id="795"/>
      </w:r>
      <w:r w:rsidRPr="0080041A">
        <w:t xml:space="preserve"> the claimant was hit by the mirror of a Royal Mail van; the lower court found the parties to be equally to blame, but on appeal, he was found not to be at fault, as summed up by Lord Denning:</w:t>
      </w:r>
    </w:p>
    <w:p w14:paraId="7A05E49A" w14:textId="77777777" w:rsidR="0019789C" w:rsidRPr="0080041A" w:rsidRDefault="0019789C" w:rsidP="006D2C7D">
      <w:pPr>
        <w:pStyle w:val="Quote"/>
      </w:pPr>
      <w:r w:rsidRPr="0080041A">
        <w:t>It seems to me that the finding of the judge simply cannot stand. I see no reason why a person standing on the kerb is guilty of negligence at all: even if she leans out or has her back turned to the oncoming traffic. Even if she went an inch or two into the roadway, I cannot see that that would amount to negligence in the slightest. The very fact that a van driver hits with his wing mirror a lady standing legitimately on the kerbside means that he is at fault and she is not.</w:t>
      </w:r>
      <w:r w:rsidRPr="0080041A">
        <w:rPr>
          <w:rStyle w:val="FootnoteReference"/>
        </w:rPr>
        <w:footnoteReference w:id="796"/>
      </w:r>
    </w:p>
    <w:p w14:paraId="4F1FDAE2" w14:textId="77777777" w:rsidR="0019789C" w:rsidRPr="0080041A" w:rsidRDefault="0019789C" w:rsidP="006D2C7D"/>
    <w:p w14:paraId="141D0285" w14:textId="4EFC4B6C" w:rsidR="0019789C" w:rsidRPr="0080041A" w:rsidRDefault="0019789C" w:rsidP="006D2C7D">
      <w:r w:rsidRPr="0080041A">
        <w:t xml:space="preserve">In </w:t>
      </w:r>
      <w:r w:rsidRPr="00D93941">
        <w:rPr>
          <w:rStyle w:val="case"/>
        </w:rPr>
        <w:t>McEwan v Lothian Buses PLC</w:t>
      </w:r>
      <w:r w:rsidRPr="0080041A">
        <w:t>,</w:t>
      </w:r>
      <w:r w:rsidRPr="0080041A">
        <w:rPr>
          <w:rStyle w:val="FootnoteReference"/>
        </w:rPr>
        <w:footnoteReference w:id="797"/>
      </w:r>
      <w:r w:rsidRPr="0080041A">
        <w:t xml:space="preserve"> the claimant was on the edge of pavement waiting for the bus when he was hit by the wing mirror of the bus and was found not to be contributorily negligent</w:t>
      </w:r>
      <w:r>
        <w:t xml:space="preserve">. According to Lady Clark, </w:t>
      </w:r>
    </w:p>
    <w:p w14:paraId="37F669CE" w14:textId="77777777" w:rsidR="0019789C" w:rsidRPr="0080041A" w:rsidRDefault="0019789C" w:rsidP="006D2C7D">
      <w:pPr>
        <w:pStyle w:val="Quote"/>
      </w:pPr>
      <w:r w:rsidRPr="0080041A">
        <w:t>He was on the foot pavement where, as a pedestrian, he was entitled to be and prima facie not at risk of being struck by a motor vehicle. We are of the opinion that it is reasonably foreseeable in the circumstances of this case that a pedestrian walking within about a metre of the edge of a pavement may, at any time, change direction and come to the edge of the pavement. In the circumstances of this case, the duty of a driver is to take reasonable care by driving at a speed, manner and position to avoid hitting a pedestrian with part of the bus encroaching over the pavement. Obviously such a prima facie case of negligence may be displaced in a particular case depending on the evidence.</w:t>
      </w:r>
      <w:r w:rsidRPr="0080041A">
        <w:rPr>
          <w:rStyle w:val="FootnoteReference"/>
        </w:rPr>
        <w:footnoteReference w:id="798"/>
      </w:r>
    </w:p>
    <w:p w14:paraId="0345D43D" w14:textId="77777777" w:rsidR="0019789C" w:rsidRDefault="0019789C" w:rsidP="006D2C7D"/>
    <w:p w14:paraId="7353503F" w14:textId="47AAD3A7" w:rsidR="0019789C" w:rsidRPr="00825B4D" w:rsidRDefault="0019789C" w:rsidP="00825B4D">
      <w:r w:rsidRPr="0080041A">
        <w:lastRenderedPageBreak/>
        <w:t xml:space="preserve">In </w:t>
      </w:r>
      <w:r w:rsidRPr="00825B4D">
        <w:rPr>
          <w:rStyle w:val="case"/>
        </w:rPr>
        <w:t>Whyte v Bluebird Buses Ltd</w:t>
      </w:r>
      <w:r w:rsidRPr="0080041A">
        <w:t>,</w:t>
      </w:r>
      <w:r w:rsidRPr="0080041A">
        <w:rPr>
          <w:rStyle w:val="FootnoteReference"/>
        </w:rPr>
        <w:footnoteReference w:id="799"/>
      </w:r>
      <w:r w:rsidRPr="0080041A">
        <w:t xml:space="preserve"> the 11-year-old claimant was standing on the edge of the bus stop kerb and the top half of his body was overhanging the road when we has struck by a bus.</w:t>
      </w:r>
      <w:r>
        <w:rPr>
          <w:rStyle w:val="FootnoteReference"/>
        </w:rPr>
        <w:footnoteReference w:id="800"/>
      </w:r>
      <w:r w:rsidRPr="0080041A">
        <w:t xml:space="preserve"> It was held that the bus driver was negligent given that he saw the claimant standing on the edge of the pavement, but proceeded to drive in such a way as to hit him standing on the kerb. In this case, the claimant’s age also played a factor in the finding that he was not at fault.</w:t>
      </w:r>
      <w:r w:rsidRPr="0080041A">
        <w:rPr>
          <w:rStyle w:val="FootnoteReference"/>
        </w:rPr>
        <w:footnoteReference w:id="801"/>
      </w:r>
      <w:r>
        <w:t xml:space="preserve"> Likewise, in </w:t>
      </w:r>
      <w:r w:rsidRPr="005F3CA8">
        <w:rPr>
          <w:rStyle w:val="case"/>
        </w:rPr>
        <w:t>Probert v Moore</w:t>
      </w:r>
      <w:r>
        <w:rPr>
          <w:rStyle w:val="case"/>
          <w:i w:val="0"/>
          <w:iCs/>
        </w:rPr>
        <w:t>, discussed above, the 13-year-old pedestrian was found not to be contributorily negligent because there was no positive act on her part that contributed to the collision, and ‘[h]</w:t>
      </w:r>
      <w:r w:rsidRPr="00825B4D">
        <w:t>er decision to walk home on her own was ill-informed but not culpable.</w:t>
      </w:r>
      <w:r>
        <w:t>’</w:t>
      </w:r>
      <w:r>
        <w:rPr>
          <w:rStyle w:val="FootnoteReference"/>
        </w:rPr>
        <w:footnoteReference w:id="802"/>
      </w:r>
    </w:p>
    <w:p w14:paraId="7AC3347B" w14:textId="77777777" w:rsidR="0019789C" w:rsidRPr="0080041A" w:rsidRDefault="0019789C" w:rsidP="00825B4D">
      <w:pPr>
        <w:ind w:firstLine="0"/>
      </w:pPr>
    </w:p>
    <w:p w14:paraId="2DC1556F" w14:textId="77777777" w:rsidR="0019789C" w:rsidRPr="0080041A" w:rsidRDefault="0019789C" w:rsidP="006D2C7D">
      <w:r w:rsidRPr="0080041A">
        <w:t xml:space="preserve">Lastly, in </w:t>
      </w:r>
      <w:r w:rsidRPr="00825B4D">
        <w:rPr>
          <w:rStyle w:val="case"/>
        </w:rPr>
        <w:t>Sabir v Osei-Kwabena</w:t>
      </w:r>
      <w:r w:rsidRPr="0080041A">
        <w:t>,</w:t>
      </w:r>
      <w:r w:rsidRPr="0080041A">
        <w:rPr>
          <w:rStyle w:val="FootnoteReference"/>
        </w:rPr>
        <w:footnoteReference w:id="803"/>
      </w:r>
      <w:r w:rsidRPr="0080041A">
        <w:t xml:space="preserve"> the claimant was 5 months pregnant when she was hit by car while crossing a busy road. She subsequently miscarried and suffered abdominal injuries and a traumatic brain injury, which left her with no memory of the incident.</w:t>
      </w:r>
      <w:r w:rsidRPr="0080041A">
        <w:rPr>
          <w:rStyle w:val="FootnoteReference"/>
        </w:rPr>
        <w:footnoteReference w:id="804"/>
      </w:r>
      <w:r w:rsidRPr="0080041A">
        <w:t xml:space="preserve"> The lower court found that had the driver kept a lookout, he could have avoided the accident by taking his foot off the accelerator; primary liability thus lay with the defendant, but the claimant’s damages were reduced by 25% for contributory negligence.</w:t>
      </w:r>
      <w:r w:rsidRPr="0080041A">
        <w:rPr>
          <w:rStyle w:val="FootnoteReference"/>
        </w:rPr>
        <w:footnoteReference w:id="805"/>
      </w:r>
      <w:r w:rsidRPr="0080041A">
        <w:t xml:space="preserve"> The defendant appealed, which was dismissed by the Court of Appeal, which restated that given ‘the destructive potential of the car driven even at moderate speed that it is “rare indeed for a pedestrian to be found more responsible than a driver unless the pedestrian has suddenly moved into the path of an oncoming vehicle”’.</w:t>
      </w:r>
      <w:r w:rsidRPr="0080041A">
        <w:rPr>
          <w:rStyle w:val="FootnoteReference"/>
        </w:rPr>
        <w:footnoteReference w:id="806"/>
      </w:r>
      <w:r w:rsidRPr="0080041A">
        <w:t xml:space="preserve"> Moreover, while the claimant was blameworthy to some extent, because she ‘misjudged her own safety’, she did not take a deliberate risk and her actions did not put the motorist in danger.</w:t>
      </w:r>
      <w:r w:rsidRPr="0080041A">
        <w:rPr>
          <w:rStyle w:val="FootnoteReference"/>
        </w:rPr>
        <w:footnoteReference w:id="807"/>
      </w:r>
      <w:r w:rsidRPr="0080041A">
        <w:t xml:space="preserve"> </w:t>
      </w:r>
    </w:p>
    <w:p w14:paraId="6CF75BD0" w14:textId="77777777" w:rsidR="0019789C" w:rsidRPr="0080041A" w:rsidRDefault="0019789C" w:rsidP="006D2C7D">
      <w:pPr>
        <w:rPr>
          <w:lang w:bidi="en-US"/>
        </w:rPr>
      </w:pPr>
    </w:p>
    <w:p w14:paraId="688A2841" w14:textId="77777777" w:rsidR="0019789C" w:rsidRPr="0080041A" w:rsidRDefault="0019789C" w:rsidP="006D2C7D">
      <w:pPr>
        <w:rPr>
          <w:lang w:bidi="en-US"/>
        </w:rPr>
      </w:pPr>
      <w:r w:rsidRPr="0080041A">
        <w:rPr>
          <w:lang w:bidi="en-US"/>
        </w:rPr>
        <w:t xml:space="preserve">This section discussed a range of cases relevant to driving in a manner that might endanger pedestrians, yet many of these cases are fact specific and thus do not necessarily offer clear legal principles, as noted Lord Greene in </w:t>
      </w:r>
      <w:r w:rsidRPr="00825B4D">
        <w:rPr>
          <w:rStyle w:val="case"/>
        </w:rPr>
        <w:t>Morris v Luton Corporation</w:t>
      </w:r>
      <w:r w:rsidRPr="0080041A">
        <w:rPr>
          <w:lang w:bidi="en-US"/>
        </w:rPr>
        <w:t>:</w:t>
      </w:r>
    </w:p>
    <w:p w14:paraId="173742D2" w14:textId="1A524A50" w:rsidR="0019789C" w:rsidRPr="0080041A" w:rsidRDefault="0019789C" w:rsidP="006D2C7D">
      <w:pPr>
        <w:pStyle w:val="Quote"/>
      </w:pPr>
      <w:r w:rsidRPr="0080041A">
        <w:lastRenderedPageBreak/>
        <w:t xml:space="preserve">There is sometimes a temptation for judges in dealing with these traffic cases to decide questions of fact in language which appears to lay down some rule which users of the road must observe. That is a habit into which one perhaps sometimes slips unconsciously </w:t>
      </w:r>
      <w:r>
        <w:t xml:space="preserve">– but is must be remembered that </w:t>
      </w:r>
      <w:r w:rsidRPr="0080041A">
        <w:t>the</w:t>
      </w:r>
      <w:r>
        <w:t xml:space="preserve"> cases raise</w:t>
      </w:r>
      <w:r w:rsidRPr="0080041A">
        <w:t xml:space="preserve"> questions of fact dependent on the circumstances of each case.</w:t>
      </w:r>
      <w:r w:rsidRPr="0080041A">
        <w:rPr>
          <w:rStyle w:val="FootnoteReference"/>
        </w:rPr>
        <w:footnoteReference w:id="808"/>
      </w:r>
    </w:p>
    <w:p w14:paraId="3E0B39C5" w14:textId="77777777" w:rsidR="0019789C" w:rsidRPr="0080041A" w:rsidRDefault="0019789C" w:rsidP="00825B4D">
      <w:pPr>
        <w:ind w:firstLine="0"/>
        <w:rPr>
          <w:lang w:bidi="en-US"/>
        </w:rPr>
      </w:pPr>
      <w:r w:rsidRPr="0080041A">
        <w:rPr>
          <w:lang w:bidi="en-US"/>
        </w:rPr>
        <w:t xml:space="preserve">Hence, while the cases </w:t>
      </w:r>
      <w:r>
        <w:rPr>
          <w:lang w:bidi="en-US"/>
        </w:rPr>
        <w:t xml:space="preserve">discussed above </w:t>
      </w:r>
      <w:r w:rsidRPr="0080041A">
        <w:rPr>
          <w:lang w:bidi="en-US"/>
        </w:rPr>
        <w:t>offer useful illustrations of how the components of the tort of negligence operate in different circumstances, we must also appreciate that the circumstances of how a pedestrian was injured will factor greatly in their pursuit of a remedy.</w:t>
      </w:r>
    </w:p>
    <w:p w14:paraId="47B64015" w14:textId="77777777" w:rsidR="0019789C" w:rsidRPr="0080041A" w:rsidRDefault="0019789C" w:rsidP="00825B4D">
      <w:pPr>
        <w:ind w:firstLine="0"/>
      </w:pPr>
    </w:p>
    <w:p w14:paraId="35C550A1" w14:textId="77777777" w:rsidR="0019789C" w:rsidRPr="0080041A" w:rsidRDefault="0019789C" w:rsidP="00683CF7">
      <w:pPr>
        <w:pStyle w:val="Heading4"/>
      </w:pPr>
      <w:r w:rsidRPr="0080041A">
        <w:t xml:space="preserve">(c) Enforcement </w:t>
      </w:r>
    </w:p>
    <w:p w14:paraId="424F1222" w14:textId="5A3924D8" w:rsidR="0019789C" w:rsidRDefault="0019789C" w:rsidP="00683CF7">
      <w:r w:rsidRPr="0080041A">
        <w:t>See above section C1.1</w:t>
      </w:r>
      <w:r>
        <w:t xml:space="preserve"> </w:t>
      </w:r>
      <w:r w:rsidRPr="0080041A">
        <w:t>(</w:t>
      </w:r>
      <w:r>
        <w:t>c</w:t>
      </w:r>
      <w:r w:rsidRPr="0080041A">
        <w:t>).</w:t>
      </w:r>
    </w:p>
    <w:p w14:paraId="6E777705" w14:textId="77777777" w:rsidR="0019789C" w:rsidRDefault="0019789C" w:rsidP="00683CF7"/>
    <w:p w14:paraId="781DDE65" w14:textId="77777777" w:rsidR="0019789C" w:rsidRPr="0080041A" w:rsidRDefault="0019789C" w:rsidP="00683CF7"/>
    <w:p w14:paraId="2CE9B1F8" w14:textId="77777777" w:rsidR="0019789C" w:rsidRPr="0080041A" w:rsidRDefault="0019789C" w:rsidP="00683CF7">
      <w:pPr>
        <w:pStyle w:val="Heading2"/>
      </w:pPr>
      <w:r w:rsidRPr="0080041A">
        <w:t xml:space="preserve">C5 Cycling, scootering and other travelling on pavements which might endanger pedestrians </w:t>
      </w:r>
    </w:p>
    <w:p w14:paraId="3E67A701" w14:textId="123381A3" w:rsidR="0019789C" w:rsidRDefault="0019789C" w:rsidP="00683CF7">
      <w:pPr>
        <w:pStyle w:val="Heading3"/>
      </w:pPr>
      <w:r>
        <w:t>C5.1 Common Law Negligence</w:t>
      </w:r>
    </w:p>
    <w:p w14:paraId="5F61E501" w14:textId="420AE649" w:rsidR="0019789C" w:rsidRDefault="0019789C" w:rsidP="00427643">
      <w:pPr>
        <w:pStyle w:val="Heading4"/>
        <w:numPr>
          <w:ilvl w:val="0"/>
          <w:numId w:val="28"/>
        </w:numPr>
      </w:pPr>
      <w:r w:rsidRPr="0080041A">
        <w:t>Description and Examples</w:t>
      </w:r>
    </w:p>
    <w:p w14:paraId="3D4B5E90" w14:textId="724F332A" w:rsidR="0019789C" w:rsidRDefault="0019789C" w:rsidP="00EB5053">
      <w:r>
        <w:t>T</w:t>
      </w:r>
      <w:r w:rsidRPr="0080041A">
        <w:t>he most common means of challenging injury</w:t>
      </w:r>
      <w:r>
        <w:t>, harm</w:t>
      </w:r>
      <w:r w:rsidRPr="0080041A">
        <w:t xml:space="preserve"> or loss caused by </w:t>
      </w:r>
      <w:r>
        <w:t xml:space="preserve">cycling, scootering and </w:t>
      </w:r>
      <w:r w:rsidRPr="0080041A">
        <w:t xml:space="preserve">other travelling on </w:t>
      </w:r>
      <w:r>
        <w:t>pavements</w:t>
      </w:r>
      <w:r w:rsidRPr="0080041A">
        <w:t xml:space="preserve"> is through the common law tort of negligence, outlined above in section C1.1. </w:t>
      </w:r>
    </w:p>
    <w:p w14:paraId="0F778518" w14:textId="77777777" w:rsidR="0019789C" w:rsidRDefault="0019789C" w:rsidP="00EB5053"/>
    <w:p w14:paraId="31385065" w14:textId="0E46686E" w:rsidR="0019789C" w:rsidRDefault="0019789C" w:rsidP="00963AEE">
      <w:pPr>
        <w:rPr>
          <w:rStyle w:val="case"/>
          <w:i w:val="0"/>
          <w:iCs/>
        </w:rPr>
      </w:pPr>
      <w:r>
        <w:t>Cyclists and other road-users owe a duty of care to each other</w:t>
      </w:r>
      <w:r w:rsidRPr="0080041A">
        <w:t xml:space="preserve">, but also to pedestrians. </w:t>
      </w:r>
      <w:r>
        <w:t xml:space="preserve">In </w:t>
      </w:r>
      <w:r w:rsidRPr="00686DDA">
        <w:rPr>
          <w:rStyle w:val="case"/>
        </w:rPr>
        <w:t>Brushett v Hazeldean</w:t>
      </w:r>
      <w:r>
        <w:rPr>
          <w:rStyle w:val="case"/>
          <w:i w:val="0"/>
          <w:iCs/>
        </w:rPr>
        <w:t>,</w:t>
      </w:r>
      <w:bookmarkStart w:id="79" w:name="_Ref93672815"/>
      <w:r>
        <w:rPr>
          <w:rStyle w:val="FootnoteReference"/>
        </w:rPr>
        <w:footnoteReference w:id="809"/>
      </w:r>
      <w:bookmarkEnd w:id="79"/>
      <w:r>
        <w:rPr>
          <w:rStyle w:val="case"/>
          <w:i w:val="0"/>
          <w:iCs/>
        </w:rPr>
        <w:t xml:space="preserve"> a pedestrian was hit by a cyclist while using a pedestrian crossing. The defendant had the right of way and sounded his horn while approaching the crossing and accelerated towards the junction. The other pedestrians moved to create a gap but the pedestrian claimant was looking at her mobile phone. The </w:t>
      </w:r>
      <w:r>
        <w:rPr>
          <w:rStyle w:val="case"/>
          <w:i w:val="0"/>
          <w:iCs/>
        </w:rPr>
        <w:lastRenderedPageBreak/>
        <w:t>cyclist defendant then collided with the pedestrian who had stepped into his path when attempting to return to the pedestrian island</w:t>
      </w:r>
      <w:r w:rsidRPr="00F25EF9">
        <w:rPr>
          <w:rStyle w:val="case"/>
          <w:i w:val="0"/>
          <w:iCs/>
        </w:rPr>
        <w:t>.</w:t>
      </w:r>
      <w:r>
        <w:rPr>
          <w:rStyle w:val="FootnoteReference"/>
          <w:iCs/>
        </w:rPr>
        <w:footnoteReference w:id="810"/>
      </w:r>
      <w:r w:rsidRPr="00F25EF9">
        <w:rPr>
          <w:rStyle w:val="case"/>
          <w:i w:val="0"/>
          <w:iCs/>
        </w:rPr>
        <w:t xml:space="preserve"> </w:t>
      </w:r>
      <w:r>
        <w:rPr>
          <w:rStyle w:val="case"/>
          <w:i w:val="0"/>
          <w:iCs/>
        </w:rPr>
        <w:t xml:space="preserve">The judge noted that </w:t>
      </w:r>
      <w:r w:rsidRPr="00F25EF9">
        <w:rPr>
          <w:rStyle w:val="case"/>
          <w:i w:val="0"/>
          <w:iCs/>
        </w:rPr>
        <w:t>the Defendant owed a duty to other road users to drive with reasonable care and skill</w:t>
      </w:r>
      <w:r>
        <w:rPr>
          <w:rStyle w:val="case"/>
          <w:i w:val="0"/>
          <w:iCs/>
        </w:rPr>
        <w:t>. He fell</w:t>
      </w:r>
      <w:r w:rsidRPr="00F25EF9">
        <w:rPr>
          <w:rStyle w:val="case"/>
          <w:i w:val="0"/>
          <w:iCs/>
        </w:rPr>
        <w:t xml:space="preserve"> below </w:t>
      </w:r>
      <w:r>
        <w:rPr>
          <w:rStyle w:val="case"/>
          <w:i w:val="0"/>
          <w:iCs/>
        </w:rPr>
        <w:t xml:space="preserve">the </w:t>
      </w:r>
      <w:r w:rsidRPr="00F25EF9">
        <w:rPr>
          <w:rStyle w:val="case"/>
          <w:i w:val="0"/>
          <w:iCs/>
        </w:rPr>
        <w:t>standard to be expected of a cyclist</w:t>
      </w:r>
      <w:r>
        <w:rPr>
          <w:rStyle w:val="case"/>
          <w:i w:val="0"/>
          <w:iCs/>
        </w:rPr>
        <w:t xml:space="preserve"> as he made </w:t>
      </w:r>
      <w:r w:rsidRPr="00F25EF9">
        <w:rPr>
          <w:rStyle w:val="case"/>
          <w:i w:val="0"/>
          <w:iCs/>
        </w:rPr>
        <w:t xml:space="preserve">a judgment call that it was clear to proceed </w:t>
      </w:r>
      <w:r>
        <w:rPr>
          <w:rStyle w:val="case"/>
          <w:i w:val="0"/>
          <w:iCs/>
        </w:rPr>
        <w:t xml:space="preserve">even though there were </w:t>
      </w:r>
      <w:r w:rsidRPr="00F25EF9">
        <w:rPr>
          <w:rStyle w:val="case"/>
          <w:i w:val="0"/>
          <w:iCs/>
        </w:rPr>
        <w:t xml:space="preserve">pedestrians </w:t>
      </w:r>
      <w:r>
        <w:rPr>
          <w:rStyle w:val="case"/>
          <w:i w:val="0"/>
          <w:iCs/>
        </w:rPr>
        <w:t>on the crossing.</w:t>
      </w:r>
      <w:r>
        <w:rPr>
          <w:rStyle w:val="FootnoteReference"/>
          <w:iCs/>
        </w:rPr>
        <w:footnoteReference w:id="811"/>
      </w:r>
      <w:r>
        <w:rPr>
          <w:rStyle w:val="case"/>
          <w:i w:val="0"/>
          <w:iCs/>
        </w:rPr>
        <w:t xml:space="preserve"> The judge found </w:t>
      </w:r>
      <w:r w:rsidRPr="00F25EF9">
        <w:rPr>
          <w:rStyle w:val="case"/>
          <w:i w:val="0"/>
          <w:iCs/>
        </w:rPr>
        <w:t>apportio</w:t>
      </w:r>
      <w:r>
        <w:rPr>
          <w:rStyle w:val="case"/>
          <w:i w:val="0"/>
          <w:iCs/>
        </w:rPr>
        <w:t>ned</w:t>
      </w:r>
      <w:r w:rsidRPr="00F25EF9">
        <w:rPr>
          <w:rStyle w:val="case"/>
          <w:i w:val="0"/>
          <w:iCs/>
        </w:rPr>
        <w:t xml:space="preserve"> liability 50/50 between the parties</w:t>
      </w:r>
      <w:r>
        <w:rPr>
          <w:rStyle w:val="case"/>
          <w:i w:val="0"/>
          <w:iCs/>
        </w:rPr>
        <w:t>: the claimant was crossing the road while on her phone, yet the defendant could see the pedestrians on the crossing, and ‘a</w:t>
      </w:r>
      <w:r w:rsidRPr="00F25EF9">
        <w:rPr>
          <w:rStyle w:val="case"/>
          <w:i w:val="0"/>
          <w:iCs/>
        </w:rPr>
        <w:t xml:space="preserve"> cyclist must be prepared for the pedestrians to behave in unexpected ways</w:t>
      </w:r>
      <w:r>
        <w:rPr>
          <w:rStyle w:val="case"/>
          <w:i w:val="0"/>
          <w:iCs/>
        </w:rPr>
        <w:t>’</w:t>
      </w:r>
      <w:r w:rsidRPr="00F25EF9">
        <w:rPr>
          <w:rStyle w:val="case"/>
          <w:i w:val="0"/>
          <w:iCs/>
        </w:rPr>
        <w:t>.</w:t>
      </w:r>
      <w:r>
        <w:rPr>
          <w:rStyle w:val="FootnoteReference"/>
        </w:rPr>
        <w:footnoteReference w:id="812"/>
      </w:r>
    </w:p>
    <w:p w14:paraId="55785979" w14:textId="77777777" w:rsidR="0019789C" w:rsidRDefault="0019789C" w:rsidP="00522ADE">
      <w:pPr>
        <w:rPr>
          <w:lang w:bidi="en-US"/>
        </w:rPr>
      </w:pPr>
    </w:p>
    <w:p w14:paraId="788497A7" w14:textId="721094DB" w:rsidR="0019789C" w:rsidRDefault="0019789C" w:rsidP="0043227F">
      <w:pPr>
        <w:rPr>
          <w:lang w:bidi="en-US"/>
        </w:rPr>
      </w:pPr>
      <w:r>
        <w:rPr>
          <w:lang w:bidi="en-US"/>
        </w:rPr>
        <w:t xml:space="preserve">The </w:t>
      </w:r>
      <w:r w:rsidRPr="00686DDA">
        <w:rPr>
          <w:rStyle w:val="case"/>
        </w:rPr>
        <w:t>Brushett</w:t>
      </w:r>
      <w:r>
        <w:rPr>
          <w:lang w:bidi="en-US"/>
        </w:rPr>
        <w:t xml:space="preserve"> case attracted a good amount of media attention, much of which focused on the fact that the cyclist had a green light and the pedestrian was using her mobile phone.</w:t>
      </w:r>
      <w:r>
        <w:rPr>
          <w:rStyle w:val="FootnoteReference"/>
          <w:lang w:bidi="en-US"/>
        </w:rPr>
        <w:footnoteReference w:id="813"/>
      </w:r>
      <w:r>
        <w:rPr>
          <w:lang w:bidi="en-US"/>
        </w:rPr>
        <w:t xml:space="preserve"> Yet, according to the judge, </w:t>
      </w:r>
      <w:r w:rsidRPr="00E86402">
        <w:rPr>
          <w:lang w:bidi="en-US"/>
        </w:rPr>
        <w:t xml:space="preserve">even where a motorist or cyclist </w:t>
      </w:r>
      <w:r>
        <w:rPr>
          <w:lang w:bidi="en-US"/>
        </w:rPr>
        <w:t>has</w:t>
      </w:r>
      <w:r w:rsidRPr="00E86402">
        <w:rPr>
          <w:lang w:bidi="en-US"/>
        </w:rPr>
        <w:t xml:space="preserve"> the right of way, pedestrians who are </w:t>
      </w:r>
      <w:r>
        <w:rPr>
          <w:lang w:bidi="en-US"/>
        </w:rPr>
        <w:t xml:space="preserve">already </w:t>
      </w:r>
      <w:r w:rsidRPr="00E86402">
        <w:rPr>
          <w:lang w:bidi="en-US"/>
        </w:rPr>
        <w:t xml:space="preserve">established on the road </w:t>
      </w:r>
      <w:r>
        <w:rPr>
          <w:lang w:bidi="en-US"/>
        </w:rPr>
        <w:t>must be given way.</w:t>
      </w:r>
      <w:r>
        <w:rPr>
          <w:rStyle w:val="FootnoteReference"/>
          <w:lang w:bidi="en-US"/>
        </w:rPr>
        <w:footnoteReference w:id="814"/>
      </w:r>
      <w:r>
        <w:rPr>
          <w:lang w:bidi="en-US"/>
        </w:rPr>
        <w:t xml:space="preserve"> Yet the courts have been willing prioritize the position of pedestrians over those of other road users, even when the pedestrians are partly to blame. This notion has been referred to as ‘causative potency’ – that is, the potential damage that one road user could cause to the other.</w:t>
      </w:r>
      <w:r>
        <w:rPr>
          <w:rStyle w:val="FootnoteReference"/>
          <w:lang w:bidi="en-US"/>
        </w:rPr>
        <w:footnoteReference w:id="815"/>
      </w:r>
      <w:r>
        <w:rPr>
          <w:lang w:bidi="en-US"/>
        </w:rPr>
        <w:t xml:space="preserve"> For example, a car will cause greater damage to a cyclist than it would another car, and a cyclist would cause greater damage to a pedestrian than another cyclist or a car. Thus, t</w:t>
      </w:r>
      <w:r w:rsidRPr="00511748">
        <w:rPr>
          <w:lang w:bidi="en-US"/>
        </w:rPr>
        <w:t xml:space="preserve">he </w:t>
      </w:r>
      <w:r>
        <w:rPr>
          <w:lang w:bidi="en-US"/>
        </w:rPr>
        <w:t>road user</w:t>
      </w:r>
      <w:r w:rsidRPr="00511748">
        <w:rPr>
          <w:lang w:bidi="en-US"/>
        </w:rPr>
        <w:t xml:space="preserve"> </w:t>
      </w:r>
      <w:r>
        <w:rPr>
          <w:lang w:bidi="en-US"/>
        </w:rPr>
        <w:t xml:space="preserve">with a greater potential to cause damage </w:t>
      </w:r>
      <w:r w:rsidRPr="00511748">
        <w:rPr>
          <w:lang w:bidi="en-US"/>
        </w:rPr>
        <w:t xml:space="preserve">often bears </w:t>
      </w:r>
      <w:r>
        <w:rPr>
          <w:lang w:bidi="en-US"/>
        </w:rPr>
        <w:t>a</w:t>
      </w:r>
      <w:r w:rsidRPr="00511748">
        <w:rPr>
          <w:lang w:bidi="en-US"/>
        </w:rPr>
        <w:t xml:space="preserve"> greater burden</w:t>
      </w:r>
      <w:r>
        <w:rPr>
          <w:lang w:bidi="en-US"/>
        </w:rPr>
        <w:t xml:space="preserve"> before the courts in terms determining liability, as was evident in </w:t>
      </w:r>
      <w:r w:rsidRPr="00686DDA">
        <w:rPr>
          <w:rStyle w:val="case"/>
        </w:rPr>
        <w:t>Brushett</w:t>
      </w:r>
      <w:r>
        <w:rPr>
          <w:lang w:bidi="en-US"/>
        </w:rPr>
        <w:t>.</w:t>
      </w:r>
    </w:p>
    <w:p w14:paraId="56E7003B" w14:textId="77777777" w:rsidR="0019789C" w:rsidRPr="00E86402" w:rsidRDefault="0019789C" w:rsidP="0043227F">
      <w:pPr>
        <w:rPr>
          <w:lang w:bidi="en-US"/>
        </w:rPr>
      </w:pPr>
    </w:p>
    <w:p w14:paraId="5A4B24CA" w14:textId="074554E2" w:rsidR="0019789C" w:rsidRDefault="0019789C" w:rsidP="0043227F">
      <w:pPr>
        <w:rPr>
          <w:lang w:bidi="en-US"/>
        </w:rPr>
      </w:pPr>
      <w:r>
        <w:rPr>
          <w:lang w:bidi="en-US"/>
        </w:rPr>
        <w:t xml:space="preserve">Still, there is a noticeable absence of negligence cases involving collisions between cyclists and pedestrians on the pavement. Possible explanations for this are that such </w:t>
      </w:r>
      <w:r>
        <w:rPr>
          <w:lang w:bidi="en-US"/>
        </w:rPr>
        <w:lastRenderedPageBreak/>
        <w:t>situations are rare, the cyclist is difficult to identify, or there is little debate about liability, and thus the claims are rarely heard by the courts. Additionally, a cyclist’s lack of insurance may limit a pedestrians civil claim.</w:t>
      </w:r>
      <w:r>
        <w:rPr>
          <w:rStyle w:val="FootnoteReference"/>
          <w:lang w:bidi="en-US"/>
        </w:rPr>
        <w:footnoteReference w:id="816"/>
      </w:r>
      <w:r>
        <w:rPr>
          <w:lang w:bidi="en-US"/>
        </w:rPr>
        <w:t xml:space="preserve"> There have, however, been a number of news reports of incidents of cyclists colliding with pedestrians.</w:t>
      </w:r>
      <w:r>
        <w:rPr>
          <w:rStyle w:val="FootnoteReference"/>
          <w:lang w:bidi="en-US"/>
        </w:rPr>
        <w:footnoteReference w:id="817"/>
      </w:r>
      <w:r>
        <w:rPr>
          <w:lang w:bidi="en-US"/>
        </w:rPr>
        <w:t xml:space="preserve"> </w:t>
      </w:r>
    </w:p>
    <w:p w14:paraId="09D612E2" w14:textId="77777777" w:rsidR="0019789C" w:rsidRPr="00522ADE" w:rsidRDefault="0019789C" w:rsidP="0043227F">
      <w:pPr>
        <w:rPr>
          <w:lang w:bidi="en-US"/>
        </w:rPr>
      </w:pPr>
    </w:p>
    <w:p w14:paraId="55BD7791" w14:textId="4248CD61" w:rsidR="0019789C" w:rsidRDefault="0019789C" w:rsidP="002E77FC">
      <w:pPr>
        <w:pStyle w:val="Heading4"/>
      </w:pPr>
      <w:r w:rsidRPr="0080041A">
        <w:t xml:space="preserve">(b) </w:t>
      </w:r>
      <w:r w:rsidRPr="002A65B0">
        <w:t>Remedies</w:t>
      </w:r>
      <w:r>
        <w:t>, Sanctions or Other Outcomes</w:t>
      </w:r>
    </w:p>
    <w:p w14:paraId="7DFBD46E" w14:textId="749F2517" w:rsidR="0019789C" w:rsidRDefault="0019789C" w:rsidP="00B8072E">
      <w:r w:rsidRPr="0080041A">
        <w:t>See above section C1.1</w:t>
      </w:r>
      <w:r>
        <w:t xml:space="preserve"> </w:t>
      </w:r>
      <w:r w:rsidRPr="0080041A">
        <w:t>(b)</w:t>
      </w:r>
      <w:r>
        <w:t xml:space="preserve"> and C4.1 (b).</w:t>
      </w:r>
    </w:p>
    <w:p w14:paraId="185EDE04" w14:textId="77777777" w:rsidR="0019789C" w:rsidRPr="00B8072E" w:rsidRDefault="0019789C" w:rsidP="00B8072E">
      <w:pPr>
        <w:rPr>
          <w:lang w:bidi="en-US"/>
        </w:rPr>
      </w:pPr>
    </w:p>
    <w:p w14:paraId="34F71B64" w14:textId="77777777" w:rsidR="0019789C" w:rsidRPr="0080041A" w:rsidRDefault="0019789C" w:rsidP="002E77FC">
      <w:pPr>
        <w:pStyle w:val="Heading4"/>
      </w:pPr>
      <w:r w:rsidRPr="0080041A">
        <w:t>(c) Enforcement</w:t>
      </w:r>
    </w:p>
    <w:p w14:paraId="36BC24FD" w14:textId="77777777" w:rsidR="0019789C" w:rsidRDefault="0019789C" w:rsidP="00B8072E">
      <w:r w:rsidRPr="0080041A">
        <w:t>See above section C1.1</w:t>
      </w:r>
      <w:r>
        <w:t xml:space="preserve"> </w:t>
      </w:r>
      <w:r w:rsidRPr="0080041A">
        <w:t>(</w:t>
      </w:r>
      <w:r>
        <w:t>c</w:t>
      </w:r>
      <w:r w:rsidRPr="0080041A">
        <w:t>).</w:t>
      </w:r>
    </w:p>
    <w:p w14:paraId="06E2A060" w14:textId="77777777" w:rsidR="0019789C" w:rsidRPr="0080041A" w:rsidRDefault="0019789C" w:rsidP="002E77FC"/>
    <w:p w14:paraId="4E5DFB02" w14:textId="77777777" w:rsidR="0019789C" w:rsidRDefault="0019789C" w:rsidP="00683CF7">
      <w:pPr>
        <w:rPr>
          <w:lang w:bidi="en-US"/>
        </w:rPr>
      </w:pPr>
    </w:p>
    <w:p w14:paraId="77FD8A5E" w14:textId="77777777" w:rsidR="0019789C" w:rsidRDefault="0019789C" w:rsidP="00284CD6">
      <w:pPr>
        <w:pStyle w:val="Heading2"/>
      </w:pPr>
      <w:r>
        <w:t>C6 Other issues relating to the design, management or maintenance of streets</w:t>
      </w:r>
    </w:p>
    <w:p w14:paraId="06734A55" w14:textId="77777777" w:rsidR="0019789C" w:rsidRDefault="0019789C" w:rsidP="00683CF7">
      <w:pPr>
        <w:rPr>
          <w:lang w:bidi="en-US"/>
        </w:rPr>
      </w:pPr>
    </w:p>
    <w:p w14:paraId="0FF740C0" w14:textId="4A45B4B0" w:rsidR="0019789C" w:rsidRDefault="0019789C" w:rsidP="00683CF7">
      <w:pPr>
        <w:pStyle w:val="Heading2"/>
      </w:pPr>
      <w:r>
        <w:t>C7 Noteworthy P</w:t>
      </w:r>
      <w:r w:rsidRPr="005F05E2">
        <w:t>roject-</w:t>
      </w:r>
      <w:r>
        <w:t>R</w:t>
      </w:r>
      <w:r w:rsidRPr="005F05E2">
        <w:t xml:space="preserve">elated </w:t>
      </w:r>
      <w:r>
        <w:t>Observations and Concerns</w:t>
      </w:r>
    </w:p>
    <w:p w14:paraId="6D140651" w14:textId="44CE23C8" w:rsidR="0019789C" w:rsidRDefault="0019789C" w:rsidP="002040FE">
      <w:r>
        <w:t>In terms of C1 (Failing</w:t>
      </w:r>
      <w:r w:rsidRPr="0080041A">
        <w:t xml:space="preserve"> to </w:t>
      </w:r>
      <w:r>
        <w:t>s</w:t>
      </w:r>
      <w:r w:rsidRPr="0080041A">
        <w:t xml:space="preserve">afeguard </w:t>
      </w:r>
      <w:r>
        <w:t>p</w:t>
      </w:r>
      <w:r w:rsidRPr="0080041A">
        <w:t xml:space="preserve">edestrians from </w:t>
      </w:r>
      <w:r>
        <w:t>h</w:t>
      </w:r>
      <w:r w:rsidRPr="0080041A">
        <w:t xml:space="preserve">oles, </w:t>
      </w:r>
      <w:r>
        <w:t>r</w:t>
      </w:r>
      <w:r w:rsidRPr="0080041A">
        <w:t xml:space="preserve">oadworks, </w:t>
      </w:r>
      <w:r>
        <w:t>t</w:t>
      </w:r>
      <w:r w:rsidRPr="0080041A">
        <w:t xml:space="preserve">raffic </w:t>
      </w:r>
      <w:r>
        <w:t>f</w:t>
      </w:r>
      <w:r w:rsidRPr="0080041A">
        <w:t xml:space="preserve">low and </w:t>
      </w:r>
      <w:r>
        <w:t>o</w:t>
      </w:r>
      <w:r w:rsidRPr="0080041A">
        <w:t xml:space="preserve">ther </w:t>
      </w:r>
      <w:r>
        <w:t>h</w:t>
      </w:r>
      <w:r w:rsidRPr="0080041A">
        <w:t>azards</w:t>
      </w:r>
      <w:r>
        <w:t>) and C2 (Obstructing</w:t>
      </w:r>
      <w:r w:rsidRPr="0080041A">
        <w:t xml:space="preserve"> </w:t>
      </w:r>
      <w:r>
        <w:t>r</w:t>
      </w:r>
      <w:r w:rsidRPr="0080041A">
        <w:t xml:space="preserve">oads or </w:t>
      </w:r>
      <w:r>
        <w:t>p</w:t>
      </w:r>
      <w:r w:rsidRPr="0080041A">
        <w:t>avements</w:t>
      </w:r>
      <w:r>
        <w:t>), we made two general observations:</w:t>
      </w:r>
    </w:p>
    <w:p w14:paraId="60C9AFB9" w14:textId="77777777" w:rsidR="0019789C" w:rsidRDefault="0019789C" w:rsidP="002040FE">
      <w:pPr>
        <w:ind w:firstLine="0"/>
      </w:pPr>
    </w:p>
    <w:p w14:paraId="360CA501" w14:textId="10316140" w:rsidR="0019789C" w:rsidRDefault="0019789C" w:rsidP="00427643">
      <w:pPr>
        <w:pStyle w:val="ListParagraph"/>
        <w:numPr>
          <w:ilvl w:val="0"/>
          <w:numId w:val="23"/>
        </w:numPr>
      </w:pPr>
      <w:r>
        <w:t>First, there are statutory duties which are unenforceable by individual pedestrians: A</w:t>
      </w:r>
      <w:r w:rsidRPr="0080041A">
        <w:t xml:space="preserve"> number of statutes set out duties on the part of local authorities </w:t>
      </w:r>
      <w:r>
        <w:t>(</w:t>
      </w:r>
      <w:r w:rsidRPr="0080041A">
        <w:t>or their contractors or agents</w:t>
      </w:r>
      <w:r>
        <w:t>)</w:t>
      </w:r>
      <w:r w:rsidRPr="0080041A">
        <w:t xml:space="preserve">, but do not give rise to legal action for breach of statutory duty. The problem is thus that such obligations provide no means of enforcement for pedestrians or remedy in cases of injury or loss. </w:t>
      </w:r>
      <w:r>
        <w:t xml:space="preserve">The result is that there may be a ‘protection gap’ that exists between common law negligence and </w:t>
      </w:r>
      <w:r>
        <w:lastRenderedPageBreak/>
        <w:t>breach of statutory duty, but is ultimately justified in the interest of preserving a local authority’s limited resources.</w:t>
      </w:r>
    </w:p>
    <w:p w14:paraId="64CB7C2E" w14:textId="77777777" w:rsidR="0019789C" w:rsidRDefault="0019789C" w:rsidP="002E77FC">
      <w:pPr>
        <w:ind w:firstLine="0"/>
      </w:pPr>
    </w:p>
    <w:p w14:paraId="1239FAAB" w14:textId="3017F96C" w:rsidR="0019789C" w:rsidRDefault="0019789C" w:rsidP="00427643">
      <w:pPr>
        <w:pStyle w:val="ListParagraph"/>
        <w:numPr>
          <w:ilvl w:val="0"/>
          <w:numId w:val="23"/>
        </w:numPr>
      </w:pPr>
      <w:r>
        <w:t xml:space="preserve">Second, the torts of breach of statutory duty and common law negligence are inherently intertwined, yet </w:t>
      </w:r>
      <w:r w:rsidRPr="0080041A">
        <w:t xml:space="preserve">if a case is decided on one ground, the court stops short of deciding it on all alleged claims. </w:t>
      </w:r>
      <w:r>
        <w:t>As a result, there is a lack of understanding about the scope and enforceability of certain statutory provisions. For example, i</w:t>
      </w:r>
      <w:r w:rsidRPr="0080041A">
        <w:t xml:space="preserve">n </w:t>
      </w:r>
      <w:r w:rsidRPr="000C2325">
        <w:rPr>
          <w:rStyle w:val="case"/>
        </w:rPr>
        <w:t>Haley v London Electricity Board</w:t>
      </w:r>
      <w:r w:rsidRPr="002040FE">
        <w:rPr>
          <w:iCs/>
          <w:lang w:bidi="en-US"/>
        </w:rPr>
        <w:t>, discussed above under the heading of common law negligence,</w:t>
      </w:r>
      <w:r>
        <w:rPr>
          <w:rStyle w:val="FootnoteReference"/>
          <w:iCs/>
          <w:lang w:bidi="en-US"/>
        </w:rPr>
        <w:footnoteReference w:id="818"/>
      </w:r>
      <w:r w:rsidRPr="002040FE">
        <w:rPr>
          <w:iCs/>
          <w:lang w:bidi="en-US"/>
        </w:rPr>
        <w:t xml:space="preserve"> the </w:t>
      </w:r>
      <w:r>
        <w:rPr>
          <w:iCs/>
          <w:lang w:bidi="en-US"/>
        </w:rPr>
        <w:t xml:space="preserve">blind </w:t>
      </w:r>
      <w:r w:rsidRPr="002040FE">
        <w:rPr>
          <w:iCs/>
          <w:lang w:bidi="en-US"/>
        </w:rPr>
        <w:t xml:space="preserve">pedestrian </w:t>
      </w:r>
      <w:r>
        <w:rPr>
          <w:iCs/>
          <w:lang w:bidi="en-US"/>
        </w:rPr>
        <w:t>who</w:t>
      </w:r>
      <w:r w:rsidRPr="002040FE">
        <w:rPr>
          <w:iCs/>
          <w:lang w:bidi="en-US"/>
        </w:rPr>
        <w:t xml:space="preserve"> fell into a trench brought legal action for negligence and</w:t>
      </w:r>
      <w:r w:rsidRPr="0080041A">
        <w:rPr>
          <w:lang w:bidi="en-US"/>
        </w:rPr>
        <w:t xml:space="preserve"> under s 8 of the Public Utilities Street Works Act 1950.</w:t>
      </w:r>
      <w:r>
        <w:rPr>
          <w:rStyle w:val="FootnoteReference"/>
          <w:lang w:bidi="en-US"/>
        </w:rPr>
        <w:footnoteReference w:id="819"/>
      </w:r>
      <w:r w:rsidRPr="0080041A">
        <w:rPr>
          <w:lang w:bidi="en-US"/>
        </w:rPr>
        <w:t xml:space="preserve"> However, the court did not decide whether there was a breach of statutory duty because the claim succeeded under common law negligence; hence, the case provides no precedent to guide futu</w:t>
      </w:r>
      <w:r>
        <w:rPr>
          <w:lang w:bidi="en-US"/>
        </w:rPr>
        <w:t xml:space="preserve">re claims of a similar nature. </w:t>
      </w:r>
    </w:p>
    <w:p w14:paraId="588BEA3A" w14:textId="0AA58D5D" w:rsidR="0019789C" w:rsidRDefault="0019789C" w:rsidP="0047588E">
      <w:pPr>
        <w:ind w:firstLine="0"/>
      </w:pPr>
    </w:p>
    <w:p w14:paraId="4B1ED023" w14:textId="2C1D7671" w:rsidR="0019789C" w:rsidRDefault="0019789C" w:rsidP="002040FE">
      <w:r>
        <w:t>In terms of C3 (I</w:t>
      </w:r>
      <w:r w:rsidRPr="0080041A">
        <w:t xml:space="preserve">naccessible or </w:t>
      </w:r>
      <w:r>
        <w:t>u</w:t>
      </w:r>
      <w:r w:rsidRPr="0080041A">
        <w:t xml:space="preserve">nsafe </w:t>
      </w:r>
      <w:r>
        <w:t>d</w:t>
      </w:r>
      <w:r w:rsidRPr="0080041A">
        <w:t xml:space="preserve">esign of </w:t>
      </w:r>
      <w:r>
        <w:t>s</w:t>
      </w:r>
      <w:r w:rsidRPr="0080041A">
        <w:t xml:space="preserve">treets or </w:t>
      </w:r>
      <w:r>
        <w:t>f</w:t>
      </w:r>
      <w:r w:rsidRPr="0080041A">
        <w:t>eatures</w:t>
      </w:r>
      <w:r>
        <w:t>),</w:t>
      </w:r>
      <w:r w:rsidRPr="002040FE">
        <w:t xml:space="preserve"> </w:t>
      </w:r>
      <w:r>
        <w:t>we noticed a few key issues while researching this topic:</w:t>
      </w:r>
    </w:p>
    <w:p w14:paraId="099631D1" w14:textId="77777777" w:rsidR="0019789C" w:rsidRDefault="0019789C" w:rsidP="002040FE"/>
    <w:p w14:paraId="6959565F" w14:textId="55A11EAA" w:rsidR="0019789C" w:rsidRDefault="0019789C" w:rsidP="00427643">
      <w:pPr>
        <w:pStyle w:val="ListParagraph"/>
        <w:numPr>
          <w:ilvl w:val="0"/>
          <w:numId w:val="22"/>
        </w:numPr>
      </w:pPr>
      <w:r>
        <w:t xml:space="preserve">The key distinction in the cases seems to be the difference between creating a danger (through eg placing an obstruction on the road) and a mere omission to remove or warn about a danger. </w:t>
      </w:r>
    </w:p>
    <w:p w14:paraId="21223BFF" w14:textId="77777777" w:rsidR="0019789C" w:rsidRDefault="0019789C" w:rsidP="002040FE">
      <w:pPr>
        <w:pStyle w:val="ListParagraph"/>
        <w:ind w:left="1080" w:firstLine="0"/>
      </w:pPr>
    </w:p>
    <w:p w14:paraId="24072F1E" w14:textId="53DCB88F" w:rsidR="0019789C" w:rsidRDefault="0019789C" w:rsidP="00427643">
      <w:pPr>
        <w:pStyle w:val="ListParagraph"/>
        <w:numPr>
          <w:ilvl w:val="0"/>
          <w:numId w:val="22"/>
        </w:numPr>
      </w:pPr>
      <w:r>
        <w:t xml:space="preserve">In the realm of tort law, issues related to ‘inaccessible or unsafe design of streets or street features’ are either unlikely to be addressed as such or to give rise to legal action alone. Put differently, ‘unsafe street design’ alone is unlikely to be a sufficient basis for a legal claim, as suggested by </w:t>
      </w:r>
      <w:r w:rsidRPr="006164B4">
        <w:rPr>
          <w:rStyle w:val="case"/>
        </w:rPr>
        <w:t>Sheppard</w:t>
      </w:r>
      <w:r>
        <w:t xml:space="preserve">, but unsafe street design plus a secondary issue, such as obstruction, may be sufficient; and, in such a scenario, it would more likely be approached by focussing on the secondary issue, assuming it has sufficient legal backing. </w:t>
      </w:r>
    </w:p>
    <w:p w14:paraId="568F5BC5" w14:textId="54C06E41" w:rsidR="0019789C" w:rsidRDefault="0019789C" w:rsidP="00954CF6"/>
    <w:p w14:paraId="7D7930BF" w14:textId="658867D8" w:rsidR="0019789C" w:rsidRDefault="0019789C" w:rsidP="00427643">
      <w:pPr>
        <w:pStyle w:val="ListParagraph"/>
        <w:numPr>
          <w:ilvl w:val="0"/>
          <w:numId w:val="22"/>
        </w:numPr>
      </w:pPr>
      <w:r>
        <w:t>While there was not a significant amount of case law</w:t>
      </w:r>
      <w:r w:rsidRPr="0080041A">
        <w:t xml:space="preserve"> </w:t>
      </w:r>
      <w:r>
        <w:t>related</w:t>
      </w:r>
      <w:r w:rsidRPr="0080041A">
        <w:t xml:space="preserve"> this </w:t>
      </w:r>
      <w:r>
        <w:t>issue, legal action is more likely to be brought under the tort of negligence than breach of statutory duty.</w:t>
      </w:r>
      <w:r w:rsidRPr="009F7494">
        <w:t xml:space="preserve"> </w:t>
      </w:r>
      <w:r>
        <w:t>Moreover, a survey of the case law suggests that main form legal</w:t>
      </w:r>
      <w:r w:rsidRPr="0080041A">
        <w:t xml:space="preserve"> </w:t>
      </w:r>
      <w:r>
        <w:t>action</w:t>
      </w:r>
      <w:r w:rsidRPr="0080041A">
        <w:t xml:space="preserve"> </w:t>
      </w:r>
      <w:r>
        <w:t xml:space="preserve">related to </w:t>
      </w:r>
      <w:r w:rsidRPr="0080041A">
        <w:t xml:space="preserve">inaccessible or unsafe design of streets or features </w:t>
      </w:r>
      <w:r>
        <w:t>is</w:t>
      </w:r>
      <w:r w:rsidRPr="0080041A">
        <w:t xml:space="preserve"> </w:t>
      </w:r>
      <w:r w:rsidRPr="0080041A">
        <w:lastRenderedPageBreak/>
        <w:t xml:space="preserve">likely </w:t>
      </w:r>
      <w:r>
        <w:t>within the context of the public sector equality duty, which provides a more well-defined avenue for judicial review of planning decisions.</w:t>
      </w:r>
      <w:r>
        <w:rPr>
          <w:rStyle w:val="FootnoteReference"/>
        </w:rPr>
        <w:footnoteReference w:id="820"/>
      </w:r>
      <w:r>
        <w:t xml:space="preserve"> </w:t>
      </w:r>
    </w:p>
    <w:p w14:paraId="1BF74D3C" w14:textId="77777777" w:rsidR="0019789C" w:rsidRDefault="0019789C" w:rsidP="0047588E">
      <w:pPr>
        <w:ind w:firstLine="0"/>
      </w:pPr>
    </w:p>
    <w:p w14:paraId="493634DD" w14:textId="4F13EEE2" w:rsidR="0019789C" w:rsidRDefault="0019789C" w:rsidP="002040FE">
      <w:r>
        <w:t>As regards C3 (</w:t>
      </w:r>
      <w:r w:rsidRPr="0080041A">
        <w:t>Driving, cycling and other travelling on roads which might endanger pedestrians</w:t>
      </w:r>
      <w:r>
        <w:t>) and C4</w:t>
      </w:r>
      <w:r w:rsidRPr="0043227F">
        <w:t xml:space="preserve"> </w:t>
      </w:r>
      <w:r>
        <w:t>(</w:t>
      </w:r>
      <w:r w:rsidRPr="0043227F">
        <w:t>Cycling, scootering and other travelling on pavements which might endanger pedestrians</w:t>
      </w:r>
      <w:r>
        <w:t>):</w:t>
      </w:r>
    </w:p>
    <w:p w14:paraId="53A2A2A9" w14:textId="21470EE1" w:rsidR="0019789C" w:rsidRDefault="0019789C" w:rsidP="002040FE"/>
    <w:p w14:paraId="6BC54A1B" w14:textId="4AC02E64" w:rsidR="0019789C" w:rsidRDefault="0019789C" w:rsidP="00427643">
      <w:pPr>
        <w:pStyle w:val="ListParagraph"/>
        <w:numPr>
          <w:ilvl w:val="0"/>
          <w:numId w:val="24"/>
        </w:numPr>
      </w:pPr>
      <w:r>
        <w:t xml:space="preserve">The courts place a significant duty on drivers, requiring them to avoid doing anything that will injure </w:t>
      </w:r>
      <w:r w:rsidRPr="0080041A">
        <w:t>other drivers</w:t>
      </w:r>
      <w:r>
        <w:t xml:space="preserve"> and </w:t>
      </w:r>
      <w:r w:rsidRPr="0080041A">
        <w:t>pedestrians</w:t>
      </w:r>
      <w:r>
        <w:t xml:space="preserve">, although they are not expected to meet </w:t>
      </w:r>
      <w:r w:rsidRPr="0080041A">
        <w:rPr>
          <w:lang w:bidi="en-US"/>
        </w:rPr>
        <w:t>‘an unattainable counsel of perfection’</w:t>
      </w:r>
      <w:r>
        <w:rPr>
          <w:lang w:bidi="en-US"/>
        </w:rPr>
        <w:t>.</w:t>
      </w:r>
      <w:r w:rsidRPr="0080041A">
        <w:t xml:space="preserve"> </w:t>
      </w:r>
      <w:r>
        <w:t xml:space="preserve">Pedestrians, by comparison, only owe a </w:t>
      </w:r>
      <w:r w:rsidRPr="0080041A">
        <w:t>duty of care to themselves</w:t>
      </w:r>
      <w:r>
        <w:t xml:space="preserve">. The result seems to be that the cases often come down to the defence of contributory negligence and how blameworthy the claimant is for their own injuries. Yet such discussion is fact specific and </w:t>
      </w:r>
      <w:r w:rsidRPr="0080041A">
        <w:rPr>
          <w:lang w:bidi="en-US"/>
        </w:rPr>
        <w:t>the circumstances of how a pedestrian was injured will factor greatly in their pursuit of a remedy.</w:t>
      </w:r>
    </w:p>
    <w:p w14:paraId="49C08772" w14:textId="77777777" w:rsidR="0019789C" w:rsidRDefault="0019789C" w:rsidP="0043227F"/>
    <w:p w14:paraId="462B1F64" w14:textId="71BF5085" w:rsidR="0019789C" w:rsidRDefault="0019789C" w:rsidP="00427643">
      <w:pPr>
        <w:pStyle w:val="ListParagraph"/>
        <w:numPr>
          <w:ilvl w:val="0"/>
          <w:numId w:val="24"/>
        </w:numPr>
        <w:rPr>
          <w:lang w:bidi="en-US"/>
        </w:rPr>
      </w:pPr>
      <w:r>
        <w:rPr>
          <w:lang w:bidi="en-US"/>
        </w:rPr>
        <w:t xml:space="preserve">The notion of </w:t>
      </w:r>
      <w:r w:rsidRPr="00E86402">
        <w:rPr>
          <w:lang w:bidi="en-US"/>
        </w:rPr>
        <w:t xml:space="preserve">‘causative potency’ </w:t>
      </w:r>
      <w:r>
        <w:rPr>
          <w:lang w:bidi="en-US"/>
        </w:rPr>
        <w:t>is evident in many of the cases discussed here. Essentially, the idea is that courts afford greater protection to ‘v</w:t>
      </w:r>
      <w:r w:rsidRPr="00E86402">
        <w:rPr>
          <w:lang w:bidi="en-US"/>
        </w:rPr>
        <w:t>ulnerable</w:t>
      </w:r>
      <w:r>
        <w:rPr>
          <w:lang w:bidi="en-US"/>
        </w:rPr>
        <w:t>’</w:t>
      </w:r>
      <w:r w:rsidRPr="00E86402">
        <w:rPr>
          <w:lang w:bidi="en-US"/>
        </w:rPr>
        <w:t xml:space="preserve"> road users</w:t>
      </w:r>
      <w:r>
        <w:rPr>
          <w:lang w:bidi="en-US"/>
        </w:rPr>
        <w:t xml:space="preserve"> (such as pedestrians) because motorists and cyclists are likely to cause greater damage to pedestrians than they would to another motorist or cyclist. Even when a pedestrian is partially responsible for their own injury,</w:t>
      </w:r>
      <w:r w:rsidRPr="00E86402">
        <w:rPr>
          <w:lang w:bidi="en-US"/>
        </w:rPr>
        <w:t xml:space="preserve"> causative potency </w:t>
      </w:r>
      <w:r>
        <w:rPr>
          <w:lang w:bidi="en-US"/>
        </w:rPr>
        <w:t xml:space="preserve">tends to </w:t>
      </w:r>
      <w:r w:rsidRPr="00E86402">
        <w:rPr>
          <w:lang w:bidi="en-US"/>
        </w:rPr>
        <w:t>in favour of the more vulnerable road user.</w:t>
      </w:r>
      <w:r>
        <w:rPr>
          <w:lang w:bidi="en-US"/>
        </w:rPr>
        <w:t xml:space="preserve"> </w:t>
      </w:r>
      <w:r w:rsidRPr="00E86402">
        <w:rPr>
          <w:lang w:bidi="en-US"/>
        </w:rPr>
        <w:t>Causative potency is a relevant consideration</w:t>
      </w:r>
      <w:r>
        <w:rPr>
          <w:lang w:bidi="en-US"/>
        </w:rPr>
        <w:t xml:space="preserve"> for the IPS project since it looks at the ‘vulnerability’ of different road users, and thus should arguable prioritize the needs of pedestrians who are disabled, older or the parents of young children.</w:t>
      </w:r>
    </w:p>
    <w:p w14:paraId="4DABCDB9" w14:textId="77777777" w:rsidR="0019789C" w:rsidRPr="0080041A" w:rsidRDefault="0019789C" w:rsidP="00511748">
      <w:pPr>
        <w:ind w:left="648" w:firstLine="0"/>
      </w:pPr>
    </w:p>
    <w:p w14:paraId="37156B9F" w14:textId="4BCE88B4" w:rsidR="0019789C" w:rsidRPr="00683CF7" w:rsidRDefault="0019789C" w:rsidP="00683CF7">
      <w:pPr>
        <w:spacing w:after="160" w:line="259" w:lineRule="auto"/>
        <w:ind w:firstLine="0"/>
        <w:jc w:val="left"/>
      </w:pPr>
      <w:r>
        <w:br w:type="page"/>
      </w:r>
    </w:p>
    <w:p w14:paraId="4CEF43DE" w14:textId="01C2FEB8" w:rsidR="0019789C" w:rsidRPr="00113582" w:rsidRDefault="0019789C" w:rsidP="00C25857">
      <w:pPr>
        <w:pStyle w:val="Heading1"/>
        <w:ind w:left="0" w:firstLine="0"/>
        <w:jc w:val="left"/>
      </w:pPr>
      <w:r w:rsidRPr="00113582">
        <w:lastRenderedPageBreak/>
        <w:t xml:space="preserve">D Laws that can be used by public bodies to challenge problems for pedestrians generally </w:t>
      </w:r>
    </w:p>
    <w:p w14:paraId="5C2B73A4" w14:textId="5A38B35F" w:rsidR="0019789C" w:rsidRPr="00113582" w:rsidRDefault="0019789C" w:rsidP="00375681">
      <w:r w:rsidRPr="00113582">
        <w:t xml:space="preserve">Part D focuses on actions which can be brought by public bodies – eg public prosecutors, law enforcement authorities, and local government officials. This section addresses similar issues to </w:t>
      </w:r>
      <w:r>
        <w:t>Part</w:t>
      </w:r>
      <w:r w:rsidRPr="00113582">
        <w:t xml:space="preserve"> C above – but focuses on laws that can be used by public bodies rather than pedestrians. The Equality and Human Rights Commission is </w:t>
      </w:r>
      <w:r>
        <w:t xml:space="preserve">also </w:t>
      </w:r>
      <w:r w:rsidRPr="00113582">
        <w:t xml:space="preserve">a public body, but the scope and use of </w:t>
      </w:r>
      <w:r>
        <w:t>its</w:t>
      </w:r>
      <w:r w:rsidRPr="00113582">
        <w:t xml:space="preserve"> enforcement powers is </w:t>
      </w:r>
      <w:r>
        <w:t xml:space="preserve">largely focused on people with protected characteristics – hence it is </w:t>
      </w:r>
      <w:r w:rsidRPr="00113582">
        <w:t>covered in Part B</w:t>
      </w:r>
      <w:r>
        <w:t xml:space="preserve"> above</w:t>
      </w:r>
      <w:r w:rsidRPr="00113582">
        <w:t>.</w:t>
      </w:r>
      <w:r w:rsidRPr="00113582">
        <w:rPr>
          <w:rStyle w:val="FootnoteReference"/>
        </w:rPr>
        <w:footnoteReference w:id="821"/>
      </w:r>
    </w:p>
    <w:p w14:paraId="4865B653" w14:textId="77777777" w:rsidR="0019789C" w:rsidRPr="00113582" w:rsidRDefault="0019789C" w:rsidP="00375681">
      <w:pPr>
        <w:ind w:firstLine="0"/>
      </w:pPr>
    </w:p>
    <w:p w14:paraId="011057E3" w14:textId="77777777" w:rsidR="0019789C" w:rsidRPr="00113582" w:rsidRDefault="0019789C" w:rsidP="00375681">
      <w:pPr>
        <w:pStyle w:val="Heading2"/>
        <w:jc w:val="left"/>
      </w:pPr>
      <w:r w:rsidRPr="00113582">
        <w:t>D1 Failing to safeguard pedestrians from holes, roadworks, traffic flow and other hazards</w:t>
      </w:r>
    </w:p>
    <w:p w14:paraId="37DBCAD0" w14:textId="77777777" w:rsidR="0019789C" w:rsidRPr="00113582" w:rsidRDefault="0019789C" w:rsidP="00375681">
      <w:pPr>
        <w:pStyle w:val="Heading3"/>
        <w:ind w:left="624" w:hanging="340"/>
      </w:pPr>
      <w:bookmarkStart w:id="80" w:name="_Ref30771111"/>
      <w:r w:rsidRPr="00113582">
        <w:t>D1.1 New Roads and Street Works Act 1991</w:t>
      </w:r>
      <w:bookmarkEnd w:id="80"/>
    </w:p>
    <w:p w14:paraId="57F632D0" w14:textId="77777777" w:rsidR="0019789C" w:rsidRPr="00113582" w:rsidRDefault="0019789C" w:rsidP="00375681">
      <w:pPr>
        <w:pStyle w:val="Heading4"/>
        <w:ind w:left="0" w:firstLine="624"/>
      </w:pPr>
      <w:r w:rsidRPr="00113582">
        <w:t>(a) Description and Examples</w:t>
      </w:r>
    </w:p>
    <w:p w14:paraId="275C6E12" w14:textId="3EC8062F" w:rsidR="0019789C" w:rsidRPr="00113582" w:rsidRDefault="0019789C" w:rsidP="00375681">
      <w:r w:rsidRPr="00113582">
        <w:t>The New Roads and Street Works Act 1991 (NRSWA) provides a general legislative framework on the responsibilities of undertakers and street authorities when carrying out highway works.</w:t>
      </w:r>
      <w:bookmarkStart w:id="81" w:name="_Ref39674675"/>
      <w:r w:rsidRPr="00113582">
        <w:rPr>
          <w:rStyle w:val="FootnoteReference"/>
        </w:rPr>
        <w:footnoteReference w:id="822"/>
      </w:r>
      <w:bookmarkEnd w:id="81"/>
      <w:r w:rsidRPr="00113582">
        <w:t xml:space="preserve"> It comprises a range of statutory duties and powers, some but not all of which contain sanctions in the event of non-compliance. Part III of the NRSWA covers street works in England and Wales, and Part IV covers road works in Scotland. While these parts differ in their terminology, they are essentially the same in substance. A ‘street’, for the purposes of Part III,</w:t>
      </w:r>
      <w:r>
        <w:t xml:space="preserve"> </w:t>
      </w:r>
      <w:r w:rsidRPr="00113582">
        <w:t>means the whole or part of any highway, road, lane, footway, alley, passage, square or court.</w:t>
      </w:r>
      <w:r w:rsidRPr="00113582">
        <w:rPr>
          <w:rStyle w:val="FootnoteReference"/>
        </w:rPr>
        <w:footnoteReference w:id="823"/>
      </w:r>
      <w:r w:rsidRPr="00113582">
        <w:t xml:space="preserve"> A ‘road’, for purposes of Part IV, means ‘any way … whether or not there is over it a public right of passage and whether or not it is for the time being formed as a way; and … includes a square or court, and any part of a road.’</w:t>
      </w:r>
      <w:r w:rsidRPr="00113582">
        <w:rPr>
          <w:rStyle w:val="FootnoteReference"/>
        </w:rPr>
        <w:footnoteReference w:id="824"/>
      </w:r>
    </w:p>
    <w:p w14:paraId="1FF76B9A" w14:textId="77777777" w:rsidR="0019789C" w:rsidRPr="00113582" w:rsidRDefault="0019789C" w:rsidP="00375681"/>
    <w:p w14:paraId="71E7BC39" w14:textId="77777777" w:rsidR="0019789C" w:rsidRPr="00113582" w:rsidRDefault="0019789C" w:rsidP="00375681">
      <w:r w:rsidRPr="00113582">
        <w:t>The NRSWA places a duty on street and road authorities to coordinate all works on the highway</w:t>
      </w:r>
      <w:r w:rsidRPr="00113582">
        <w:rPr>
          <w:rStyle w:val="FootnoteReference"/>
        </w:rPr>
        <w:footnoteReference w:id="825"/>
      </w:r>
      <w:r w:rsidRPr="00113582">
        <w:t xml:space="preserve"> and a duty on undertakers to co-operate in this process.</w:t>
      </w:r>
      <w:r w:rsidRPr="00113582">
        <w:rPr>
          <w:rStyle w:val="FootnoteReference"/>
        </w:rPr>
        <w:footnoteReference w:id="826"/>
      </w:r>
      <w:r w:rsidRPr="00113582">
        <w:t xml:space="preserve"> The purposes </w:t>
      </w:r>
      <w:r w:rsidRPr="00113582">
        <w:lastRenderedPageBreak/>
        <w:t>of this co-ordination function in England, Wales and Scotland are to ensure safety; minimise inconvenience to people using a street (with a specific reference to disabled people); and protect the structure of the street and the apparatus within it.</w:t>
      </w:r>
      <w:r w:rsidRPr="00113582">
        <w:rPr>
          <w:rStyle w:val="FootnoteReference"/>
        </w:rPr>
        <w:footnoteReference w:id="827"/>
      </w:r>
      <w:r w:rsidRPr="00113582">
        <w:t xml:space="preserve"> </w:t>
      </w:r>
    </w:p>
    <w:p w14:paraId="622CC945" w14:textId="77777777" w:rsidR="0019789C" w:rsidRPr="00113582" w:rsidRDefault="0019789C" w:rsidP="00375681"/>
    <w:p w14:paraId="6B3251ED" w14:textId="77777777" w:rsidR="0019789C" w:rsidRPr="00113582" w:rsidRDefault="0019789C" w:rsidP="00375681">
      <w:r w:rsidRPr="00113582">
        <w:t>Section 65(1) NRSWA requires that:</w:t>
      </w:r>
    </w:p>
    <w:p w14:paraId="047DE697" w14:textId="77777777" w:rsidR="0019789C" w:rsidRPr="00113582" w:rsidRDefault="0019789C" w:rsidP="00375681">
      <w:pPr>
        <w:pStyle w:val="Quote"/>
      </w:pPr>
      <w:r w:rsidRPr="00113582">
        <w:t>An undertaker executing street works shall secure—</w:t>
      </w:r>
    </w:p>
    <w:p w14:paraId="6D03DB23" w14:textId="77777777" w:rsidR="0019789C" w:rsidRPr="00113582" w:rsidRDefault="0019789C" w:rsidP="00375681">
      <w:pPr>
        <w:pStyle w:val="Quote"/>
        <w:ind w:left="1560" w:hanging="426"/>
      </w:pPr>
      <w:r w:rsidRPr="00113582">
        <w:t>(a)</w:t>
      </w:r>
      <w:r w:rsidRPr="00113582">
        <w:tab/>
        <w:t>that any part of the street which is broken up or open, or is obstructed by plant or materials used or deposited in connection with the works, is adequately guarded and lit, and</w:t>
      </w:r>
    </w:p>
    <w:p w14:paraId="47FAB4F7" w14:textId="77777777" w:rsidR="0019789C" w:rsidRPr="00113582" w:rsidRDefault="0019789C" w:rsidP="00375681">
      <w:pPr>
        <w:pStyle w:val="Quote"/>
        <w:ind w:left="1560" w:hanging="426"/>
      </w:pPr>
      <w:r w:rsidRPr="00113582">
        <w:t>(b)</w:t>
      </w:r>
      <w:r w:rsidRPr="00113582">
        <w:tab/>
        <w:t>that such traffic signs are placed and maintained, and where necessary operated, as are reasonably required for the guidance or direction of persons using the street, having regard, in particular, to the needs of people with a disability.</w:t>
      </w:r>
    </w:p>
    <w:p w14:paraId="77FD4D41" w14:textId="77777777" w:rsidR="0019789C" w:rsidRPr="00113582" w:rsidRDefault="0019789C" w:rsidP="00375681">
      <w:pPr>
        <w:pStyle w:val="Quote"/>
      </w:pPr>
      <w:r w:rsidRPr="00113582">
        <w:t>(2) In discharging in relation to a highway his duty with respect to the placing, maintenance or operation of traffic signs, an undertaker shall comply with any directions given by the traffic authority.</w:t>
      </w:r>
    </w:p>
    <w:p w14:paraId="4B89BB89" w14:textId="77777777" w:rsidR="0019789C" w:rsidRPr="00113582" w:rsidRDefault="0019789C" w:rsidP="00375681"/>
    <w:p w14:paraId="7DEC5999" w14:textId="77777777" w:rsidR="0019789C" w:rsidRPr="00113582" w:rsidRDefault="0019789C" w:rsidP="00375681">
      <w:r w:rsidRPr="00113582">
        <w:t>The ‘directions’ referenced in s 65(2) NRSWA are conditions attached to a street works licence by a traffic authority. These may be issued (1) in the interests of safety, (2) to minimise the inconvenience to persons using the street (having regard, in particular, to the needs of persons with a disability), or (3) to protect the structure of the street and the integrity of apparatus in it.</w:t>
      </w:r>
      <w:r w:rsidRPr="00113582">
        <w:rPr>
          <w:rStyle w:val="FootnoteReference"/>
        </w:rPr>
        <w:footnoteReference w:id="828"/>
      </w:r>
      <w:r w:rsidRPr="00113582">
        <w:t xml:space="preserve"> Statutory undertakers include those in possession of a street works licence (under eg s 50 NRSWA) as well as utility companies, such as those that supply water, gas, electricity and telecommunications.</w:t>
      </w:r>
      <w:r w:rsidRPr="00113582">
        <w:rPr>
          <w:rStyle w:val="FootnoteReference"/>
        </w:rPr>
        <w:footnoteReference w:id="829"/>
      </w:r>
      <w:r w:rsidRPr="00113582">
        <w:t xml:space="preserve"> Section 124, which applies to Scotland, is almost identical to s 65 except that the word ‘road’ is used in place of ‘street’ or ‘highway’.</w:t>
      </w:r>
      <w:r w:rsidRPr="00113582">
        <w:rPr>
          <w:rStyle w:val="FootnoteReference"/>
        </w:rPr>
        <w:footnoteReference w:id="830"/>
      </w:r>
    </w:p>
    <w:p w14:paraId="6F3632D2" w14:textId="77777777" w:rsidR="0019789C" w:rsidRPr="00113582" w:rsidRDefault="0019789C" w:rsidP="00375681"/>
    <w:p w14:paraId="0D48A664" w14:textId="77777777" w:rsidR="0019789C" w:rsidRPr="00113582" w:rsidRDefault="0019789C" w:rsidP="00375681">
      <w:pPr>
        <w:pStyle w:val="Heading4"/>
        <w:ind w:left="0" w:firstLine="720"/>
      </w:pPr>
      <w:r w:rsidRPr="00113582">
        <w:lastRenderedPageBreak/>
        <w:t>(b) Remedies, Sanctions or other Outcomes</w:t>
      </w:r>
    </w:p>
    <w:p w14:paraId="7C2589FC" w14:textId="77777777" w:rsidR="0019789C" w:rsidRPr="00113582" w:rsidRDefault="0019789C" w:rsidP="00375681">
      <w:r w:rsidRPr="00113582">
        <w:t>In England and Wales, no sanction attaches to the s 59 duty on street authorities to coordinate all works in the highway. However, a sanction does attach to the s 60 duty on those undertaking such work (the undertakers) to co-operate in this process. Accordingly, an undertaker who fails to comply with this duty commits an offence and is liable on summary conviction to a fine not exceeding level 5 on the standard scale (ie a £5,000 fine).</w:t>
      </w:r>
      <w:r w:rsidRPr="00113582">
        <w:rPr>
          <w:rStyle w:val="FootnoteReference"/>
        </w:rPr>
        <w:footnoteReference w:id="831"/>
      </w:r>
      <w:r w:rsidRPr="00113582">
        <w:t xml:space="preserve"> The accompanying Code of Practice (of which there are different versions for England and Scotland) is intended to help authorities carry out their duty to coordinate highway works and undertakers to cooperate in this process.</w:t>
      </w:r>
      <w:bookmarkStart w:id="82" w:name="_Ref39674711"/>
      <w:r w:rsidRPr="00113582">
        <w:rPr>
          <w:rStyle w:val="FootnoteReference"/>
        </w:rPr>
        <w:footnoteReference w:id="832"/>
      </w:r>
      <w:bookmarkEnd w:id="82"/>
      <w:r w:rsidRPr="00113582">
        <w:t xml:space="preserve"> </w:t>
      </w:r>
    </w:p>
    <w:p w14:paraId="472B8C7F" w14:textId="77777777" w:rsidR="0019789C" w:rsidRPr="00113582" w:rsidRDefault="0019789C" w:rsidP="00375681"/>
    <w:p w14:paraId="6CB9B907" w14:textId="7E2D60E8" w:rsidR="0019789C" w:rsidRPr="00113582" w:rsidRDefault="0019789C" w:rsidP="00375681">
      <w:r w:rsidRPr="00113582">
        <w:t>In Scotland, by contrast, sanctions apply to both of the relevant provisions. The parallel duties are found in s 118 and s 119 of Part IV NRSWA, and they are identical to those of s 59 and s 60 except that the word ‘road’ is used in place of ‘street’. Under s 119A(1) NRSWA, Scottish Ministers may enact regulations providing for the imposition of penalties ‘on road works authorities and undertakers who fail to comply with duties imposed on them by sections 118 and 119 respectively’. They enacted such regulations in 2007 so that, where a road authority fails to comply with the general duty to co-ordinate works imposed by s 118 or where an undertaker fails to comply with the general duty to co-operate imposed by s 119, a fine of up</w:t>
      </w:r>
      <w:r>
        <w:t xml:space="preserve"> </w:t>
      </w:r>
      <w:r w:rsidRPr="00113582">
        <w:t>to £50,000 may be imposed.</w:t>
      </w:r>
      <w:r w:rsidRPr="00113582">
        <w:rPr>
          <w:rStyle w:val="FootnoteReference"/>
        </w:rPr>
        <w:footnoteReference w:id="833"/>
      </w:r>
    </w:p>
    <w:p w14:paraId="2BFC3A07" w14:textId="77777777" w:rsidR="0019789C" w:rsidRPr="00113582" w:rsidRDefault="0019789C" w:rsidP="00375681"/>
    <w:p w14:paraId="064AFB62" w14:textId="77777777" w:rsidR="0019789C" w:rsidRPr="00113582" w:rsidRDefault="0019789C" w:rsidP="00375681">
      <w:r w:rsidRPr="00113582">
        <w:t>In England, Wales and Scotland, an undertaker who fails to comply with s 65(1) or (2) or s 124(1) or (2) commits a summary offence and may be required to pay a fine not exceeding level 5 on the standard scale</w:t>
      </w:r>
      <w:r w:rsidRPr="00113582">
        <w:rPr>
          <w:rStyle w:val="FootnoteReference"/>
        </w:rPr>
        <w:footnoteReference w:id="834"/>
      </w:r>
      <w:r w:rsidRPr="00113582">
        <w:t xml:space="preserve"> – ie £5,000.</w:t>
      </w:r>
      <w:r w:rsidRPr="00113582">
        <w:rPr>
          <w:rStyle w:val="FootnoteReference"/>
        </w:rPr>
        <w:footnoteReference w:id="835"/>
      </w:r>
      <w:r w:rsidRPr="00113582">
        <w:t xml:space="preserve"> If a person without lawful authority or excuse (a) takes down, alters or removes any fence, barrier, traffic sign or light erected or placed in line with s 65(1)-(2) or s 124(1)-(2), or (b) extinguishes a light so placed, that person commits a summary offence and may be required to pay a fine not exceeding level 5 on the standard scale</w:t>
      </w:r>
      <w:r w:rsidRPr="00113582">
        <w:rPr>
          <w:rStyle w:val="FootnoteReference"/>
        </w:rPr>
        <w:footnoteReference w:id="836"/>
      </w:r>
      <w:r w:rsidRPr="00113582">
        <w:t xml:space="preserve"> – ie £5,000.</w:t>
      </w:r>
      <w:r w:rsidRPr="00113582">
        <w:rPr>
          <w:rStyle w:val="FootnoteReference"/>
        </w:rPr>
        <w:footnoteReference w:id="837"/>
      </w:r>
      <w:r w:rsidRPr="00113582">
        <w:t xml:space="preserve"> </w:t>
      </w:r>
    </w:p>
    <w:p w14:paraId="059A941B" w14:textId="77777777" w:rsidR="0019789C" w:rsidRPr="00113582" w:rsidRDefault="0019789C" w:rsidP="00375681"/>
    <w:p w14:paraId="16307773" w14:textId="569FADF9" w:rsidR="0019789C" w:rsidRPr="00113582" w:rsidRDefault="0019789C" w:rsidP="00104062">
      <w:r w:rsidRPr="00113582">
        <w:t xml:space="preserve">Where a breach of any duty imposed by Part III or Part IV </w:t>
      </w:r>
      <w:r>
        <w:t xml:space="preserve">of the </w:t>
      </w:r>
      <w:r w:rsidRPr="00113582">
        <w:t>NRSWA (and thus of s 65 and s 124) continues after conviction, the person in question commits a further offence.</w:t>
      </w:r>
      <w:r w:rsidRPr="00113582">
        <w:rPr>
          <w:rStyle w:val="FootnoteReference"/>
        </w:rPr>
        <w:footnoteReference w:id="838"/>
      </w:r>
      <w:r w:rsidRPr="00113582">
        <w:t xml:space="preserve"> Criminal liability imposed in respect of s 65 or s 124</w:t>
      </w:r>
      <w:r>
        <w:t xml:space="preserve"> </w:t>
      </w:r>
      <w:r w:rsidRPr="00113582">
        <w:t>is without prejudice to any civil liability in respect of the same matter.</w:t>
      </w:r>
      <w:r w:rsidRPr="00113582">
        <w:rPr>
          <w:rStyle w:val="FootnoteReference"/>
        </w:rPr>
        <w:footnoteReference w:id="839"/>
      </w:r>
      <w:r w:rsidRPr="00113582">
        <w:t xml:space="preserve"> Thus, criminal and civil liability could arise in connection with the same conduct (that violates the s 65 or s 124 duty). However, it does not appear that these specific provisions themselves confer a right of action on a private individual.</w:t>
      </w:r>
      <w:r>
        <w:rPr>
          <w:rStyle w:val="FootnoteReference"/>
        </w:rPr>
        <w:footnoteReference w:id="840"/>
      </w:r>
    </w:p>
    <w:p w14:paraId="6F33D6EB" w14:textId="77777777" w:rsidR="0019789C" w:rsidRPr="00113582" w:rsidRDefault="0019789C" w:rsidP="00104062">
      <w:pPr>
        <w:ind w:firstLine="0"/>
      </w:pPr>
    </w:p>
    <w:p w14:paraId="63DA2B77" w14:textId="77777777" w:rsidR="0019789C" w:rsidRPr="00113582" w:rsidRDefault="0019789C" w:rsidP="00375681">
      <w:pPr>
        <w:pStyle w:val="Heading4"/>
        <w:ind w:left="0" w:firstLine="720"/>
      </w:pPr>
      <w:r w:rsidRPr="00113582">
        <w:t xml:space="preserve">(c) Enforcement </w:t>
      </w:r>
    </w:p>
    <w:p w14:paraId="111CEFFF" w14:textId="77777777" w:rsidR="0019789C" w:rsidRPr="00113582" w:rsidRDefault="0019789C" w:rsidP="00375681">
      <w:pPr>
        <w:rPr>
          <w:lang w:bidi="en-US"/>
        </w:rPr>
      </w:pPr>
      <w:r w:rsidRPr="00113582">
        <w:rPr>
          <w:lang w:bidi="en-US"/>
        </w:rPr>
        <w:t xml:space="preserve"> A summary offence is an offence which, if committed by an adult, is triable only summarily.</w:t>
      </w:r>
      <w:r w:rsidRPr="00113582">
        <w:rPr>
          <w:rStyle w:val="FootnoteReference"/>
          <w:lang w:bidi="en-US"/>
        </w:rPr>
        <w:footnoteReference w:id="841"/>
      </w:r>
      <w:r w:rsidRPr="00113582">
        <w:rPr>
          <w:lang w:bidi="en-US"/>
        </w:rPr>
        <w:t xml:space="preserve"> Summary offences are usually dealt with by the Magistrates Court. In terms of the duty placed on an undertaker pursuant to s 65 or s 124, where there exists a Code of Practice, a failure on the part of an undertaker to comply with the code is evidence of failure to comply with the relevant subsection.</w:t>
      </w:r>
      <w:r w:rsidRPr="00113582">
        <w:rPr>
          <w:rStyle w:val="FootnoteReference"/>
          <w:lang w:bidi="en-US"/>
        </w:rPr>
        <w:footnoteReference w:id="842"/>
      </w:r>
    </w:p>
    <w:p w14:paraId="1E2FD05F" w14:textId="77777777" w:rsidR="0019789C" w:rsidRPr="00113582" w:rsidRDefault="0019789C" w:rsidP="00375681"/>
    <w:p w14:paraId="2B5991F9" w14:textId="29F72023" w:rsidR="0019789C" w:rsidRPr="00113582" w:rsidRDefault="0019789C" w:rsidP="00375681">
      <w:pPr>
        <w:ind w:firstLine="284"/>
      </w:pPr>
      <w:r w:rsidRPr="00113582">
        <w:t>There are accompanying Codes of Practice for the Co-ordination of Street Works and Works for Road Purposes and Related Matters; however, they provide little guidance on the scope of s 65 NRSWA.</w:t>
      </w:r>
      <w:r w:rsidRPr="00113582">
        <w:rPr>
          <w:rStyle w:val="FootnoteReference"/>
        </w:rPr>
        <w:footnoteReference w:id="843"/>
      </w:r>
    </w:p>
    <w:p w14:paraId="2641BF8C" w14:textId="77777777" w:rsidR="0019789C" w:rsidRPr="00113582" w:rsidRDefault="0019789C" w:rsidP="00375681"/>
    <w:p w14:paraId="435E1947" w14:textId="77777777" w:rsidR="0019789C" w:rsidRPr="00113582" w:rsidRDefault="0019789C" w:rsidP="00375681">
      <w:pPr>
        <w:ind w:firstLine="0"/>
      </w:pPr>
    </w:p>
    <w:p w14:paraId="0BFC9436" w14:textId="77777777" w:rsidR="0019789C" w:rsidRPr="00113582" w:rsidRDefault="0019789C" w:rsidP="00375681">
      <w:pPr>
        <w:pStyle w:val="Heading2"/>
        <w:jc w:val="left"/>
      </w:pPr>
      <w:r w:rsidRPr="00113582">
        <w:t>D2 Inaccessible or unsafe design of streets or street features</w:t>
      </w:r>
    </w:p>
    <w:p w14:paraId="73CE7FCE" w14:textId="77777777" w:rsidR="0019789C" w:rsidRPr="00113582" w:rsidRDefault="0019789C" w:rsidP="00375681">
      <w:pPr>
        <w:ind w:firstLine="0"/>
      </w:pPr>
    </w:p>
    <w:p w14:paraId="5409F7C6" w14:textId="77777777" w:rsidR="0019789C" w:rsidRPr="00113582" w:rsidRDefault="0019789C" w:rsidP="00375681">
      <w:pPr>
        <w:pStyle w:val="Heading3"/>
      </w:pPr>
      <w:r w:rsidRPr="00113582">
        <w:t>D2.1 Highways Act 1980</w:t>
      </w:r>
    </w:p>
    <w:p w14:paraId="1D733D2D" w14:textId="77777777" w:rsidR="0019789C" w:rsidRPr="00113582" w:rsidRDefault="0019789C" w:rsidP="00375681">
      <w:pPr>
        <w:rPr>
          <w:lang w:bidi="en-US"/>
        </w:rPr>
      </w:pPr>
    </w:p>
    <w:p w14:paraId="68FE9D72" w14:textId="24766209" w:rsidR="0019789C" w:rsidRPr="00113582" w:rsidRDefault="0019789C" w:rsidP="00375681">
      <w:r w:rsidRPr="00113582">
        <w:t xml:space="preserve">Section 38 of the Highways Act 1980 applies in England and Wales. If a highway authority is going to take over maintenance of a given street, then an agreement will be entered into with the developer, which is then obliged to construct the street to an agreed </w:t>
      </w:r>
      <w:r w:rsidRPr="00113582">
        <w:lastRenderedPageBreak/>
        <w:t xml:space="preserve">standard, having first secured technical approval of the design from the highway authority. Given that </w:t>
      </w:r>
      <w:r w:rsidRPr="00113582">
        <w:rPr>
          <w:rFonts w:eastAsia="Times New Roman"/>
          <w:lang w:eastAsia="en-US"/>
        </w:rPr>
        <w:t xml:space="preserve">the local highway authority </w:t>
      </w:r>
      <w:r>
        <w:rPr>
          <w:rFonts w:eastAsia="Times New Roman"/>
          <w:lang w:eastAsia="en-US"/>
        </w:rPr>
        <w:t>oversees</w:t>
      </w:r>
      <w:r w:rsidRPr="00113582">
        <w:rPr>
          <w:rFonts w:eastAsia="Times New Roman"/>
          <w:lang w:eastAsia="en-US"/>
        </w:rPr>
        <w:t xml:space="preserve"> the work </w:t>
      </w:r>
      <w:r>
        <w:rPr>
          <w:rFonts w:eastAsia="Times New Roman"/>
          <w:lang w:eastAsia="en-US"/>
        </w:rPr>
        <w:t>in line</w:t>
      </w:r>
      <w:r w:rsidRPr="00113582">
        <w:rPr>
          <w:rFonts w:eastAsia="Times New Roman"/>
          <w:lang w:eastAsia="en-US"/>
        </w:rPr>
        <w:t xml:space="preserve"> with the agreement, the local authority may refuse to adopt the road if it is dissatisfied with the work. A developer can bring an appeal against such a refusal to a magistrates’ court under s 37. A pragmatic approach is therefore needed to ensure the road is constructed in a safe manner and is acceptable to all parties. </w:t>
      </w:r>
      <w:r w:rsidRPr="00113582">
        <w:t>If an agreement is entered into, the highway authority is responsible for the design of the street and could possibly use its enforcement powers in cases of inaccessible or unsafe design – but there is little case law to suggest that this occurs in practice.</w:t>
      </w:r>
      <w:r w:rsidRPr="00113582">
        <w:rPr>
          <w:rStyle w:val="FootnoteReference"/>
        </w:rPr>
        <w:footnoteReference w:id="844"/>
      </w:r>
      <w:r w:rsidRPr="00113582">
        <w:t xml:space="preserve"> </w:t>
      </w:r>
    </w:p>
    <w:p w14:paraId="0AEAFDCD" w14:textId="77777777" w:rsidR="0019789C" w:rsidRPr="00113582" w:rsidRDefault="0019789C" w:rsidP="00375681"/>
    <w:p w14:paraId="74175DB6" w14:textId="77777777" w:rsidR="0019789C" w:rsidRPr="00113582" w:rsidRDefault="0019789C" w:rsidP="00375681">
      <w:pPr>
        <w:pStyle w:val="Heading3"/>
      </w:pPr>
      <w:r w:rsidRPr="00113582">
        <w:t>D2.2 Town and Country Planning Act 1990</w:t>
      </w:r>
    </w:p>
    <w:p w14:paraId="3F7310D2" w14:textId="77777777" w:rsidR="0019789C" w:rsidRPr="00113582" w:rsidRDefault="0019789C" w:rsidP="00375681"/>
    <w:p w14:paraId="3C590BF3" w14:textId="77777777" w:rsidR="0019789C" w:rsidRPr="00113582" w:rsidRDefault="0019789C" w:rsidP="00375681">
      <w:r w:rsidRPr="00113582">
        <w:t>Section 57 of the Town and Country Planning Act 1990 requires planning permission for the carrying out of any development of land, defined as ‘the carrying out of building, engineering, mining or other operations in, on, over or under land, or the making of any material change in the use of any buildings or other land’.</w:t>
      </w:r>
      <w:r w:rsidRPr="00113582">
        <w:rPr>
          <w:rStyle w:val="FootnoteReference"/>
        </w:rPr>
        <w:footnoteReference w:id="845"/>
      </w:r>
      <w:r w:rsidRPr="00113582">
        <w:t xml:space="preserve"> Section 171A sets out the enforcement powers of local planning authorities and defines a breach of planning control as ‘carrying out development without the required planning permission’ or ‘failing to comply with any condition or limitation subject to which planning permission has been granted’.</w:t>
      </w:r>
      <w:r w:rsidRPr="00113582">
        <w:rPr>
          <w:rStyle w:val="FootnoteReference"/>
        </w:rPr>
        <w:footnoteReference w:id="846"/>
      </w:r>
      <w:r w:rsidRPr="00113582">
        <w:t xml:space="preserve"> Local planning authorities have the power to seek an injunction to restrain actual or anticipated breaches of planning control where they consider such action necessary or expedient, whether or not they have exercised or are proposing to exercise other enforcement powers.</w:t>
      </w:r>
      <w:r w:rsidRPr="00113582">
        <w:rPr>
          <w:rStyle w:val="FootnoteReference"/>
        </w:rPr>
        <w:footnoteReference w:id="847"/>
      </w:r>
      <w:r w:rsidRPr="00113582">
        <w:t xml:space="preserve"> Both the High Court and the County Court have jurisdiction to grant injunctive relief as they think appropriate for the purpose of restraining the breach.</w:t>
      </w:r>
      <w:r w:rsidRPr="00113582">
        <w:rPr>
          <w:rStyle w:val="FootnoteReference"/>
        </w:rPr>
        <w:footnoteReference w:id="848"/>
      </w:r>
      <w:r w:rsidRPr="00113582">
        <w:t xml:space="preserve"> However, it is unclear whether s 57 would extend to roads and pavements, or whether they fall outside its scope.</w:t>
      </w:r>
    </w:p>
    <w:p w14:paraId="3F2C43F1" w14:textId="77777777" w:rsidR="0019789C" w:rsidRPr="00113582" w:rsidRDefault="0019789C" w:rsidP="00375681"/>
    <w:p w14:paraId="20374626" w14:textId="77777777" w:rsidR="0019789C" w:rsidRPr="00113582" w:rsidRDefault="0019789C" w:rsidP="00375681"/>
    <w:p w14:paraId="038AF23B" w14:textId="77777777" w:rsidR="0019789C" w:rsidRPr="00113582" w:rsidRDefault="0019789C" w:rsidP="00375681">
      <w:pPr>
        <w:pStyle w:val="Heading2"/>
        <w:jc w:val="left"/>
      </w:pPr>
      <w:r w:rsidRPr="00113582">
        <w:lastRenderedPageBreak/>
        <w:t xml:space="preserve">D3 Obstructing of roads or pavements/ sidewalks </w:t>
      </w:r>
    </w:p>
    <w:p w14:paraId="0E216D41" w14:textId="77777777" w:rsidR="0019789C" w:rsidRPr="00113582" w:rsidRDefault="0019789C" w:rsidP="00375681">
      <w:pPr>
        <w:pStyle w:val="Heading3"/>
        <w:ind w:left="624" w:hanging="340"/>
      </w:pPr>
      <w:r w:rsidRPr="00113582">
        <w:t>D3.1 Highways Act 1980 and Roads (Scotland) Act 1984</w:t>
      </w:r>
    </w:p>
    <w:p w14:paraId="5E2837DF" w14:textId="77777777" w:rsidR="0019789C" w:rsidRPr="00113582" w:rsidRDefault="0019789C" w:rsidP="00375681">
      <w:pPr>
        <w:pStyle w:val="Heading4"/>
        <w:ind w:left="0" w:firstLine="720"/>
      </w:pPr>
      <w:r w:rsidRPr="00113582">
        <w:t>(a) Description and Examples</w:t>
      </w:r>
    </w:p>
    <w:p w14:paraId="04EE2A12" w14:textId="68014824" w:rsidR="0019789C" w:rsidRPr="00113582" w:rsidRDefault="0019789C" w:rsidP="00375681">
      <w:r w:rsidRPr="00113582">
        <w:t>Sections 130 and 137 of the Highways Act 1980 feature some overlap and thus are addressed jointly here. Section 130(1) is the more general provision. It imposes a duty on local authorities ‘to assert and protect the rights of the public to the use and enjoyment of highways for which they are the highway authority’ as well as a duty</w:t>
      </w:r>
      <w:r>
        <w:t xml:space="preserve"> </w:t>
      </w:r>
      <w:r w:rsidRPr="00113582">
        <w:t xml:space="preserve">to prevent (as far as possible) the obstruction of such highways. This provision is therefore often considered alongside s 137, which makes the creation of obstructions a summary offence. </w:t>
      </w:r>
    </w:p>
    <w:p w14:paraId="3FD0B38E" w14:textId="77777777" w:rsidR="0019789C" w:rsidRPr="00113582" w:rsidRDefault="0019789C" w:rsidP="00375681">
      <w:pPr>
        <w:ind w:firstLine="0"/>
      </w:pPr>
    </w:p>
    <w:p w14:paraId="44851F35" w14:textId="77777777" w:rsidR="0019789C" w:rsidRPr="00113582" w:rsidRDefault="0019789C" w:rsidP="00375681">
      <w:r w:rsidRPr="00113582">
        <w:t>Section 137(1) of the Highways Act 1980 applies to England and Wales only. According to it: ‘If a person, without lawful authority or excuse, in any way wilfully obstructs the free passage along a highway he is guilty of a criminal offence’.</w:t>
      </w:r>
      <w:r w:rsidRPr="00113582">
        <w:rPr>
          <w:rStyle w:val="FootnoteReference"/>
        </w:rPr>
        <w:footnoteReference w:id="849"/>
      </w:r>
      <w:r w:rsidRPr="00113582">
        <w:t xml:space="preserve"> For these purposes, the term ‘highway’ includes footways, footpaths and pavements. In </w:t>
      </w:r>
      <w:r w:rsidRPr="00113582">
        <w:rPr>
          <w:rStyle w:val="case"/>
        </w:rPr>
        <w:t>Hirst and Agu v Chief Constable of West Yorkshire</w:t>
      </w:r>
      <w:r w:rsidRPr="00113582">
        <w:t>,</w:t>
      </w:r>
      <w:r w:rsidRPr="00113582">
        <w:rPr>
          <w:rStyle w:val="FootnoteReference"/>
          <w:rFonts w:cs="Arial"/>
        </w:rPr>
        <w:footnoteReference w:id="850"/>
      </w:r>
      <w:r w:rsidRPr="00113582">
        <w:t xml:space="preserve"> Glidewell LJ stated that the correct approach for justices dealing with obstructions involves three questions: </w:t>
      </w:r>
    </w:p>
    <w:p w14:paraId="420B1F2D" w14:textId="77777777" w:rsidR="0019789C" w:rsidRPr="00113582" w:rsidRDefault="0019789C" w:rsidP="00375681">
      <w:pPr>
        <w:pStyle w:val="Quote"/>
        <w:rPr>
          <w:rFonts w:eastAsia="Times New Roman"/>
          <w:lang w:eastAsia="en-US"/>
        </w:rPr>
      </w:pPr>
      <w:r w:rsidRPr="00113582">
        <w:rPr>
          <w:rFonts w:eastAsia="Times New Roman"/>
          <w:lang w:eastAsia="en-US"/>
        </w:rPr>
        <w:t>First, they should consider: is there an obstruction? Unless the obstruction is so small that one can consider it comes within the rubric </w:t>
      </w:r>
      <w:r w:rsidRPr="00113582">
        <w:rPr>
          <w:rFonts w:eastAsia="Times New Roman"/>
          <w:i/>
          <w:lang w:eastAsia="en-US"/>
        </w:rPr>
        <w:t>de minimis</w:t>
      </w:r>
      <w:r w:rsidRPr="00113582">
        <w:rPr>
          <w:rFonts w:eastAsia="Times New Roman"/>
          <w:lang w:eastAsia="en-US"/>
        </w:rPr>
        <w:t>, any stopping on the highway, whether it be on the carriageway or on the footway, is prima facie an obstruction. … The second question then will arise: was it wilful, that is to say, deliberate? … Then there arises the third question: have the prosecution proved that the obstruction was without lawful authority or excuse?</w:t>
      </w:r>
      <w:r w:rsidRPr="00113582">
        <w:rPr>
          <w:rStyle w:val="FootnoteReference"/>
          <w:rFonts w:eastAsia="Times New Roman" w:cs="Arial"/>
          <w:szCs w:val="24"/>
          <w:lang w:eastAsia="en-US"/>
        </w:rPr>
        <w:footnoteReference w:id="851"/>
      </w:r>
    </w:p>
    <w:p w14:paraId="3FB7E2E8" w14:textId="77777777" w:rsidR="0019789C" w:rsidRPr="00113582" w:rsidRDefault="0019789C" w:rsidP="00375681">
      <w:pPr>
        <w:ind w:firstLine="0"/>
      </w:pPr>
      <w:r w:rsidRPr="00113582">
        <w:lastRenderedPageBreak/>
        <w:t>As regards the third question, this has been understood as turning on the notion of reasonableness: ‘this final element has to a large extent been incorporated into the question of whether there has been an obstruction, a question which itself turns on whether the activity on the highway is reasonable.’</w:t>
      </w:r>
      <w:bookmarkStart w:id="83" w:name="_Ref94101070"/>
      <w:r w:rsidRPr="00113582">
        <w:rPr>
          <w:rStyle w:val="FootnoteReference"/>
        </w:rPr>
        <w:footnoteReference w:id="852"/>
      </w:r>
      <w:bookmarkEnd w:id="83"/>
    </w:p>
    <w:p w14:paraId="0C88A4CB" w14:textId="77777777" w:rsidR="0019789C" w:rsidRPr="00113582" w:rsidRDefault="0019789C" w:rsidP="00375681">
      <w:pPr>
        <w:ind w:firstLine="0"/>
      </w:pPr>
    </w:p>
    <w:p w14:paraId="7126B04C" w14:textId="77777777" w:rsidR="0019789C" w:rsidRPr="00113582" w:rsidRDefault="0019789C" w:rsidP="00375681">
      <w:r w:rsidRPr="00113582">
        <w:t xml:space="preserve">A range of cases have helped identify what can rise to the level of an unlawful obstruction within the context of s 137. In </w:t>
      </w:r>
      <w:r w:rsidRPr="00113582">
        <w:rPr>
          <w:rStyle w:val="case"/>
        </w:rPr>
        <w:t>Cooper v Metropolitan Police Commissioner</w:t>
      </w:r>
      <w:r w:rsidRPr="00113582">
        <w:t>,</w:t>
      </w:r>
      <w:r w:rsidRPr="00113582">
        <w:rPr>
          <w:rStyle w:val="FootnoteReference"/>
        </w:rPr>
        <w:footnoteReference w:id="853"/>
      </w:r>
      <w:r w:rsidRPr="00113582">
        <w:t xml:space="preserve"> for instance, the defendant was convicted of wilfully obstructing free passage along the highway while working as a tout for a club in Soho. On four occasions, within 13 minutes, the defendant was seen approaching groups of pedestrians and engaging them in conversation for a minute or so, causing the footway to become blocked and forcing pedestrians to pass by walking in the roadway.</w:t>
      </w:r>
      <w:r w:rsidRPr="00113582">
        <w:rPr>
          <w:rStyle w:val="FootnoteReference"/>
        </w:rPr>
        <w:footnoteReference w:id="854"/>
      </w:r>
      <w:r w:rsidRPr="00113582">
        <w:t xml:space="preserve"> The Divisional Court upheld the conviction, noting that members of the public have a right to pass and re-pass along a highway and to do everything that is reasonable thereto. However,</w:t>
      </w:r>
    </w:p>
    <w:p w14:paraId="7446486B" w14:textId="77777777" w:rsidR="0019789C" w:rsidRPr="00113582" w:rsidRDefault="0019789C" w:rsidP="00375681">
      <w:pPr>
        <w:pStyle w:val="Quote"/>
        <w:rPr>
          <w:rFonts w:ascii="Times New Roman" w:eastAsia="Times New Roman" w:hAnsi="Times New Roman"/>
          <w:color w:val="auto"/>
          <w:lang w:eastAsia="en-US"/>
        </w:rPr>
      </w:pPr>
      <w:r w:rsidRPr="00113582">
        <w:rPr>
          <w:rFonts w:eastAsia="Times New Roman"/>
          <w:shd w:val="clear" w:color="auto" w:fill="FFFFFF"/>
          <w:lang w:eastAsia="en-US"/>
        </w:rPr>
        <w:t>[w]hether or not the user amounting to an obstruction is or is not an unreasonable use of the highway is a question of fact. It depends on all the circumstances, including the length of time the obstruction continues, the place where it occurs, the purpose for which it is done, and, of course, whether it does in fact cause an actual obstruction as opposed to a potential obstruction.</w:t>
      </w:r>
      <w:r w:rsidRPr="00113582">
        <w:rPr>
          <w:rStyle w:val="FootnoteReference"/>
        </w:rPr>
        <w:t xml:space="preserve"> </w:t>
      </w:r>
      <w:r w:rsidRPr="00113582">
        <w:rPr>
          <w:rStyle w:val="FootnoteReference"/>
        </w:rPr>
        <w:footnoteReference w:id="855"/>
      </w:r>
    </w:p>
    <w:p w14:paraId="475537F7" w14:textId="77777777" w:rsidR="0019789C" w:rsidRPr="00113582" w:rsidRDefault="0019789C" w:rsidP="00375681">
      <w:pPr>
        <w:ind w:firstLine="0"/>
        <w:rPr>
          <w:rFonts w:ascii="Times New Roman" w:eastAsia="Times New Roman" w:hAnsi="Times New Roman" w:cs="Times New Roman"/>
          <w:color w:val="auto"/>
          <w:szCs w:val="24"/>
          <w:lang w:eastAsia="en-US"/>
        </w:rPr>
      </w:pPr>
      <w:r w:rsidRPr="00113582">
        <w:t xml:space="preserve">In </w:t>
      </w:r>
      <w:r w:rsidRPr="00113582">
        <w:rPr>
          <w:rStyle w:val="case"/>
        </w:rPr>
        <w:t>Cooper</w:t>
      </w:r>
      <w:r w:rsidRPr="00113582">
        <w:t>, based on the evidence, the Crown Court was entitled to conclude that the defendant’s behaviour was an unreasonable use of the highway so as to amount to an obstruction under s 137.</w:t>
      </w:r>
      <w:r w:rsidRPr="00113582">
        <w:rPr>
          <w:rStyle w:val="FootnoteReference"/>
        </w:rPr>
        <w:footnoteReference w:id="856"/>
      </w:r>
      <w:r w:rsidRPr="00113582">
        <w:rPr>
          <w:rFonts w:ascii="Times New Roman" w:eastAsia="Times New Roman" w:hAnsi="Times New Roman" w:cs="Times New Roman"/>
          <w:color w:val="auto"/>
          <w:szCs w:val="24"/>
          <w:lang w:eastAsia="en-US"/>
        </w:rPr>
        <w:t xml:space="preserve"> </w:t>
      </w:r>
    </w:p>
    <w:p w14:paraId="2B50EBC1" w14:textId="77777777" w:rsidR="0019789C" w:rsidRPr="00113582" w:rsidRDefault="0019789C" w:rsidP="00375681">
      <w:pPr>
        <w:ind w:firstLine="0"/>
        <w:rPr>
          <w:rFonts w:ascii="Times New Roman" w:eastAsia="Times New Roman" w:hAnsi="Times New Roman" w:cs="Times New Roman"/>
          <w:color w:val="auto"/>
          <w:szCs w:val="24"/>
          <w:lang w:eastAsia="en-US"/>
        </w:rPr>
      </w:pPr>
    </w:p>
    <w:p w14:paraId="5A71099A" w14:textId="77777777" w:rsidR="0019789C" w:rsidRPr="00113582" w:rsidRDefault="0019789C" w:rsidP="00375681">
      <w:pPr>
        <w:rPr>
          <w:rFonts w:ascii="Times New Roman" w:eastAsia="Times New Roman" w:hAnsi="Times New Roman" w:cs="Times New Roman"/>
          <w:color w:val="auto"/>
          <w:szCs w:val="24"/>
          <w:lang w:eastAsia="en-US"/>
        </w:rPr>
      </w:pPr>
      <w:r w:rsidRPr="00113582">
        <w:t>Other examples of obstructions that have risen to the level of a statutory offence for the purposes of s 137 include placards on the pavement placed there as part of a government protest;</w:t>
      </w:r>
      <w:bookmarkStart w:id="84" w:name="_Ref94101316"/>
      <w:r w:rsidRPr="00113582">
        <w:rPr>
          <w:rStyle w:val="FootnoteReference"/>
        </w:rPr>
        <w:footnoteReference w:id="857"/>
      </w:r>
      <w:bookmarkEnd w:id="84"/>
      <w:r w:rsidRPr="00113582">
        <w:t xml:space="preserve"> the placement of a mobile food cabinet (measuring 6.7 feet long by 3 feet wide) and an advertisement board in a pedestrianised street;</w:t>
      </w:r>
      <w:r w:rsidRPr="00113582">
        <w:rPr>
          <w:rStyle w:val="FootnoteReference"/>
        </w:rPr>
        <w:footnoteReference w:id="858"/>
      </w:r>
      <w:r w:rsidRPr="00113582">
        <w:t xml:space="preserve"> the placement </w:t>
      </w:r>
      <w:r w:rsidRPr="00113582">
        <w:lastRenderedPageBreak/>
        <w:t>of a trailer from which vegetables were sold but which took up half the width of the footpath;</w:t>
      </w:r>
      <w:r w:rsidRPr="00113582">
        <w:rPr>
          <w:rStyle w:val="FootnoteReference"/>
        </w:rPr>
        <w:footnoteReference w:id="859"/>
      </w:r>
      <w:r w:rsidRPr="00113582">
        <w:t xml:space="preserve"> and the regular blocking of the footpath with shopping trolleys.</w:t>
      </w:r>
      <w:r w:rsidRPr="00113582">
        <w:rPr>
          <w:rStyle w:val="FootnoteReference"/>
        </w:rPr>
        <w:footnoteReference w:id="860"/>
      </w:r>
      <w:r w:rsidRPr="00113582">
        <w:t xml:space="preserve"> </w:t>
      </w:r>
    </w:p>
    <w:p w14:paraId="3D8A4584" w14:textId="77777777" w:rsidR="0019789C" w:rsidRPr="00113582" w:rsidRDefault="0019789C" w:rsidP="00375681">
      <w:pPr>
        <w:rPr>
          <w:rFonts w:ascii="Times New Roman" w:eastAsia="Times New Roman" w:hAnsi="Times New Roman" w:cs="Times New Roman"/>
          <w:color w:val="auto"/>
          <w:szCs w:val="24"/>
          <w:lang w:eastAsia="en-US"/>
        </w:rPr>
      </w:pPr>
    </w:p>
    <w:p w14:paraId="7C99BA5B" w14:textId="77777777" w:rsidR="0019789C" w:rsidRPr="00113582" w:rsidRDefault="0019789C" w:rsidP="00375681">
      <w:r w:rsidRPr="00113582">
        <w:t xml:space="preserve">By comparison, in </w:t>
      </w:r>
      <w:r w:rsidRPr="00113582">
        <w:rPr>
          <w:rStyle w:val="case"/>
        </w:rPr>
        <w:t>Kent City Council v Holland</w:t>
      </w:r>
      <w:r w:rsidRPr="00113582">
        <w:t>,</w:t>
      </w:r>
      <w:r w:rsidRPr="00113582">
        <w:rPr>
          <w:rStyle w:val="FootnoteReference"/>
        </w:rPr>
        <w:footnoteReference w:id="861"/>
      </w:r>
      <w:r w:rsidRPr="00113582">
        <w:t xml:space="preserve"> the defendant’s property was adjacent to a footpath and his Rottweiler dogs barked and jumped on the mesh fencing that separated the property from the footpath. Kent City Council argued that the dogs' menacing behaviour and the protrusion of their heads over the footpath amounted to a physical obstruction unlawful under s 137. The case was dismissed as was the appeal on the basis that the creation of fear in footpath users did not fall within the meaning of obstruction intended by the statute, and the protrusion of the dogs' heads was minimal. Another example of behaviour that did not amount to an obstruction was a window display that extended to no more than five per cent of the width of the road.</w:t>
      </w:r>
      <w:r w:rsidRPr="00113582">
        <w:rPr>
          <w:rStyle w:val="FootnoteReference"/>
        </w:rPr>
        <w:footnoteReference w:id="862"/>
      </w:r>
      <w:r w:rsidRPr="00113582">
        <w:t xml:space="preserve"> </w:t>
      </w:r>
    </w:p>
    <w:p w14:paraId="308F3A5B" w14:textId="77777777" w:rsidR="0019789C" w:rsidRPr="00113582" w:rsidRDefault="0019789C" w:rsidP="00375681"/>
    <w:p w14:paraId="01BE944C" w14:textId="77777777" w:rsidR="0019789C" w:rsidRPr="00113582" w:rsidRDefault="0019789C" w:rsidP="00375681">
      <w:pPr>
        <w:rPr>
          <w:rFonts w:cs="Arial"/>
        </w:rPr>
      </w:pPr>
      <w:r w:rsidRPr="00113582">
        <w:t>The corresponding provision in Scotland is s 129(2) Roads (Scotland) Act 1984. According to this, ‘</w:t>
      </w:r>
      <w:r w:rsidRPr="00113582">
        <w:rPr>
          <w:rFonts w:eastAsia="Times New Roman" w:cs="Arial"/>
          <w:szCs w:val="24"/>
          <w:shd w:val="clear" w:color="auto" w:fill="FFFFFF"/>
          <w:lang w:eastAsia="en-US"/>
        </w:rPr>
        <w:t>A person who, without lawful authority or reasonable excuse, places or deposits anything in a road so as to obstruct the passage of, or to endanger, road users commits an offence’. However, unlike s 137</w:t>
      </w:r>
      <w:r w:rsidRPr="00113582">
        <w:t xml:space="preserve">, there is little case law on the scope of s 129(2). Nonetheless, </w:t>
      </w:r>
      <w:r w:rsidRPr="00113582">
        <w:rPr>
          <w:rFonts w:cs="Arial"/>
          <w:lang w:bidi="en-US"/>
        </w:rPr>
        <w:t>s 161(1) of the Highways Act, which applies to the whole of the UK, provides that ‘</w:t>
      </w:r>
      <w:r w:rsidRPr="00113582">
        <w:rPr>
          <w:rFonts w:cs="Arial"/>
        </w:rPr>
        <w:t xml:space="preserve">if a person, without lawful authority or excuse, deposits anything whatsoever on a highway in consequence of which a user of the highway is injured or endangered, that person is guilty of an offence and liable to a fine not exceeding level 3 on the standard scale.’ </w:t>
      </w:r>
    </w:p>
    <w:p w14:paraId="074BD5EB" w14:textId="77777777" w:rsidR="0019789C" w:rsidRPr="00113582" w:rsidRDefault="0019789C" w:rsidP="00375681">
      <w:pPr>
        <w:ind w:firstLine="0"/>
      </w:pPr>
    </w:p>
    <w:p w14:paraId="035A5598" w14:textId="77777777" w:rsidR="0019789C" w:rsidRPr="00113582" w:rsidRDefault="0019789C" w:rsidP="00375681">
      <w:r w:rsidRPr="00113582">
        <w:t xml:space="preserve">Essentially, the usefulness of s 137 </w:t>
      </w:r>
      <w:r w:rsidRPr="00113582">
        <w:rPr>
          <w:rFonts w:cs="Arial"/>
          <w:lang w:bidi="en-US"/>
        </w:rPr>
        <w:t>of the Highways Act</w:t>
      </w:r>
      <w:r w:rsidRPr="00113582">
        <w:t xml:space="preserve"> to pedestrians whose routes are blocked by obstructions depends on establishing that there was an obstruction, which was wilful or deliberate, and that the person creating the obstruction had no lawful authority or excuse for doing so. Whether </w:t>
      </w:r>
      <w:r w:rsidRPr="00113582">
        <w:rPr>
          <w:rFonts w:eastAsia="Times New Roman"/>
          <w:shd w:val="clear" w:color="auto" w:fill="FFFFFF"/>
          <w:lang w:eastAsia="en-US"/>
        </w:rPr>
        <w:t>something amounts to an obstruction is a question of fact as is the question of whether the conduct in question was a reasonable use of the highway.</w:t>
      </w:r>
      <w:r w:rsidRPr="00113582">
        <w:t xml:space="preserve"> Thus, there appears to be potential for judicial inconsistency as to what will be considered reasonable.</w:t>
      </w:r>
    </w:p>
    <w:p w14:paraId="3B925BB0" w14:textId="77777777" w:rsidR="0019789C" w:rsidRPr="00113582" w:rsidRDefault="0019789C" w:rsidP="00375681"/>
    <w:p w14:paraId="78D43159" w14:textId="77777777" w:rsidR="0019789C" w:rsidRPr="00113582" w:rsidRDefault="0019789C" w:rsidP="00375681">
      <w:pPr>
        <w:rPr>
          <w:rFonts w:ascii="Source Sans Pro" w:hAnsi="Source Sans Pro"/>
          <w:color w:val="212121"/>
          <w:sz w:val="27"/>
          <w:szCs w:val="27"/>
        </w:rPr>
      </w:pPr>
      <w:r w:rsidRPr="00113582">
        <w:lastRenderedPageBreak/>
        <w:t>However, it is not clear on which legal basis a specific incident will be prosecuted.</w:t>
      </w:r>
      <w:r w:rsidRPr="00113582">
        <w:rPr>
          <w:rStyle w:val="FootnoteReference"/>
        </w:rPr>
        <w:footnoteReference w:id="863"/>
      </w:r>
      <w:r w:rsidRPr="00113582">
        <w:t xml:space="preserve"> The same set of facts could give rise to a violation of s 137 of the Highways Act 1980, common law nuisance, or even s 28 of the </w:t>
      </w:r>
      <w:r w:rsidRPr="00113582">
        <w:rPr>
          <w:rFonts w:cs="Arial"/>
        </w:rPr>
        <w:t xml:space="preserve">Town Police Clauses Act 1847, which also prohibits obstructions: </w:t>
      </w:r>
    </w:p>
    <w:p w14:paraId="7F762867" w14:textId="77777777" w:rsidR="0019789C" w:rsidRPr="00113582" w:rsidRDefault="0019789C" w:rsidP="00375681">
      <w:pPr>
        <w:pStyle w:val="Quote"/>
      </w:pPr>
      <w:r w:rsidRPr="00113582">
        <w:t>Every person who in any street, to the obstruction, annoyance, or danger of the residents or passengers, commits any of the following offences, shall be liable to a penalty not exceeding</w:t>
      </w:r>
      <w:r w:rsidRPr="00113582">
        <w:rPr>
          <w:rStyle w:val="apple-converted-space"/>
          <w:rFonts w:ascii="Source Sans Pro" w:hAnsi="Source Sans Pro"/>
        </w:rPr>
        <w:t> </w:t>
      </w:r>
      <w:r w:rsidRPr="00113582">
        <w:rPr>
          <w:rStyle w:val="cofootnotenode"/>
          <w:rFonts w:ascii="Source Sans Pro" w:hAnsi="Source Sans Pro"/>
        </w:rPr>
        <w:t>[</w:t>
      </w:r>
      <w:r w:rsidRPr="00113582">
        <w:t>level 3 on the standard scale</w:t>
      </w:r>
      <w:r w:rsidRPr="00113582">
        <w:rPr>
          <w:rStyle w:val="cofootnotenode"/>
          <w:rFonts w:ascii="Source Sans Pro" w:hAnsi="Source Sans Pro"/>
        </w:rPr>
        <w:t>]</w:t>
      </w:r>
      <w:r w:rsidRPr="00113582">
        <w:rPr>
          <w:rStyle w:val="apple-converted-space"/>
          <w:rFonts w:ascii="Source Sans Pro" w:hAnsi="Source Sans Pro"/>
        </w:rPr>
        <w:t> </w:t>
      </w:r>
      <w:r w:rsidRPr="00113582">
        <w:t xml:space="preserve">for each offence, or, in the discretion of the justice before whom he is convicted, may be committed to prison, there to remain for a period not exceeding fourteen days. … </w:t>
      </w:r>
    </w:p>
    <w:p w14:paraId="72F8E808" w14:textId="71046F37" w:rsidR="0019789C" w:rsidRPr="00113582" w:rsidRDefault="0019789C" w:rsidP="00375681">
      <w:pPr>
        <w:ind w:firstLine="0"/>
        <w:rPr>
          <w:iCs/>
          <w:szCs w:val="24"/>
        </w:rPr>
      </w:pPr>
      <w:r w:rsidRPr="00113582">
        <w:t xml:space="preserve">What remains unknown, however, is whether and why a situation would be prosecuted under s 28 of the </w:t>
      </w:r>
      <w:r w:rsidRPr="00113582">
        <w:rPr>
          <w:rFonts w:cs="Arial"/>
        </w:rPr>
        <w:t xml:space="preserve">Town Police Clauses Act 1847 rather than eg </w:t>
      </w:r>
      <w:r w:rsidRPr="00113582">
        <w:t>s 137 of the Highways Act 1980. Section 28 lists a number of acts to which the provision applies, although it has been shortened considerably over the years through amending legislation,</w:t>
      </w:r>
      <w:r w:rsidRPr="00113582">
        <w:rPr>
          <w:rStyle w:val="FootnoteReference"/>
        </w:rPr>
        <w:footnoteReference w:id="864"/>
      </w:r>
      <w:r w:rsidRPr="00113582">
        <w:t xml:space="preserve"> thus s 28 was used in situations involving eg obscene language in public places or streets</w:t>
      </w:r>
      <w:r w:rsidRPr="00113582">
        <w:rPr>
          <w:rStyle w:val="FootnoteReference"/>
        </w:rPr>
        <w:footnoteReference w:id="865"/>
      </w:r>
      <w:r w:rsidRPr="00113582">
        <w:t xml:space="preserve"> or indecent exposure.</w:t>
      </w:r>
      <w:r w:rsidRPr="00113582">
        <w:rPr>
          <w:rStyle w:val="FootnoteReference"/>
        </w:rPr>
        <w:footnoteReference w:id="866"/>
      </w:r>
      <w:r w:rsidRPr="00113582">
        <w:t xml:space="preserve"> One on the one hand, it may be that s 28 is one of those dated provisions which remains good law but is rarely applied. On the other hand, as good law, s 28 could be used in certain situations of obstruction of the roads or pavements. In the 1962 case of </w:t>
      </w:r>
      <w:r w:rsidRPr="00113582">
        <w:rPr>
          <w:rStyle w:val="case"/>
        </w:rPr>
        <w:t>Wolverton UDC v Willis</w:t>
      </w:r>
      <w:r w:rsidRPr="00113582">
        <w:rPr>
          <w:rStyle w:val="fncaseChar"/>
          <w:i w:val="0"/>
          <w:iCs/>
          <w:szCs w:val="24"/>
        </w:rPr>
        <w:t>,</w:t>
      </w:r>
      <w:r w:rsidRPr="00113582">
        <w:rPr>
          <w:rStyle w:val="FootnoteReference"/>
        </w:rPr>
        <w:footnoteReference w:id="867"/>
      </w:r>
      <w:r w:rsidRPr="000478B4">
        <w:t xml:space="preserve"> for example, the defendant displayed</w:t>
      </w:r>
      <w:r w:rsidRPr="00113582">
        <w:rPr>
          <w:rFonts w:eastAsia="Times New Roman"/>
          <w:shd w:val="clear" w:color="auto" w:fill="FFFFFF"/>
          <w:lang w:eastAsia="en-US"/>
        </w:rPr>
        <w:t xml:space="preserve"> vegetables for sale up to 11 inches beyond the boundary line of his shop and a frontage of 12 feet 8 inches (the pavement was 7 feet 9 inches by 6 feet 3 inches).</w:t>
      </w:r>
      <w:r w:rsidRPr="00113582">
        <w:rPr>
          <w:rStyle w:val="FootnoteReference"/>
          <w:rFonts w:eastAsia="Times New Roman"/>
          <w:shd w:val="clear" w:color="auto" w:fill="FFFFFF"/>
          <w:lang w:eastAsia="en-US"/>
        </w:rPr>
        <w:footnoteReference w:id="868"/>
      </w:r>
      <w:r w:rsidRPr="00113582">
        <w:rPr>
          <w:rFonts w:eastAsia="Times New Roman"/>
          <w:shd w:val="clear" w:color="auto" w:fill="FFFFFF"/>
          <w:lang w:eastAsia="en-US"/>
        </w:rPr>
        <w:t xml:space="preserve"> Even though it was </w:t>
      </w:r>
      <w:r w:rsidRPr="00113582">
        <w:rPr>
          <w:rFonts w:eastAsia="Times New Roman"/>
          <w:shd w:val="clear" w:color="auto" w:fill="FFFFFF"/>
          <w:lang w:eastAsia="en-US"/>
        </w:rPr>
        <w:lastRenderedPageBreak/>
        <w:t xml:space="preserve">not proven that any individual had been obstructed or incommoded, the court noted that the public was entitled to pass over every part of a public footpath and accordingly: </w:t>
      </w:r>
    </w:p>
    <w:p w14:paraId="51EA7B68" w14:textId="77777777" w:rsidR="0019789C" w:rsidRPr="00113582" w:rsidRDefault="0019789C" w:rsidP="00375681">
      <w:pPr>
        <w:pStyle w:val="Quote"/>
        <w:rPr>
          <w:rFonts w:ascii="Times New Roman" w:eastAsia="Times New Roman" w:hAnsi="Times New Roman"/>
          <w:color w:val="auto"/>
          <w:lang w:eastAsia="en-US"/>
        </w:rPr>
      </w:pPr>
      <w:r w:rsidRPr="00113582">
        <w:rPr>
          <w:rFonts w:eastAsia="Times New Roman"/>
          <w:shd w:val="clear" w:color="auto" w:fill="FFFFFF"/>
          <w:lang w:eastAsia="en-US"/>
        </w:rPr>
        <w:t>any unlawful encroachment on a footway must be deemed to obstruct and, a fortiori, to incommode, the passage of persons over and along such footway, and, accordingly, that it is not necessary to allege or to call evidence to prove that any particular person was in fact so obstructed or incommoded.</w:t>
      </w:r>
      <w:r w:rsidRPr="00113582">
        <w:rPr>
          <w:rStyle w:val="FootnoteReference"/>
          <w:rFonts w:eastAsia="Times New Roman"/>
          <w:shd w:val="clear" w:color="auto" w:fill="FFFFFF"/>
          <w:lang w:eastAsia="en-US"/>
        </w:rPr>
        <w:footnoteReference w:id="869"/>
      </w:r>
    </w:p>
    <w:p w14:paraId="2B8D3267" w14:textId="77777777" w:rsidR="0019789C" w:rsidRPr="00113582" w:rsidRDefault="0019789C" w:rsidP="00375681">
      <w:pPr>
        <w:ind w:firstLine="0"/>
      </w:pPr>
      <w:r w:rsidRPr="00113582">
        <w:t>In any event, the court’s dictum in</w:t>
      </w:r>
      <w:r w:rsidRPr="00113582">
        <w:rPr>
          <w:rStyle w:val="fncaseChar"/>
          <w:szCs w:val="24"/>
        </w:rPr>
        <w:t xml:space="preserve"> </w:t>
      </w:r>
      <w:r w:rsidRPr="00113582">
        <w:rPr>
          <w:rStyle w:val="case"/>
        </w:rPr>
        <w:t>Wolverton</w:t>
      </w:r>
      <w:r w:rsidRPr="00113582">
        <w:t xml:space="preserve"> suggests that the tests applied to cases involving s 137 Highways Act 1980 or s 28 </w:t>
      </w:r>
      <w:r w:rsidRPr="00113582">
        <w:rPr>
          <w:rFonts w:cs="Arial"/>
        </w:rPr>
        <w:t xml:space="preserve">Town Police Clauses Act 1847 </w:t>
      </w:r>
      <w:r w:rsidRPr="00113582">
        <w:t>are largely identical.</w:t>
      </w:r>
      <w:r w:rsidRPr="00113582">
        <w:rPr>
          <w:rStyle w:val="FootnoteReference"/>
        </w:rPr>
        <w:footnoteReference w:id="870"/>
      </w:r>
    </w:p>
    <w:p w14:paraId="62D3694A" w14:textId="77777777" w:rsidR="0019789C" w:rsidRPr="00113582" w:rsidRDefault="0019789C" w:rsidP="00375681">
      <w:pPr>
        <w:ind w:firstLine="0"/>
      </w:pPr>
    </w:p>
    <w:p w14:paraId="637B2DD9" w14:textId="2FF0DEDC" w:rsidR="0019789C" w:rsidRPr="00113582" w:rsidRDefault="0019789C" w:rsidP="00375681">
      <w:r w:rsidRPr="00113582">
        <w:t>Lastly, as already mentioned, cases involving obstruction of the highway can also be prosecuted as public nuisance. This is the subject of the next section.</w:t>
      </w:r>
      <w:r>
        <w:rPr>
          <w:rStyle w:val="FootnoteReference"/>
        </w:rPr>
        <w:footnoteReference w:id="871"/>
      </w:r>
    </w:p>
    <w:p w14:paraId="079AC23D" w14:textId="77777777" w:rsidR="0019789C" w:rsidRPr="00113582" w:rsidRDefault="0019789C" w:rsidP="00375681">
      <w:pPr>
        <w:ind w:firstLine="0"/>
      </w:pPr>
    </w:p>
    <w:p w14:paraId="571A60EC" w14:textId="77777777" w:rsidR="0019789C" w:rsidRPr="00113582" w:rsidRDefault="0019789C" w:rsidP="00375681">
      <w:pPr>
        <w:pStyle w:val="Heading4"/>
        <w:ind w:left="0" w:firstLine="720"/>
      </w:pPr>
      <w:r w:rsidRPr="00113582">
        <w:t>(b) Remedies, Sanctions or Other Outcomes</w:t>
      </w:r>
    </w:p>
    <w:p w14:paraId="1F7D5E8D" w14:textId="7C58B292" w:rsidR="0019789C" w:rsidRPr="00113582" w:rsidRDefault="0019789C" w:rsidP="00375681">
      <w:r w:rsidRPr="00113582">
        <w:t>People convicted of the s 137 offence are liable to a fine not exceeding level 3 on the standard scale’ -</w:t>
      </w:r>
      <w:r>
        <w:t xml:space="preserve"> </w:t>
      </w:r>
      <w:r w:rsidRPr="00113582">
        <w:t>£1000.</w:t>
      </w:r>
      <w:r w:rsidRPr="00113582">
        <w:rPr>
          <w:rStyle w:val="FootnoteReference"/>
        </w:rPr>
        <w:footnoteReference w:id="872"/>
      </w:r>
      <w:r w:rsidRPr="00113582">
        <w:t xml:space="preserve"> In addition, under s 137 ZA, a court can require somebody to take steps to remove the obstruction, provided that:</w:t>
      </w:r>
    </w:p>
    <w:p w14:paraId="27A11526" w14:textId="77777777" w:rsidR="0019789C" w:rsidRPr="00113582" w:rsidRDefault="0019789C" w:rsidP="00375681">
      <w:pPr>
        <w:pStyle w:val="Quote"/>
      </w:pPr>
      <w:r w:rsidRPr="00113582">
        <w:t>(a) the obstruction is continuing, and</w:t>
      </w:r>
    </w:p>
    <w:p w14:paraId="69B5290C" w14:textId="77777777" w:rsidR="0019789C" w:rsidRPr="00113582" w:rsidRDefault="0019789C" w:rsidP="00375681">
      <w:pPr>
        <w:pStyle w:val="Quote"/>
      </w:pPr>
      <w:r w:rsidRPr="00113582">
        <w:t xml:space="preserve">(b) it is in that person’s power to remove the cause of the obstruction. </w:t>
      </w:r>
    </w:p>
    <w:p w14:paraId="65F48DD2" w14:textId="77777777" w:rsidR="0019789C" w:rsidRPr="00113582" w:rsidRDefault="0019789C" w:rsidP="00375681">
      <w:pPr>
        <w:ind w:firstLine="0"/>
        <w:rPr>
          <w:rFonts w:cs="Arial"/>
        </w:rPr>
      </w:pPr>
      <w:r w:rsidRPr="00113582">
        <w:t>In Scotland, a violation of s 129(2) Roads (Scotland) Act 1984 involves a Level 2 penalty – ie a fine of up to £500.</w:t>
      </w:r>
      <w:r w:rsidRPr="00113582">
        <w:rPr>
          <w:rStyle w:val="FootnoteReference"/>
          <w:rFonts w:eastAsia="Times New Roman" w:cs="Times New Roman"/>
          <w:color w:val="212121"/>
          <w:szCs w:val="24"/>
          <w:shd w:val="clear" w:color="auto" w:fill="FFFFFF"/>
          <w:lang w:eastAsia="en-US"/>
        </w:rPr>
        <w:footnoteReference w:id="873"/>
      </w:r>
    </w:p>
    <w:p w14:paraId="71F190AC" w14:textId="77777777" w:rsidR="0019789C" w:rsidRPr="00113582" w:rsidRDefault="0019789C" w:rsidP="00375681">
      <w:pPr>
        <w:ind w:firstLine="0"/>
      </w:pPr>
    </w:p>
    <w:p w14:paraId="5B47F917" w14:textId="77777777" w:rsidR="0019789C" w:rsidRPr="00113582" w:rsidRDefault="0019789C" w:rsidP="00375681">
      <w:pPr>
        <w:pStyle w:val="Heading4"/>
        <w:ind w:left="0" w:firstLine="720"/>
      </w:pPr>
      <w:r w:rsidRPr="00113582">
        <w:lastRenderedPageBreak/>
        <w:t xml:space="preserve">(c) Enforcement </w:t>
      </w:r>
    </w:p>
    <w:p w14:paraId="732BC2B1" w14:textId="77777777" w:rsidR="0019789C" w:rsidRPr="00113582" w:rsidRDefault="0019789C" w:rsidP="00375681">
      <w:pPr>
        <w:rPr>
          <w:lang w:bidi="en-US"/>
        </w:rPr>
      </w:pPr>
    </w:p>
    <w:p w14:paraId="70D8EA3F" w14:textId="77777777" w:rsidR="0019789C" w:rsidRPr="00113582" w:rsidRDefault="0019789C" w:rsidP="00375681">
      <w:pPr>
        <w:rPr>
          <w:szCs w:val="24"/>
          <w:shd w:val="clear" w:color="auto" w:fill="FFFFFF"/>
        </w:rPr>
      </w:pPr>
      <w:r w:rsidRPr="00113582">
        <w:rPr>
          <w:rFonts w:cs="Arial"/>
          <w:szCs w:val="24"/>
          <w:shd w:val="clear" w:color="auto" w:fill="FFFFFF"/>
        </w:rPr>
        <w:t>In order to discharge the s 130 duty, highway authorities may</w:t>
      </w:r>
      <w:r w:rsidRPr="00113582">
        <w:rPr>
          <w:rFonts w:cs="Arial"/>
          <w:shd w:val="clear" w:color="auto" w:fill="FFFFFF"/>
        </w:rPr>
        <w:t xml:space="preserve"> ‘institute legal proceedings in their own name, defend any legal proceedings and generally take such steps as they deem expedient’ – for example, by way of an injunction.</w:t>
      </w:r>
      <w:bookmarkStart w:id="85" w:name="_Ref94101523"/>
      <w:r w:rsidRPr="00113582">
        <w:rPr>
          <w:rStyle w:val="FootnoteReference"/>
          <w:rFonts w:cs="Arial"/>
          <w:shd w:val="clear" w:color="auto" w:fill="FFFFFF"/>
        </w:rPr>
        <w:footnoteReference w:id="874"/>
      </w:r>
      <w:bookmarkEnd w:id="85"/>
      <w:r w:rsidRPr="00113582">
        <w:rPr>
          <w:rFonts w:cs="Arial"/>
          <w:szCs w:val="24"/>
          <w:vertAlign w:val="superscript"/>
        </w:rPr>
        <w:t xml:space="preserve"> </w:t>
      </w:r>
      <w:r w:rsidRPr="00113582">
        <w:rPr>
          <w:szCs w:val="24"/>
          <w:shd w:val="clear" w:color="auto" w:fill="FFFFFF"/>
        </w:rPr>
        <w:t>However, breach of this duty does not give rise to an individual cause of action for damages or nuisance.</w:t>
      </w:r>
      <w:r w:rsidRPr="00113582">
        <w:rPr>
          <w:rStyle w:val="FootnoteReference"/>
          <w:szCs w:val="24"/>
          <w:shd w:val="clear" w:color="auto" w:fill="FFFFFF"/>
        </w:rPr>
        <w:footnoteReference w:id="875"/>
      </w:r>
      <w:r w:rsidRPr="00113582">
        <w:rPr>
          <w:szCs w:val="24"/>
          <w:shd w:val="clear" w:color="auto" w:fill="FFFFFF"/>
        </w:rPr>
        <w:t xml:space="preserve"> Under s 130A, any person who alleges that a footpath (or bridleway or byway) has been unlawfully obstructed, may serve a notice on the highway authority requesting that the obstruction be removed. If the person is not satisfied with the highway authority’s response, they may seek an order from the magistrates’ court requiring the authority to take specified steps to remove the obstruction.</w:t>
      </w:r>
      <w:r w:rsidRPr="00113582">
        <w:rPr>
          <w:rStyle w:val="FootnoteReference"/>
          <w:szCs w:val="24"/>
          <w:shd w:val="clear" w:color="auto" w:fill="FFFFFF"/>
        </w:rPr>
        <w:footnoteReference w:id="876"/>
      </w:r>
    </w:p>
    <w:p w14:paraId="4C9F6D18" w14:textId="77777777" w:rsidR="0019789C" w:rsidRPr="00113582" w:rsidRDefault="0019789C" w:rsidP="00375681">
      <w:pPr>
        <w:ind w:firstLine="0"/>
        <w:rPr>
          <w:szCs w:val="24"/>
          <w:shd w:val="clear" w:color="auto" w:fill="FFFFFF"/>
        </w:rPr>
      </w:pPr>
    </w:p>
    <w:p w14:paraId="1B291573" w14:textId="4D5423C4" w:rsidR="0019789C" w:rsidRPr="00113582" w:rsidRDefault="0019789C" w:rsidP="00375681">
      <w:pPr>
        <w:rPr>
          <w:szCs w:val="24"/>
          <w:shd w:val="clear" w:color="auto" w:fill="FFFFFF"/>
        </w:rPr>
      </w:pPr>
      <w:r w:rsidRPr="00113582">
        <w:t xml:space="preserve">This offence is prosecuted in the usual way </w:t>
      </w:r>
      <w:r w:rsidRPr="00113582">
        <w:rPr>
          <w:rFonts w:cs="Arial"/>
          <w:shd w:val="clear" w:color="auto" w:fill="FFFFFF"/>
        </w:rPr>
        <w:t xml:space="preserve">– </w:t>
      </w:r>
      <w:r w:rsidRPr="00113582">
        <w:t>by arrest or, more typically, by a summons to the Magistrates Court.</w:t>
      </w:r>
      <w:r w:rsidRPr="00113582">
        <w:rPr>
          <w:szCs w:val="24"/>
          <w:shd w:val="clear" w:color="auto" w:fill="FFFFFF"/>
        </w:rPr>
        <w:t xml:space="preserve"> </w:t>
      </w:r>
      <w:r w:rsidRPr="00113582">
        <w:rPr>
          <w:rFonts w:cs="Arial"/>
        </w:rPr>
        <w:t xml:space="preserve">Pursuant to s 24(5) </w:t>
      </w:r>
      <w:r>
        <w:rPr>
          <w:rFonts w:cs="Arial"/>
        </w:rPr>
        <w:t xml:space="preserve">of the </w:t>
      </w:r>
      <w:r w:rsidRPr="00113582">
        <w:rPr>
          <w:rFonts w:cs="Arial"/>
        </w:rPr>
        <w:t>Police and Criminal Evidence Act 1984,</w:t>
      </w:r>
      <w:r w:rsidRPr="00113582">
        <w:rPr>
          <w:rStyle w:val="FootnoteReference"/>
          <w:rFonts w:cs="Arial"/>
        </w:rPr>
        <w:footnoteReference w:id="877"/>
      </w:r>
      <w:r w:rsidRPr="00113582">
        <w:rPr>
          <w:rStyle w:val="apple-converted-space"/>
          <w:rFonts w:cs="Arial"/>
          <w:color w:val="252525"/>
          <w:szCs w:val="24"/>
        </w:rPr>
        <w:t xml:space="preserve"> a </w:t>
      </w:r>
      <w:r w:rsidRPr="00113582">
        <w:rPr>
          <w:rFonts w:cs="Arial"/>
        </w:rPr>
        <w:t>constable may arrest without warrant any person whom they see obstructing the highway contrary to</w:t>
      </w:r>
      <w:r w:rsidRPr="00113582">
        <w:rPr>
          <w:rStyle w:val="apple-converted-space"/>
          <w:rFonts w:cs="Arial"/>
          <w:szCs w:val="24"/>
        </w:rPr>
        <w:t> </w:t>
      </w:r>
      <w:r w:rsidRPr="00113582">
        <w:rPr>
          <w:rFonts w:cs="Arial"/>
          <w:szCs w:val="24"/>
        </w:rPr>
        <w:t xml:space="preserve">s 137 </w:t>
      </w:r>
      <w:r>
        <w:rPr>
          <w:rFonts w:cs="Arial"/>
          <w:szCs w:val="24"/>
        </w:rPr>
        <w:t xml:space="preserve">of the </w:t>
      </w:r>
      <w:r w:rsidRPr="00113582">
        <w:rPr>
          <w:rFonts w:cs="Arial"/>
          <w:szCs w:val="24"/>
        </w:rPr>
        <w:t>Highways Act 1980</w:t>
      </w:r>
      <w:r w:rsidRPr="00113582">
        <w:rPr>
          <w:rStyle w:val="apple-converted-space"/>
          <w:rFonts w:cs="Arial"/>
          <w:szCs w:val="24"/>
        </w:rPr>
        <w:t> </w:t>
      </w:r>
      <w:r w:rsidRPr="00113582">
        <w:rPr>
          <w:rFonts w:cs="Arial"/>
        </w:rPr>
        <w:t>provided that one of the conditions precedent to an arrest under</w:t>
      </w:r>
      <w:r w:rsidRPr="00113582">
        <w:rPr>
          <w:rStyle w:val="apple-converted-space"/>
          <w:rFonts w:cs="Arial"/>
          <w:szCs w:val="24"/>
        </w:rPr>
        <w:t> </w:t>
      </w:r>
      <w:r w:rsidRPr="00113582">
        <w:rPr>
          <w:rFonts w:cs="Arial"/>
          <w:szCs w:val="24"/>
        </w:rPr>
        <w:t xml:space="preserve">s 24 </w:t>
      </w:r>
      <w:r w:rsidRPr="00113582">
        <w:rPr>
          <w:rFonts w:cs="Arial"/>
        </w:rPr>
        <w:t xml:space="preserve">apply. </w:t>
      </w:r>
    </w:p>
    <w:p w14:paraId="1228AD8E" w14:textId="77777777" w:rsidR="0019789C" w:rsidRPr="00113582" w:rsidRDefault="0019789C" w:rsidP="00375681">
      <w:pPr>
        <w:rPr>
          <w:rStyle w:val="apple-converted-space"/>
          <w:szCs w:val="24"/>
          <w:shd w:val="clear" w:color="auto" w:fill="FFFFFF"/>
        </w:rPr>
      </w:pPr>
    </w:p>
    <w:p w14:paraId="3D96CCB8" w14:textId="77777777" w:rsidR="0019789C" w:rsidRPr="00113582" w:rsidRDefault="0019789C" w:rsidP="00375681">
      <w:pPr>
        <w:pStyle w:val="Heading3"/>
      </w:pPr>
      <w:r w:rsidRPr="00113582">
        <w:t xml:space="preserve">D3.2 Public nuisance (England and Wales) </w:t>
      </w:r>
    </w:p>
    <w:p w14:paraId="5CCC5426" w14:textId="77777777" w:rsidR="0019789C" w:rsidRPr="00113582" w:rsidRDefault="0019789C" w:rsidP="00375681">
      <w:pPr>
        <w:pStyle w:val="Heading4"/>
      </w:pPr>
      <w:r w:rsidRPr="00113582">
        <w:t>(a) Description and Examples</w:t>
      </w:r>
    </w:p>
    <w:p w14:paraId="18376D9A" w14:textId="77777777" w:rsidR="0019789C" w:rsidRPr="00113582" w:rsidRDefault="0019789C" w:rsidP="00375681">
      <w:r w:rsidRPr="00113582">
        <w:t>Public nuisance is any nuisance that ‘materially affects the reasonable comfort and convenience of life of a class of her Majesty’s subjects.’</w:t>
      </w:r>
      <w:r w:rsidRPr="00113582">
        <w:rPr>
          <w:rStyle w:val="FootnoteReference"/>
        </w:rPr>
        <w:footnoteReference w:id="878"/>
      </w:r>
      <w:r w:rsidRPr="00113582">
        <w:t xml:space="preserve"> Public nuisance, which is both </w:t>
      </w:r>
      <w:r w:rsidRPr="00113582">
        <w:lastRenderedPageBreak/>
        <w:t>a tort and a crime,</w:t>
      </w:r>
      <w:r w:rsidRPr="00113582">
        <w:rPr>
          <w:rStyle w:val="FootnoteReference"/>
        </w:rPr>
        <w:footnoteReference w:id="879"/>
      </w:r>
      <w:r w:rsidRPr="00113582">
        <w:t xml:space="preserve"> can give rise to three types of legal action: first, the Attorney-General or local authority, acting in the public interest, may apply for an injunction to remove the nuisance;</w:t>
      </w:r>
      <w:r w:rsidRPr="00113582">
        <w:rPr>
          <w:rStyle w:val="FootnoteReference"/>
        </w:rPr>
        <w:footnoteReference w:id="880"/>
      </w:r>
      <w:r w:rsidRPr="00113582">
        <w:t xml:space="preserve"> second, criminal proceedings may be brought against the person responsible for the nuisance; third, an individual may bring an action in tort for damages and an injunction if the claimant has suffered ‘particular’ or ‘special’ damage over and above that suffered by the public generally.</w:t>
      </w:r>
      <w:r w:rsidRPr="00113582">
        <w:rPr>
          <w:rStyle w:val="FootnoteReference"/>
        </w:rPr>
        <w:footnoteReference w:id="881"/>
      </w:r>
      <w:r w:rsidRPr="00113582">
        <w:t xml:space="preserve"> Here, we will focus on the first two categories, ie civil and criminal proceedings brought by public authorities.</w:t>
      </w:r>
      <w:r w:rsidRPr="00113582">
        <w:rPr>
          <w:rStyle w:val="FootnoteReference"/>
        </w:rPr>
        <w:footnoteReference w:id="882"/>
      </w:r>
      <w:r w:rsidRPr="00113582">
        <w:t xml:space="preserve"> </w:t>
      </w:r>
    </w:p>
    <w:p w14:paraId="21746AFD" w14:textId="77777777" w:rsidR="0019789C" w:rsidRPr="00113582" w:rsidRDefault="0019789C" w:rsidP="00375681"/>
    <w:p w14:paraId="0A392EAD" w14:textId="69A2CC97" w:rsidR="0019789C" w:rsidRPr="00113582" w:rsidRDefault="0019789C" w:rsidP="00375681">
      <w:r w:rsidRPr="00113582">
        <w:t>First, a civil action for public nuisance can be brought by an Attorney-General or a local authority (pursuant to s 222</w:t>
      </w:r>
      <w:r>
        <w:t xml:space="preserve"> of the</w:t>
      </w:r>
      <w:r w:rsidRPr="00113582">
        <w:rPr>
          <w:rStyle w:val="apple-converted-space"/>
          <w:rFonts w:ascii="Source Sans Pro" w:hAnsi="Source Sans Pro"/>
          <w:color w:val="212121"/>
        </w:rPr>
        <w:t> </w:t>
      </w:r>
      <w:r w:rsidRPr="00113582">
        <w:t>Local Government Act 1972, which grants local authorities with the power to bring, defend or appear in proceedings for the promotion or protection of the interests of inhabitants of their area). The standing of public bodies in such actions is to the benefit of the public:</w:t>
      </w:r>
    </w:p>
    <w:p w14:paraId="4EC05041" w14:textId="77777777" w:rsidR="0019789C" w:rsidRPr="00113582" w:rsidRDefault="0019789C" w:rsidP="00375681">
      <w:pPr>
        <w:pStyle w:val="Quote"/>
      </w:pPr>
      <w:r w:rsidRPr="00113582">
        <w:t>A public nuisance is a nuisance which is so widespread in its range or so indiscriminate in its effect that it would not be reasonable to expect one person to take proceedings on his own responsibility to put a stop to it, but that it should be taken on the responsibility of the community at large.</w:t>
      </w:r>
      <w:r w:rsidRPr="00113582">
        <w:rPr>
          <w:rStyle w:val="FootnoteReference"/>
        </w:rPr>
        <w:footnoteReference w:id="883"/>
      </w:r>
    </w:p>
    <w:p w14:paraId="42D3AA4D" w14:textId="77777777" w:rsidR="0019789C" w:rsidRPr="00113582" w:rsidRDefault="0019789C" w:rsidP="00375681">
      <w:pPr>
        <w:ind w:firstLine="0"/>
        <w:rPr>
          <w:shd w:val="clear" w:color="auto" w:fill="FFFFFF"/>
        </w:rPr>
      </w:pPr>
    </w:p>
    <w:p w14:paraId="4D3919E6" w14:textId="77777777" w:rsidR="0019789C" w:rsidRPr="00113582" w:rsidRDefault="0019789C" w:rsidP="00375681">
      <w:pPr>
        <w:rPr>
          <w:rFonts w:eastAsia="Times New Roman"/>
          <w:shd w:val="clear" w:color="auto" w:fill="FFFFFF"/>
          <w:lang w:eastAsia="en-US"/>
        </w:rPr>
      </w:pPr>
      <w:r w:rsidRPr="00113582">
        <w:rPr>
          <w:shd w:val="clear" w:color="auto" w:fill="FFFFFF"/>
        </w:rPr>
        <w:t xml:space="preserve">In </w:t>
      </w:r>
      <w:r w:rsidRPr="00113582">
        <w:rPr>
          <w:rStyle w:val="case"/>
        </w:rPr>
        <w:t>Attorney-General v Wilcox</w:t>
      </w:r>
      <w:r w:rsidRPr="00113582">
        <w:t>,</w:t>
      </w:r>
      <w:r w:rsidRPr="00113582">
        <w:rPr>
          <w:rStyle w:val="FootnoteReference"/>
        </w:rPr>
        <w:footnoteReference w:id="884"/>
      </w:r>
      <w:r w:rsidRPr="00113582">
        <w:t xml:space="preserve"> the defendant </w:t>
      </w:r>
      <w:r w:rsidRPr="00113582">
        <w:rPr>
          <w:rFonts w:eastAsia="Times New Roman"/>
          <w:lang w:eastAsia="en-US"/>
        </w:rPr>
        <w:t xml:space="preserve">erected posts on a towpath over </w:t>
      </w:r>
      <w:r w:rsidRPr="00113582">
        <w:rPr>
          <w:rFonts w:eastAsia="Times New Roman"/>
          <w:shd w:val="clear" w:color="auto" w:fill="FFFFFF"/>
          <w:lang w:eastAsia="en-US"/>
        </w:rPr>
        <w:t>which there was a public right of way by foot and a public right of towage. The posts did not substantially obstruct the path for foot passengers, but did, to some extent, obstruct the towing of barges.</w:t>
      </w:r>
      <w:r w:rsidRPr="00113582">
        <w:rPr>
          <w:rStyle w:val="FootnoteReference"/>
          <w:rFonts w:eastAsia="Times New Roman"/>
          <w:shd w:val="clear" w:color="auto" w:fill="FFFFFF"/>
          <w:lang w:eastAsia="en-US"/>
        </w:rPr>
        <w:footnoteReference w:id="885"/>
      </w:r>
      <w:r w:rsidRPr="00113582">
        <w:rPr>
          <w:rFonts w:eastAsia="Times New Roman"/>
          <w:shd w:val="clear" w:color="auto" w:fill="FFFFFF"/>
          <w:lang w:eastAsia="en-US"/>
        </w:rPr>
        <w:t xml:space="preserve"> The </w:t>
      </w:r>
      <w:r w:rsidRPr="00113582">
        <w:rPr>
          <w:rFonts w:eastAsia="Times New Roman"/>
          <w:lang w:eastAsia="en-US"/>
        </w:rPr>
        <w:t xml:space="preserve">Attorney-General </w:t>
      </w:r>
      <w:r w:rsidRPr="00113582">
        <w:rPr>
          <w:rFonts w:eastAsia="Times New Roman"/>
          <w:shd w:val="clear" w:color="auto" w:fill="FFFFFF"/>
          <w:lang w:eastAsia="en-US"/>
        </w:rPr>
        <w:t>sought a declaration that the posts were an obstruction of the public highway and/or a public nuisance, and asked for an injunction</w:t>
      </w:r>
      <w:r w:rsidRPr="00113582">
        <w:rPr>
          <w:rFonts w:eastAsia="Times New Roman"/>
          <w:lang w:eastAsia="en-US"/>
        </w:rPr>
        <w:t>.</w:t>
      </w:r>
      <w:r w:rsidRPr="00113582">
        <w:rPr>
          <w:rStyle w:val="FootnoteReference"/>
          <w:rFonts w:eastAsia="Times New Roman"/>
          <w:lang w:eastAsia="en-US"/>
        </w:rPr>
        <w:footnoteReference w:id="886"/>
      </w:r>
      <w:r w:rsidRPr="00113582">
        <w:rPr>
          <w:rFonts w:eastAsia="Times New Roman"/>
          <w:lang w:eastAsia="en-US"/>
        </w:rPr>
        <w:t xml:space="preserve"> The Court </w:t>
      </w:r>
      <w:r w:rsidRPr="00113582">
        <w:rPr>
          <w:rFonts w:eastAsia="Times New Roman"/>
          <w:shd w:val="clear" w:color="auto" w:fill="FFFFFF"/>
          <w:lang w:eastAsia="en-US"/>
        </w:rPr>
        <w:t xml:space="preserve">noted that it would not interfere where the obstruction was so trivial as not to constitute a substantial interference – eg a temporary obstruction such as stopping to </w:t>
      </w:r>
      <w:r w:rsidRPr="00113582">
        <w:rPr>
          <w:rFonts w:eastAsia="Times New Roman"/>
          <w:shd w:val="clear" w:color="auto" w:fill="FFFFFF"/>
          <w:lang w:eastAsia="en-US"/>
        </w:rPr>
        <w:lastRenderedPageBreak/>
        <w:t>let out passengers or for unloading.</w:t>
      </w:r>
      <w:r w:rsidRPr="00113582">
        <w:rPr>
          <w:rStyle w:val="FootnoteReference"/>
          <w:rFonts w:eastAsia="Times New Roman"/>
          <w:shd w:val="clear" w:color="auto" w:fill="FFFFFF"/>
          <w:lang w:eastAsia="en-US"/>
        </w:rPr>
        <w:footnoteReference w:id="887"/>
      </w:r>
      <w:r w:rsidRPr="00113582">
        <w:rPr>
          <w:rFonts w:eastAsia="Times New Roman"/>
          <w:shd w:val="clear" w:color="auto" w:fill="FFFFFF"/>
          <w:lang w:eastAsia="en-US"/>
        </w:rPr>
        <w:t xml:space="preserve"> Moreover, when ‘a comparatively trivial obstruction’ makes the path ‘more convenient or commodious for the public … the Court may not think it right to interfere’; here, the posts prevented vehicles from using the towpath, which benefited and safeguarded the public.</w:t>
      </w:r>
      <w:r w:rsidRPr="00113582">
        <w:rPr>
          <w:rStyle w:val="FootnoteReference"/>
          <w:rFonts w:eastAsia="Times New Roman"/>
          <w:shd w:val="clear" w:color="auto" w:fill="FFFFFF"/>
          <w:lang w:eastAsia="en-US"/>
        </w:rPr>
        <w:footnoteReference w:id="888"/>
      </w:r>
      <w:r w:rsidRPr="00113582">
        <w:rPr>
          <w:rFonts w:eastAsia="Times New Roman"/>
          <w:shd w:val="clear" w:color="auto" w:fill="FFFFFF"/>
          <w:lang w:eastAsia="en-US"/>
        </w:rPr>
        <w:t xml:space="preserve"> Nonetheless, since</w:t>
      </w:r>
      <w:r w:rsidRPr="00113582">
        <w:t xml:space="preserve"> it could not be said that the posts were sufficient in making </w:t>
      </w:r>
      <w:r w:rsidRPr="00113582">
        <w:rPr>
          <w:rFonts w:eastAsia="Times New Roman"/>
          <w:shd w:val="clear" w:color="auto" w:fill="FFFFFF"/>
          <w:lang w:eastAsia="en-US"/>
        </w:rPr>
        <w:t>the path better and more convenient for the public, they amounted to an interference with the public’s right to use the path for towing purposes.</w:t>
      </w:r>
      <w:r w:rsidRPr="00113582">
        <w:rPr>
          <w:rStyle w:val="FootnoteReference"/>
          <w:rFonts w:eastAsia="Times New Roman"/>
          <w:shd w:val="clear" w:color="auto" w:fill="FFFFFF"/>
          <w:lang w:eastAsia="en-US"/>
        </w:rPr>
        <w:footnoteReference w:id="889"/>
      </w:r>
      <w:r w:rsidRPr="00113582">
        <w:rPr>
          <w:rFonts w:eastAsia="Times New Roman"/>
          <w:shd w:val="clear" w:color="auto" w:fill="FFFFFF"/>
          <w:lang w:eastAsia="en-US"/>
        </w:rPr>
        <w:t xml:space="preserve"> The Court also held that</w:t>
      </w:r>
      <w:r w:rsidRPr="00113582">
        <w:rPr>
          <w:rFonts w:eastAsia="Times New Roman"/>
          <w:lang w:eastAsia="en-US"/>
        </w:rPr>
        <w:t>, although the public had a right to use the footpath, the obstruction alone did not substantially interfere with this right. However, the posts were not adequately lit, making them potentially dangerous at night-time. Consequently, there was an interference with the rights of foot passengers and the right of towage. A declaration and an injunction were therefore ordered.</w:t>
      </w:r>
      <w:r w:rsidRPr="00113582">
        <w:rPr>
          <w:rStyle w:val="FootnoteReference"/>
          <w:rFonts w:eastAsia="Times New Roman"/>
          <w:lang w:eastAsia="en-US"/>
        </w:rPr>
        <w:footnoteReference w:id="890"/>
      </w:r>
    </w:p>
    <w:p w14:paraId="22A362CD" w14:textId="77777777" w:rsidR="0019789C" w:rsidRPr="00113582" w:rsidRDefault="0019789C" w:rsidP="00375681">
      <w:pPr>
        <w:rPr>
          <w:rFonts w:eastAsia="Times New Roman"/>
          <w:shd w:val="clear" w:color="auto" w:fill="FFFFFF"/>
          <w:lang w:eastAsia="en-US"/>
        </w:rPr>
      </w:pPr>
    </w:p>
    <w:p w14:paraId="71120891" w14:textId="77777777" w:rsidR="0019789C" w:rsidRPr="00113582" w:rsidRDefault="0019789C" w:rsidP="00375681">
      <w:r w:rsidRPr="00113582">
        <w:t>Second, public nuisance is a criminal offence under common law, rather than statute. An authoritative description of it is as follows:</w:t>
      </w:r>
    </w:p>
    <w:p w14:paraId="5BDFA86C" w14:textId="77777777" w:rsidR="0019789C" w:rsidRPr="00113582" w:rsidRDefault="0019789C" w:rsidP="00375681">
      <w:pPr>
        <w:pStyle w:val="Quote"/>
      </w:pPr>
      <w:r w:rsidRPr="00113582">
        <w:t>A person is guilty of a public nuisance (also known as common nuisance), who (a) does an act not warranted by law, or (b) omits to discharge a legal duty, if the effect of the act or omission is to endanger the life, health, property, morals, or comfort of the public, or to obstruct the public in the exercise or enjoyment of rights common to all Her Majesty's subjects.</w:t>
      </w:r>
      <w:bookmarkStart w:id="86" w:name="_Ref94101213"/>
      <w:r w:rsidRPr="00113582">
        <w:rPr>
          <w:rStyle w:val="FootnoteReference"/>
        </w:rPr>
        <w:footnoteReference w:id="891"/>
      </w:r>
      <w:bookmarkEnd w:id="86"/>
    </w:p>
    <w:p w14:paraId="2E4D19EB" w14:textId="77777777" w:rsidR="0019789C" w:rsidRPr="00113582" w:rsidRDefault="0019789C" w:rsidP="00375681">
      <w:pPr>
        <w:ind w:firstLine="0"/>
      </w:pPr>
      <w:r w:rsidRPr="00113582">
        <w:t xml:space="preserve">Yet there is concern that the criminal offence of public nuisance continues to exist despite being outdated. In 2006, Lord Bingham commented that </w:t>
      </w:r>
      <w:r w:rsidRPr="00113582">
        <w:rPr>
          <w:rFonts w:eastAsia="Times New Roman"/>
          <w:shd w:val="clear" w:color="auto" w:fill="FFFFFF"/>
          <w:lang w:eastAsia="en-US"/>
        </w:rPr>
        <w:t>resorting to the common law crime of public nuisance may be relatively rare in the future, but that the courts have no power to abolish existing offences. In his words:</w:t>
      </w:r>
    </w:p>
    <w:p w14:paraId="5EE80850" w14:textId="77777777" w:rsidR="0019789C" w:rsidRPr="00113582" w:rsidRDefault="0019789C" w:rsidP="00375681">
      <w:pPr>
        <w:pStyle w:val="Quote"/>
      </w:pPr>
      <w:r w:rsidRPr="00113582">
        <w:rPr>
          <w:rFonts w:eastAsia="Times New Roman"/>
          <w:shd w:val="clear" w:color="auto" w:fill="FFFFFF"/>
          <w:lang w:eastAsia="en-US"/>
        </w:rPr>
        <w:t xml:space="preserve">That is a task for Parliament, following careful consideration (perhaps undertaken, in the first instance, by the Law Commission) whether there are aspects of the public interest which the crime of public nuisance has a continuing role to protect. It is not in my view open to the House in resolving these appeals </w:t>
      </w:r>
      <w:r w:rsidRPr="00113582">
        <w:rPr>
          <w:rFonts w:eastAsia="Times New Roman"/>
          <w:shd w:val="clear" w:color="auto" w:fill="FFFFFF"/>
          <w:lang w:eastAsia="en-US"/>
        </w:rPr>
        <w:lastRenderedPageBreak/>
        <w:t>to conclude that the common law crime of causing a public nuisance no longer exists.</w:t>
      </w:r>
      <w:bookmarkStart w:id="87" w:name="_Ref39595558"/>
      <w:r w:rsidRPr="00113582">
        <w:rPr>
          <w:rStyle w:val="FootnoteReference"/>
          <w:rFonts w:eastAsia="Times New Roman"/>
          <w:shd w:val="clear" w:color="auto" w:fill="FFFFFF"/>
          <w:lang w:eastAsia="en-US"/>
        </w:rPr>
        <w:footnoteReference w:id="892"/>
      </w:r>
      <w:bookmarkEnd w:id="87"/>
    </w:p>
    <w:p w14:paraId="0693CAE5" w14:textId="77777777" w:rsidR="0019789C" w:rsidRPr="00113582" w:rsidRDefault="0019789C" w:rsidP="00375681"/>
    <w:p w14:paraId="6EDB60E5" w14:textId="0B19C793" w:rsidR="0019789C" w:rsidRPr="00113582" w:rsidRDefault="0019789C" w:rsidP="00375681">
      <w:pPr>
        <w:rPr>
          <w:rFonts w:ascii="Times New Roman" w:eastAsia="Times New Roman" w:hAnsi="Times New Roman" w:cs="Times New Roman"/>
          <w:color w:val="auto"/>
          <w:szCs w:val="24"/>
          <w:lang w:eastAsia="en-US"/>
        </w:rPr>
      </w:pPr>
      <w:r w:rsidRPr="00113582">
        <w:t>In 2015 the Law Commission proposed replacing the common law offence of public nuisance with legislation.</w:t>
      </w:r>
      <w:bookmarkStart w:id="88" w:name="_Ref30768671"/>
      <w:r w:rsidRPr="00113582">
        <w:rPr>
          <w:rStyle w:val="FootnoteReference"/>
        </w:rPr>
        <w:footnoteReference w:id="893"/>
      </w:r>
      <w:bookmarkEnd w:id="88"/>
      <w:r w:rsidRPr="00113582">
        <w:t xml:space="preserve"> In its view,</w:t>
      </w:r>
      <w:r>
        <w:t xml:space="preserve"> </w:t>
      </w:r>
      <w:r w:rsidRPr="00113582">
        <w:t>there remained a need for an offence of public nuisance, but the</w:t>
      </w:r>
      <w:r>
        <w:t xml:space="preserve"> </w:t>
      </w:r>
      <w:r w:rsidRPr="00113582">
        <w:t>existing common law offence should be replaced by y one set out in a statute.</w:t>
      </w:r>
      <w:r w:rsidRPr="00113582">
        <w:rPr>
          <w:rStyle w:val="FootnoteReference"/>
        </w:rPr>
        <w:footnoteReference w:id="894"/>
      </w:r>
      <w:r w:rsidRPr="00113582">
        <w:t xml:space="preserve"> One reason for this recommendation was that, when properly used, the offence of public nuisance aims to protect the public’s right to enjoy public spaces or public rights without danger, interference or annoyance. However, the offence is frequently used for miscellaneous misbehaviour falling outside this category, such as hoax calls or abusive emails to a police officer.</w:t>
      </w:r>
      <w:r w:rsidRPr="00113582">
        <w:rPr>
          <w:rStyle w:val="FootnoteReference"/>
        </w:rPr>
        <w:footnoteReference w:id="895"/>
      </w:r>
      <w:r w:rsidRPr="00113582">
        <w:t xml:space="preserve"> Moreover, the offence is often used at common law to address obstructions on public highways and activities causing a loss of amenity in the neighbourhood, which are now largely addressed by other offences, procedures and statutes. Obstructing the highway, as explained above, is</w:t>
      </w:r>
      <w:r>
        <w:t xml:space="preserve"> </w:t>
      </w:r>
      <w:r w:rsidRPr="00113582">
        <w:t>an offence under s 137 of the Highways Act 1980; loss of amenity can be tackled by way of the Environmental Protection Act 1990</w:t>
      </w:r>
      <w:r w:rsidRPr="00113582">
        <w:rPr>
          <w:rStyle w:val="FootnoteReference"/>
        </w:rPr>
        <w:footnoteReference w:id="896"/>
      </w:r>
      <w:r w:rsidRPr="00113582">
        <w:t>; and local authorities have the power to make bye-laws to suppress nuisances under the Local Government Act 1972.</w:t>
      </w:r>
      <w:r w:rsidRPr="00113582">
        <w:rPr>
          <w:rStyle w:val="FootnoteReference"/>
        </w:rPr>
        <w:footnoteReference w:id="897"/>
      </w:r>
    </w:p>
    <w:p w14:paraId="712129C0" w14:textId="77777777" w:rsidR="0019789C" w:rsidRPr="00113582" w:rsidRDefault="0019789C" w:rsidP="00375681"/>
    <w:p w14:paraId="204B8EA2" w14:textId="101D453D" w:rsidR="0019789C" w:rsidRPr="00113582" w:rsidRDefault="0019789C" w:rsidP="00375681">
      <w:r w:rsidRPr="00113582">
        <w:t>Concerns had been voiced during the Law Commission’s consultation that abolishing the offence of public nuisance would also have the effect of undermining civil actions for public nuisance. This was particularly important given that the civil right of action for public nuisance contains the right to apply for an injunction to stop or remove the nuisance.</w:t>
      </w:r>
      <w:r w:rsidRPr="00113582">
        <w:rPr>
          <w:rStyle w:val="FootnoteReference"/>
        </w:rPr>
        <w:footnoteReference w:id="898"/>
      </w:r>
      <w:r w:rsidRPr="00113582">
        <w:t xml:space="preserve"> Accordingly, the concern was that ‘if the crime of public nuisance were completely abolished, with it would also go the possibility of obtaining an injunction to </w:t>
      </w:r>
      <w:r w:rsidRPr="00113582">
        <w:lastRenderedPageBreak/>
        <w:t>stop one’.</w:t>
      </w:r>
      <w:r w:rsidRPr="00113582">
        <w:rPr>
          <w:rStyle w:val="FootnoteReference"/>
        </w:rPr>
        <w:footnoteReference w:id="899"/>
      </w:r>
      <w:r w:rsidRPr="00113582">
        <w:t xml:space="preserve"> However, the Commission emphasised that any statute abolishing or replacing the common law offence of public nuisance should contain a saving provision to the effect that it shall not prejudice the availability of any civil </w:t>
      </w:r>
      <w:r>
        <w:t>action</w:t>
      </w:r>
      <w:r w:rsidRPr="00113582">
        <w:t>.</w:t>
      </w:r>
      <w:r w:rsidRPr="00113582">
        <w:rPr>
          <w:rStyle w:val="FootnoteReference"/>
        </w:rPr>
        <w:footnoteReference w:id="900"/>
      </w:r>
      <w:r w:rsidRPr="00113582">
        <w:t xml:space="preserve"> The Law Commission’s recommendations have not yet been implemented.</w:t>
      </w:r>
    </w:p>
    <w:p w14:paraId="0DAB9547" w14:textId="77777777" w:rsidR="0019789C" w:rsidRPr="00113582" w:rsidRDefault="0019789C" w:rsidP="00375681">
      <w:pPr>
        <w:ind w:firstLine="0"/>
      </w:pPr>
    </w:p>
    <w:p w14:paraId="0A8A6FA8" w14:textId="77777777" w:rsidR="0019789C" w:rsidRPr="00113582" w:rsidRDefault="0019789C" w:rsidP="00375681">
      <w:pPr>
        <w:pStyle w:val="Heading4"/>
        <w:ind w:left="0" w:firstLine="720"/>
      </w:pPr>
      <w:r w:rsidRPr="00113582">
        <w:t>(b) Remedies, Sanctions or Other Outcomes</w:t>
      </w:r>
    </w:p>
    <w:p w14:paraId="62315A9F" w14:textId="56345E8C" w:rsidR="0019789C" w:rsidRPr="00113582" w:rsidRDefault="0019789C" w:rsidP="00375681">
      <w:pPr>
        <w:rPr>
          <w:rFonts w:ascii="Times New Roman" w:eastAsia="Times New Roman" w:hAnsi="Times New Roman"/>
          <w:szCs w:val="24"/>
          <w:lang w:eastAsia="en-US"/>
        </w:rPr>
      </w:pPr>
      <w:r w:rsidRPr="00113582">
        <w:rPr>
          <w:rFonts w:eastAsia="Times New Roman"/>
          <w:lang w:eastAsia="en-US"/>
        </w:rPr>
        <w:t>There are a range of possible penalties for the criminal offence of public nuisance at common law. These include a fine, community sentence and imprisonment.</w:t>
      </w:r>
      <w:r w:rsidRPr="00113582">
        <w:rPr>
          <w:rStyle w:val="FootnoteReference"/>
          <w:rFonts w:eastAsia="Times New Roman"/>
          <w:lang w:eastAsia="en-US"/>
        </w:rPr>
        <w:footnoteReference w:id="901"/>
      </w:r>
      <w:r>
        <w:rPr>
          <w:rFonts w:eastAsia="Times New Roman"/>
          <w:position w:val="10"/>
          <w:sz w:val="14"/>
          <w:szCs w:val="14"/>
          <w:lang w:eastAsia="en-US"/>
        </w:rPr>
        <w:t xml:space="preserve"> </w:t>
      </w:r>
      <w:r w:rsidRPr="00113582">
        <w:rPr>
          <w:rFonts w:eastAsia="Times New Roman"/>
          <w:lang w:eastAsia="en-US"/>
        </w:rPr>
        <w:t>Given that public nuisance is a common law offence, and there is no statutory provision to the contrary, the Crown Court has an unlimited power to order imprisonment.</w:t>
      </w:r>
      <w:r w:rsidRPr="00113582">
        <w:rPr>
          <w:rStyle w:val="FootnoteReference"/>
          <w:rFonts w:eastAsia="Times New Roman"/>
          <w:lang w:eastAsia="en-US"/>
        </w:rPr>
        <w:footnoteReference w:id="902"/>
      </w:r>
      <w:r w:rsidRPr="00113582">
        <w:rPr>
          <w:rFonts w:eastAsia="Times New Roman"/>
          <w:position w:val="10"/>
          <w:sz w:val="14"/>
          <w:szCs w:val="14"/>
          <w:lang w:eastAsia="en-US"/>
        </w:rPr>
        <w:t xml:space="preserve"> </w:t>
      </w:r>
    </w:p>
    <w:p w14:paraId="1A6E75C8" w14:textId="77777777" w:rsidR="0019789C" w:rsidRPr="00113582" w:rsidRDefault="0019789C" w:rsidP="00375681"/>
    <w:p w14:paraId="1AA94257" w14:textId="5C207E38" w:rsidR="0019789C" w:rsidRPr="00113582" w:rsidRDefault="0019789C" w:rsidP="00375681">
      <w:r w:rsidRPr="00113582">
        <w:t xml:space="preserve">Remedies for civil public nuisance cases brought by local authorities or the Attorney-General include an injunction, where the court considers it </w:t>
      </w:r>
      <w:r w:rsidRPr="00113582">
        <w:rPr>
          <w:rFonts w:eastAsia="Times New Roman"/>
          <w:shd w:val="clear" w:color="auto" w:fill="FFFFFF"/>
          <w:lang w:eastAsia="en-US"/>
        </w:rPr>
        <w:t>justified and proportionate.</w:t>
      </w:r>
      <w:r w:rsidRPr="00113582">
        <w:rPr>
          <w:rStyle w:val="FootnoteReference"/>
          <w:rFonts w:eastAsia="Times New Roman"/>
          <w:shd w:val="clear" w:color="auto" w:fill="FFFFFF"/>
          <w:lang w:eastAsia="en-US"/>
        </w:rPr>
        <w:footnoteReference w:id="903"/>
      </w:r>
      <w:r w:rsidRPr="00113582">
        <w:rPr>
          <w:rFonts w:eastAsia="Times New Roman"/>
          <w:shd w:val="clear" w:color="auto" w:fill="FFFFFF"/>
          <w:lang w:eastAsia="en-US"/>
        </w:rPr>
        <w:t xml:space="preserve"> Such an injunction </w:t>
      </w:r>
      <w:r w:rsidRPr="00113582">
        <w:t>may specify limits on the obstruction, or require its entire removal. Section 27 of the Police and Justice Act 2006 provides that, in certain narrow circumstances, the power to arrest and remand may be attached to an injunction sought by local authorities under s 222</w:t>
      </w:r>
      <w:r w:rsidRPr="00113582">
        <w:rPr>
          <w:rStyle w:val="apple-converted-space"/>
          <w:rFonts w:ascii="Source Sans Pro" w:hAnsi="Source Sans Pro"/>
          <w:color w:val="212121"/>
        </w:rPr>
        <w:t> </w:t>
      </w:r>
      <w:r>
        <w:rPr>
          <w:rStyle w:val="apple-converted-space"/>
          <w:rFonts w:ascii="Source Sans Pro" w:hAnsi="Source Sans Pro"/>
          <w:color w:val="212121"/>
        </w:rPr>
        <w:t xml:space="preserve">of the </w:t>
      </w:r>
      <w:r w:rsidRPr="00113582">
        <w:t>Local Government Act 1972.</w:t>
      </w:r>
      <w:r w:rsidRPr="00113582">
        <w:rPr>
          <w:rStyle w:val="FootnoteReference"/>
        </w:rPr>
        <w:footnoteReference w:id="904"/>
      </w:r>
    </w:p>
    <w:p w14:paraId="6A62BE6C" w14:textId="77777777" w:rsidR="0019789C" w:rsidRPr="00113582" w:rsidRDefault="0019789C" w:rsidP="00375681">
      <w:pPr>
        <w:ind w:firstLine="0"/>
      </w:pPr>
    </w:p>
    <w:p w14:paraId="693025A0" w14:textId="77777777" w:rsidR="0019789C" w:rsidRPr="00113582" w:rsidRDefault="0019789C" w:rsidP="00375681">
      <w:pPr>
        <w:pStyle w:val="Heading4"/>
      </w:pPr>
      <w:r w:rsidRPr="00113582">
        <w:t xml:space="preserve">(c) Enforcement </w:t>
      </w:r>
    </w:p>
    <w:p w14:paraId="2EA8EAE2" w14:textId="77777777" w:rsidR="0019789C" w:rsidRPr="00113582" w:rsidRDefault="0019789C" w:rsidP="00375681">
      <w:pPr>
        <w:rPr>
          <w:shd w:val="clear" w:color="auto" w:fill="FFFFFF"/>
        </w:rPr>
      </w:pPr>
      <w:r w:rsidRPr="00113582">
        <w:rPr>
          <w:rFonts w:eastAsia="Times New Roman"/>
          <w:shd w:val="clear" w:color="auto" w:fill="FFFFFF"/>
          <w:lang w:eastAsia="en-US"/>
        </w:rPr>
        <w:t>A local authority can initiate a civil action for public nuisance in its own right.</w:t>
      </w:r>
      <w:r w:rsidRPr="00113582">
        <w:rPr>
          <w:rStyle w:val="FootnoteReference"/>
          <w:rFonts w:eastAsia="Times New Roman"/>
          <w:shd w:val="clear" w:color="auto" w:fill="FFFFFF"/>
          <w:lang w:eastAsia="en-US"/>
        </w:rPr>
        <w:footnoteReference w:id="905"/>
      </w:r>
      <w:r w:rsidRPr="00113582">
        <w:rPr>
          <w:rFonts w:eastAsia="Times New Roman"/>
          <w:shd w:val="clear" w:color="auto" w:fill="FFFFFF"/>
          <w:lang w:eastAsia="en-US"/>
        </w:rPr>
        <w:t xml:space="preserve"> The Attorney-General </w:t>
      </w:r>
      <w:r w:rsidRPr="00113582">
        <w:rPr>
          <w:shd w:val="clear" w:color="auto" w:fill="FFFFFF"/>
        </w:rPr>
        <w:t xml:space="preserve">can also ‘obtain a mandatory injunction against breach of a statute </w:t>
      </w:r>
      <w:r w:rsidRPr="00113582">
        <w:rPr>
          <w:shd w:val="clear" w:color="auto" w:fill="FFFFFF"/>
        </w:rPr>
        <w:lastRenderedPageBreak/>
        <w:t>without proof of actual injury to the public … and it is his sole province to determine whether he ought to take action’.</w:t>
      </w:r>
      <w:r w:rsidRPr="00113582">
        <w:rPr>
          <w:rStyle w:val="FootnoteReference"/>
          <w:shd w:val="clear" w:color="auto" w:fill="FFFFFF"/>
        </w:rPr>
        <w:footnoteReference w:id="906"/>
      </w:r>
      <w:r w:rsidRPr="00113582">
        <w:rPr>
          <w:shd w:val="clear" w:color="auto" w:fill="FFFFFF"/>
        </w:rPr>
        <w:t xml:space="preserve"> However, if there are other statutory powers available, such as criminal offences or s 130 of the Highways Act 1980, an injunction may not be the most appropriate means of addressing the obstruction.</w:t>
      </w:r>
      <w:r w:rsidRPr="00113582">
        <w:rPr>
          <w:rStyle w:val="FootnoteReference"/>
          <w:shd w:val="clear" w:color="auto" w:fill="FFFFFF"/>
        </w:rPr>
        <w:footnoteReference w:id="907"/>
      </w:r>
      <w:r w:rsidRPr="00113582">
        <w:rPr>
          <w:shd w:val="clear" w:color="auto" w:fill="FFFFFF"/>
        </w:rPr>
        <w:t xml:space="preserve"> </w:t>
      </w:r>
    </w:p>
    <w:p w14:paraId="2147AC28" w14:textId="77777777" w:rsidR="0019789C" w:rsidRPr="00113582" w:rsidRDefault="0019789C" w:rsidP="00375681">
      <w:pPr>
        <w:rPr>
          <w:shd w:val="clear" w:color="auto" w:fill="FFFFFF"/>
        </w:rPr>
      </w:pPr>
    </w:p>
    <w:p w14:paraId="55A43C05" w14:textId="77777777" w:rsidR="0019789C" w:rsidRPr="00113582" w:rsidRDefault="0019789C" w:rsidP="00375681">
      <w:r w:rsidRPr="00113582">
        <w:rPr>
          <w:rFonts w:eastAsia="Times New Roman"/>
          <w:lang w:eastAsia="en-US"/>
        </w:rPr>
        <w:t>The criminal offence of public nuisance is triable ‘either-way’ – that is, either in the Crown Court or a Magistrates Court.</w:t>
      </w:r>
      <w:r w:rsidRPr="00113582">
        <w:rPr>
          <w:rStyle w:val="FootnoteReference"/>
          <w:rFonts w:eastAsia="Times New Roman"/>
          <w:lang w:eastAsia="en-US"/>
        </w:rPr>
        <w:footnoteReference w:id="908"/>
      </w:r>
      <w:r w:rsidRPr="00113582">
        <w:rPr>
          <w:rFonts w:eastAsia="Times New Roman"/>
          <w:lang w:eastAsia="en-US"/>
        </w:rPr>
        <w:t xml:space="preserve"> Yet </w:t>
      </w:r>
      <w:r w:rsidRPr="00113582">
        <w:t xml:space="preserve">prosecutions for the common law offence of public nuisance (by obstructing or improperly using a highway) are increasingly rare. This is largely because there is a statutory offence which covers the same conduct, such as s 137 of the Highways Act 1980. Guidance as to which of these sources of criminal liability should be used for prosecutions in particular cases was provided by the House of Lords in </w:t>
      </w:r>
      <w:r w:rsidRPr="00113582">
        <w:rPr>
          <w:rStyle w:val="case"/>
        </w:rPr>
        <w:t>R v Rimmington</w:t>
      </w:r>
      <w:r w:rsidRPr="00113582">
        <w:t>.</w:t>
      </w:r>
      <w:r w:rsidRPr="00113582">
        <w:rPr>
          <w:rStyle w:val="FootnoteReference"/>
        </w:rPr>
        <w:footnoteReference w:id="909"/>
      </w:r>
      <w:r w:rsidRPr="00113582">
        <w:t xml:space="preserve"> According to Lord Bingham in that case:</w:t>
      </w:r>
    </w:p>
    <w:p w14:paraId="189F5C38" w14:textId="77777777" w:rsidR="0019789C" w:rsidRPr="00113582" w:rsidRDefault="0019789C" w:rsidP="00375681">
      <w:pPr>
        <w:pStyle w:val="Quote"/>
        <w:rPr>
          <w:rFonts w:ascii="Times New Roman" w:eastAsia="Times New Roman" w:hAnsi="Times New Roman"/>
          <w:color w:val="auto"/>
          <w:lang w:eastAsia="en-US"/>
        </w:rPr>
      </w:pPr>
      <w:r w:rsidRPr="00113582">
        <w:rPr>
          <w:rFonts w:eastAsia="Times New Roman"/>
          <w:shd w:val="clear" w:color="auto" w:fill="FFFFFF"/>
          <w:lang w:eastAsia="en-US"/>
        </w:rPr>
        <w:t>I would not go to the length of holding that conduct may never be lawfully prosecuted as a generally-expressed common law crime where it falls within the terms of a specific statutory provision, but good practice and respect for the primacy of statute do in my judgment require that conduct falling within the terms of a specific statutory provision should be prosecuted under that provision unless there is good reason for doing otherwise</w:t>
      </w:r>
      <w:r w:rsidRPr="00113582">
        <w:rPr>
          <w:rFonts w:eastAsia="Times New Roman"/>
          <w:lang w:eastAsia="en-US"/>
        </w:rPr>
        <w:t>.</w:t>
      </w:r>
      <w:r w:rsidRPr="00113582">
        <w:rPr>
          <w:rStyle w:val="FootnoteReference"/>
          <w:rFonts w:eastAsia="Times New Roman"/>
          <w:lang w:eastAsia="en-US"/>
        </w:rPr>
        <w:footnoteReference w:id="910"/>
      </w:r>
    </w:p>
    <w:p w14:paraId="34A18000" w14:textId="77777777" w:rsidR="0019789C" w:rsidRPr="00113582" w:rsidRDefault="0019789C" w:rsidP="00375681">
      <w:pPr>
        <w:ind w:firstLine="0"/>
        <w:rPr>
          <w:rFonts w:eastAsia="Times New Roman"/>
          <w:lang w:eastAsia="en-US"/>
        </w:rPr>
      </w:pPr>
      <w:r w:rsidRPr="00113582">
        <w:t xml:space="preserve">In other words, the </w:t>
      </w:r>
      <w:r w:rsidRPr="00113582">
        <w:rPr>
          <w:rFonts w:eastAsia="Times New Roman"/>
          <w:lang w:eastAsia="en-US"/>
        </w:rPr>
        <w:t xml:space="preserve">common law offence of public nuisance should generally not be prosecuted if there is a statutory offence (eg s 137) which covers the same conduct. </w:t>
      </w:r>
    </w:p>
    <w:p w14:paraId="32B8478F" w14:textId="77777777" w:rsidR="0019789C" w:rsidRPr="00113582" w:rsidRDefault="0019789C" w:rsidP="00375681"/>
    <w:p w14:paraId="629DFE55" w14:textId="77777777" w:rsidR="0019789C" w:rsidRPr="00113582" w:rsidRDefault="0019789C" w:rsidP="00375681"/>
    <w:p w14:paraId="6232E45C" w14:textId="77777777" w:rsidR="0019789C" w:rsidRPr="00113582" w:rsidRDefault="0019789C" w:rsidP="00375681">
      <w:pPr>
        <w:pStyle w:val="Heading3"/>
      </w:pPr>
      <w:r w:rsidRPr="00113582">
        <w:t>D3.3 Snow, tree branches and other debris (Highways Act 1980, ss 130 and 150)</w:t>
      </w:r>
    </w:p>
    <w:p w14:paraId="320DE231" w14:textId="77777777" w:rsidR="0019789C" w:rsidRPr="00113582" w:rsidRDefault="0019789C" w:rsidP="00375681">
      <w:pPr>
        <w:pStyle w:val="Heading4"/>
        <w:ind w:left="0" w:firstLine="720"/>
      </w:pPr>
      <w:r w:rsidRPr="00113582">
        <w:t>(a) Description and Examples</w:t>
      </w:r>
    </w:p>
    <w:p w14:paraId="19BE588F" w14:textId="78E01A81" w:rsidR="0019789C" w:rsidRPr="00113582" w:rsidRDefault="0019789C" w:rsidP="00375681">
      <w:r w:rsidRPr="00113582">
        <w:t>Section 130 of the Highways Act 1980, discussed above, imposes duties on local authorities to assert and protect the rights of public use and enjoyment of highways. It</w:t>
      </w:r>
      <w:r>
        <w:t xml:space="preserve"> </w:t>
      </w:r>
      <w:r w:rsidRPr="00113582">
        <w:lastRenderedPageBreak/>
        <w:t>includes some overlap with s 150, which applies to the whole of the UK and specifically addresses the removal of snow and other debris. According to s 150,</w:t>
      </w:r>
    </w:p>
    <w:p w14:paraId="365813CE" w14:textId="77777777" w:rsidR="0019789C" w:rsidRPr="00113582" w:rsidRDefault="0019789C" w:rsidP="00375681">
      <w:pPr>
        <w:pStyle w:val="Quote"/>
      </w:pPr>
      <w:r w:rsidRPr="00113582">
        <w:t>(1) If an obstruction arises in a highway from accumulation of snow or from the falling down of banks on the side of the highway, or from any other cause, the highway authority shall remove the obstruction.</w:t>
      </w:r>
    </w:p>
    <w:p w14:paraId="6BFCA5F7" w14:textId="77777777" w:rsidR="0019789C" w:rsidRPr="00113582" w:rsidRDefault="0019789C" w:rsidP="00375681">
      <w:pPr>
        <w:pStyle w:val="Quote"/>
      </w:pPr>
      <w:r w:rsidRPr="00113582">
        <w:t>(2) If a highway authority fail to remove an obstruction which it is their duty under this section to remove, a magistrates' court may, on a complaint made by any person, by order require the authority to remove the obstruction within such period (not being less than 24 hours) from the making of the order as the court thinks reasonable, having regard to all the circumstances of the case. …</w:t>
      </w:r>
    </w:p>
    <w:p w14:paraId="5677F6A8" w14:textId="77777777" w:rsidR="0019789C" w:rsidRPr="00113582" w:rsidRDefault="0019789C" w:rsidP="00375681">
      <w:pPr>
        <w:ind w:firstLine="0"/>
      </w:pPr>
      <w:r w:rsidRPr="00113582">
        <w:t xml:space="preserve">Subsection (3) sets out the relevant factors the court must take into account when considering whether to make an order under s 150, and where such an order is made, the factors to take into account in determining what period to allow for the removal of the obstruction. </w:t>
      </w:r>
    </w:p>
    <w:p w14:paraId="533E63AC" w14:textId="77777777" w:rsidR="0019789C" w:rsidRPr="00113582" w:rsidRDefault="0019789C" w:rsidP="00375681">
      <w:pPr>
        <w:ind w:firstLine="0"/>
      </w:pPr>
    </w:p>
    <w:p w14:paraId="1B8292C1" w14:textId="77777777" w:rsidR="0019789C" w:rsidRPr="00113582" w:rsidRDefault="0019789C" w:rsidP="00375681">
      <w:pPr>
        <w:ind w:firstLine="284"/>
      </w:pPr>
      <w:r w:rsidRPr="00113582">
        <w:t>Although s 130 is drafted so as to refer to obstructions in broad terms, two limitations on the scope of s 150 should be noted. First, s 150 applies only to the removal of a relatively narrow range of ‘obstructions’ – ie ones created by snow or other debris, such as tree branches.</w:t>
      </w:r>
      <w:r w:rsidRPr="00113582">
        <w:rPr>
          <w:rStyle w:val="FootnoteReference"/>
        </w:rPr>
        <w:footnoteReference w:id="911"/>
      </w:r>
      <w:r w:rsidRPr="00113582">
        <w:t xml:space="preserve"> Thus, s 150 cannot be used where obstructions arise from other causes. Second, the criteria set out in s 150(3) do not explicitly mention the needs of pedestrians nor those of disabled, older or other pedestrians. It is not clear, therefore, what relative weight these issues would be given by magistrates asked to make a s 150 order.</w:t>
      </w:r>
    </w:p>
    <w:p w14:paraId="7B44C4B6" w14:textId="77777777" w:rsidR="0019789C" w:rsidRPr="00113582" w:rsidRDefault="0019789C" w:rsidP="00375681"/>
    <w:p w14:paraId="183B68B7" w14:textId="77777777" w:rsidR="0019789C" w:rsidRPr="00113582" w:rsidRDefault="0019789C" w:rsidP="00375681">
      <w:pPr>
        <w:pStyle w:val="Heading4"/>
        <w:ind w:left="0" w:firstLine="720"/>
      </w:pPr>
      <w:r w:rsidRPr="00113582">
        <w:t>(b) Remedies, Sanctions or Other Outcomes</w:t>
      </w:r>
    </w:p>
    <w:p w14:paraId="6860ECF3" w14:textId="011A4561" w:rsidR="0019789C" w:rsidRPr="00113582" w:rsidRDefault="0019789C" w:rsidP="00375681">
      <w:r w:rsidRPr="00113582">
        <w:t>The outcome of a successful action under s 150 is an order that the highways authority remove the obstruction.</w:t>
      </w:r>
      <w:r w:rsidRPr="00113582">
        <w:rPr>
          <w:rStyle w:val="FootnoteReference"/>
        </w:rPr>
        <w:footnoteReference w:id="912"/>
      </w:r>
      <w:r w:rsidRPr="00113582">
        <w:t xml:space="preserve"> The authority is authorised, subject to the conditions </w:t>
      </w:r>
      <w:r w:rsidRPr="00113582">
        <w:lastRenderedPageBreak/>
        <w:t>set out in s 150(4), to recover costs and expenses from people who caused or contributed to the obstruction without taking reasonable care. Sections 130 and 150 do not, however, give rise to any legal action for damages for personal injury – a point</w:t>
      </w:r>
      <w:r>
        <w:t xml:space="preserve"> </w:t>
      </w:r>
      <w:r w:rsidRPr="00113582">
        <w:t xml:space="preserve">confirmed by </w:t>
      </w:r>
      <w:r w:rsidRPr="00113582">
        <w:rPr>
          <w:rStyle w:val="case"/>
        </w:rPr>
        <w:t>Ali v City of Bradford Metropolitan DC</w:t>
      </w:r>
      <w:r w:rsidRPr="00113582">
        <w:rPr>
          <w:rStyle w:val="FootnoteReference"/>
          <w:rFonts w:cs="Times New Roman"/>
          <w:iCs/>
          <w:szCs w:val="24"/>
          <w:lang w:eastAsia="en-GB"/>
        </w:rPr>
        <w:footnoteReference w:id="913"/>
      </w:r>
      <w:r w:rsidRPr="00113582">
        <w:t xml:space="preserve"> and </w:t>
      </w:r>
      <w:r w:rsidRPr="00113582">
        <w:rPr>
          <w:rStyle w:val="case"/>
        </w:rPr>
        <w:t>Valentine v Transport for London</w:t>
      </w:r>
      <w:r w:rsidRPr="00113582">
        <w:t>.</w:t>
      </w:r>
      <w:r w:rsidRPr="00113582">
        <w:rPr>
          <w:rStyle w:val="FootnoteReference"/>
        </w:rPr>
        <w:footnoteReference w:id="914"/>
      </w:r>
      <w:r w:rsidRPr="00113582">
        <w:t xml:space="preserve"> </w:t>
      </w:r>
    </w:p>
    <w:p w14:paraId="696F0F8D" w14:textId="77777777" w:rsidR="0019789C" w:rsidRPr="00113582" w:rsidRDefault="0019789C" w:rsidP="00375681">
      <w:pPr>
        <w:ind w:firstLine="0"/>
      </w:pPr>
    </w:p>
    <w:p w14:paraId="64B475ED" w14:textId="77777777" w:rsidR="0019789C" w:rsidRPr="00113582" w:rsidRDefault="0019789C" w:rsidP="00375681">
      <w:pPr>
        <w:ind w:firstLine="284"/>
        <w:rPr>
          <w:rFonts w:eastAsia="Times New Roman"/>
          <w:lang w:eastAsia="en-US"/>
        </w:rPr>
      </w:pPr>
      <w:r w:rsidRPr="00113582">
        <w:t>An additional provision that does give rise to legal action for damages for personal injury is s 34 of the Roads (Scotland) Act 1984. According to s 34: ‘</w:t>
      </w:r>
      <w:r w:rsidRPr="00113582">
        <w:rPr>
          <w:rFonts w:eastAsia="Times New Roman"/>
          <w:lang w:eastAsia="en-US"/>
        </w:rPr>
        <w:t>A roads authority shall take such steps as they consider reasonable to prevent snow and ice endangering the safe passage of pedestrians and vehicles over public roads.’ As discussed in Part C (laws that can be used by pedestrians generally or NGOs on behalf of pedestrians generally)</w:t>
      </w:r>
      <w:r w:rsidRPr="00113582">
        <w:rPr>
          <w:rStyle w:val="FootnoteReference"/>
          <w:rFonts w:eastAsia="Times New Roman"/>
          <w:lang w:eastAsia="en-US"/>
        </w:rPr>
        <w:footnoteReference w:id="915"/>
      </w:r>
      <w:r w:rsidRPr="00113582">
        <w:rPr>
          <w:rFonts w:eastAsia="Times New Roman"/>
          <w:lang w:eastAsia="en-US"/>
        </w:rPr>
        <w:t xml:space="preserve"> a failure by the roads authorities to comply with this duty can found an action by an injured individual for common law negligence</w:t>
      </w:r>
      <w:r w:rsidRPr="00113582">
        <w:t>, and this includes s 34.</w:t>
      </w:r>
    </w:p>
    <w:p w14:paraId="7A1CFFE7" w14:textId="77777777" w:rsidR="0019789C" w:rsidRPr="00113582" w:rsidRDefault="0019789C" w:rsidP="00375681"/>
    <w:p w14:paraId="459235F5" w14:textId="77777777" w:rsidR="0019789C" w:rsidRPr="00113582" w:rsidRDefault="0019789C" w:rsidP="00375681">
      <w:pPr>
        <w:pStyle w:val="Heading4"/>
        <w:ind w:left="0" w:firstLine="720"/>
      </w:pPr>
      <w:r w:rsidRPr="00113582">
        <w:t xml:space="preserve">(c) Enforcement </w:t>
      </w:r>
    </w:p>
    <w:p w14:paraId="152CC75B" w14:textId="4DF5F3BA" w:rsidR="0019789C" w:rsidRPr="00113582" w:rsidRDefault="0019789C" w:rsidP="00375681">
      <w:r w:rsidRPr="00113582">
        <w:t>Any person (including public bodies) can apply to the Magistrates Court for an order under ss 130 and 150.</w:t>
      </w:r>
      <w:r w:rsidRPr="00113582">
        <w:rPr>
          <w:rStyle w:val="FootnoteReference"/>
        </w:rPr>
        <w:footnoteReference w:id="916"/>
      </w:r>
      <w:r w:rsidRPr="00113582">
        <w:t xml:space="preserve"> </w:t>
      </w:r>
    </w:p>
    <w:p w14:paraId="71E8AF3E" w14:textId="19FAC3AD" w:rsidR="0019789C" w:rsidRDefault="0019789C" w:rsidP="00375681"/>
    <w:p w14:paraId="44317CDE" w14:textId="77777777" w:rsidR="0019789C" w:rsidRPr="00113582" w:rsidRDefault="0019789C" w:rsidP="00375681"/>
    <w:p w14:paraId="0697DEC7" w14:textId="77777777" w:rsidR="0019789C" w:rsidRPr="00113582" w:rsidRDefault="0019789C" w:rsidP="00375681">
      <w:pPr>
        <w:pStyle w:val="Heading3"/>
      </w:pPr>
      <w:r w:rsidRPr="00113582">
        <w:t>D3.3.2 Parking on Pavements, Footpaths or Footways</w:t>
      </w:r>
    </w:p>
    <w:p w14:paraId="3966A041" w14:textId="77777777" w:rsidR="0019789C" w:rsidRPr="00113582" w:rsidRDefault="0019789C" w:rsidP="00427643">
      <w:pPr>
        <w:pStyle w:val="Heading4"/>
        <w:numPr>
          <w:ilvl w:val="0"/>
          <w:numId w:val="17"/>
        </w:numPr>
      </w:pPr>
      <w:r w:rsidRPr="00113582">
        <w:t>Description and Examples</w:t>
      </w:r>
    </w:p>
    <w:p w14:paraId="00DE40EC" w14:textId="02764109" w:rsidR="0019789C" w:rsidRPr="001679B1" w:rsidRDefault="0019789C" w:rsidP="00375681">
      <w:pPr>
        <w:ind w:firstLine="284"/>
        <w:rPr>
          <w:rStyle w:val="legds"/>
          <w:rFonts w:eastAsia="Times New Roman" w:cs="Arial"/>
          <w:color w:val="000000"/>
          <w:szCs w:val="24"/>
          <w:shd w:val="clear" w:color="auto" w:fill="FFFFFF"/>
          <w:lang w:eastAsia="en-US"/>
        </w:rPr>
      </w:pPr>
      <w:r w:rsidRPr="00113582">
        <w:rPr>
          <w:szCs w:val="24"/>
        </w:rPr>
        <w:t xml:space="preserve">According to s 43 </w:t>
      </w:r>
      <w:r>
        <w:rPr>
          <w:szCs w:val="24"/>
        </w:rPr>
        <w:t xml:space="preserve">of the </w:t>
      </w:r>
      <w:r w:rsidRPr="00113582">
        <w:rPr>
          <w:szCs w:val="24"/>
        </w:rPr>
        <w:t>Scotland Act 2016, on-street parking is a devolved competence of the Scottish Parliament. P</w:t>
      </w:r>
      <w:r w:rsidRPr="00113582">
        <w:t>arking on pavements was recently prohibited by the</w:t>
      </w:r>
      <w:r w:rsidRPr="00113582">
        <w:rPr>
          <w:i/>
          <w:iCs/>
          <w:szCs w:val="24"/>
        </w:rPr>
        <w:t xml:space="preserve"> </w:t>
      </w:r>
      <w:r w:rsidRPr="00113582">
        <w:rPr>
          <w:szCs w:val="24"/>
        </w:rPr>
        <w:t xml:space="preserve">Transport (Scotland) Act 2019. Once fully implemented, people will be prohibited from </w:t>
      </w:r>
      <w:r>
        <w:rPr>
          <w:szCs w:val="24"/>
        </w:rPr>
        <w:t xml:space="preserve">parking </w:t>
      </w:r>
      <w:r w:rsidRPr="00113582">
        <w:rPr>
          <w:szCs w:val="24"/>
        </w:rPr>
        <w:t xml:space="preserve">on a </w:t>
      </w:r>
      <w:r w:rsidRPr="00113582">
        <w:rPr>
          <w:rFonts w:eastAsia="Times New Roman"/>
          <w:shd w:val="clear" w:color="auto" w:fill="FFFFFF"/>
          <w:lang w:eastAsia="en-US"/>
        </w:rPr>
        <w:t xml:space="preserve">pavement </w:t>
      </w:r>
      <w:r>
        <w:rPr>
          <w:rFonts w:eastAsia="Times New Roman"/>
          <w:shd w:val="clear" w:color="auto" w:fill="FFFFFF"/>
          <w:lang w:eastAsia="en-US"/>
        </w:rPr>
        <w:t xml:space="preserve">(defined as a </w:t>
      </w:r>
      <w:r w:rsidRPr="00113582">
        <w:rPr>
          <w:rFonts w:eastAsia="Times New Roman"/>
          <w:shd w:val="clear" w:color="auto" w:fill="FFFFFF"/>
          <w:lang w:eastAsia="en-US"/>
        </w:rPr>
        <w:t>stationary</w:t>
      </w:r>
      <w:r>
        <w:rPr>
          <w:rFonts w:eastAsia="Times New Roman"/>
          <w:shd w:val="clear" w:color="auto" w:fill="FFFFFF"/>
          <w:lang w:eastAsia="en-US"/>
        </w:rPr>
        <w:t xml:space="preserve"> vehicle with </w:t>
      </w:r>
      <w:r w:rsidRPr="00113582">
        <w:rPr>
          <w:rFonts w:eastAsia="Times New Roman"/>
          <w:shd w:val="clear" w:color="auto" w:fill="FFFFFF"/>
          <w:lang w:eastAsia="en-US"/>
        </w:rPr>
        <w:t>one or more of its wheels on any part of the pavement, a term which encompasses footways and footpaths</w:t>
      </w:r>
      <w:r w:rsidRPr="00113582">
        <w:rPr>
          <w:rStyle w:val="FootnoteReference"/>
          <w:rFonts w:eastAsia="Times New Roman"/>
          <w:shd w:val="clear" w:color="auto" w:fill="FFFFFF"/>
          <w:lang w:eastAsia="en-US"/>
        </w:rPr>
        <w:footnoteReference w:id="917"/>
      </w:r>
      <w:r w:rsidRPr="00113582">
        <w:rPr>
          <w:rFonts w:eastAsia="Times New Roman"/>
          <w:shd w:val="clear" w:color="auto" w:fill="FFFFFF"/>
          <w:lang w:eastAsia="en-US"/>
        </w:rPr>
        <w:t>)</w:t>
      </w:r>
      <w:r>
        <w:rPr>
          <w:rFonts w:eastAsia="Times New Roman"/>
          <w:shd w:val="clear" w:color="auto" w:fill="FFFFFF"/>
          <w:lang w:eastAsia="en-US"/>
        </w:rPr>
        <w:t xml:space="preserve"> </w:t>
      </w:r>
      <w:r w:rsidRPr="00113582">
        <w:rPr>
          <w:rFonts w:eastAsia="Times New Roman"/>
          <w:shd w:val="clear" w:color="auto" w:fill="FFFFFF"/>
          <w:lang w:eastAsia="en-US"/>
        </w:rPr>
        <w:t xml:space="preserve">and from double-parking (defined as parking more than </w:t>
      </w:r>
      <w:r w:rsidRPr="00113582">
        <w:rPr>
          <w:rFonts w:eastAsia="Times New Roman" w:cs="Arial"/>
          <w:color w:val="000000"/>
          <w:szCs w:val="24"/>
          <w:shd w:val="clear" w:color="auto" w:fill="FFFFFF"/>
          <w:lang w:eastAsia="en-US"/>
        </w:rPr>
        <w:t xml:space="preserve">50 centimetres from </w:t>
      </w:r>
      <w:r w:rsidRPr="00113582">
        <w:rPr>
          <w:rFonts w:eastAsia="Times New Roman" w:cs="Arial"/>
          <w:color w:val="000000"/>
          <w:szCs w:val="24"/>
          <w:shd w:val="clear" w:color="auto" w:fill="FFFFFF"/>
          <w:lang w:eastAsia="en-US"/>
        </w:rPr>
        <w:lastRenderedPageBreak/>
        <w:t>the edge of a carriagewa</w:t>
      </w:r>
      <w:r>
        <w:rPr>
          <w:rFonts w:eastAsia="Times New Roman" w:cs="Arial"/>
          <w:color w:val="000000"/>
          <w:szCs w:val="24"/>
          <w:shd w:val="clear" w:color="auto" w:fill="FFFFFF"/>
          <w:lang w:eastAsia="en-US"/>
        </w:rPr>
        <w:t>y</w:t>
      </w:r>
      <w:r w:rsidRPr="00113582">
        <w:rPr>
          <w:rStyle w:val="FootnoteReference"/>
          <w:rFonts w:eastAsia="Times New Roman" w:cs="Arial"/>
          <w:color w:val="000000"/>
          <w:szCs w:val="24"/>
          <w:shd w:val="clear" w:color="auto" w:fill="FFFFFF"/>
          <w:lang w:eastAsia="en-US"/>
        </w:rPr>
        <w:footnoteReference w:id="918"/>
      </w:r>
      <w:r>
        <w:rPr>
          <w:rFonts w:eastAsia="Times New Roman" w:cs="Arial"/>
          <w:color w:val="000000"/>
          <w:szCs w:val="24"/>
          <w:shd w:val="clear" w:color="auto" w:fill="FFFFFF"/>
          <w:lang w:eastAsia="en-US"/>
        </w:rPr>
        <w:t xml:space="preserve">). </w:t>
      </w:r>
      <w:r w:rsidRPr="00113582">
        <w:rPr>
          <w:rFonts w:eastAsia="Times New Roman" w:cs="Arial"/>
          <w:color w:val="000000"/>
          <w:szCs w:val="24"/>
          <w:shd w:val="clear" w:color="auto" w:fill="FFFFFF"/>
          <w:lang w:eastAsia="en-US"/>
        </w:rPr>
        <w:t xml:space="preserve">There are a number of exceptions to the prohibition. These include where </w:t>
      </w:r>
      <w:r w:rsidRPr="00113582">
        <w:rPr>
          <w:rStyle w:val="legds"/>
          <w:rFonts w:cs="Arial"/>
          <w:color w:val="000000"/>
          <w:szCs w:val="24"/>
        </w:rPr>
        <w:t xml:space="preserve">the motor vehicle is being </w:t>
      </w:r>
      <w:r>
        <w:rPr>
          <w:rStyle w:val="legds"/>
          <w:rFonts w:cs="Arial"/>
          <w:color w:val="000000"/>
          <w:szCs w:val="24"/>
        </w:rPr>
        <w:t xml:space="preserve">used </w:t>
      </w:r>
      <w:r w:rsidRPr="00113582">
        <w:rPr>
          <w:rStyle w:val="legds"/>
          <w:rFonts w:cs="Arial"/>
          <w:color w:val="000000"/>
          <w:szCs w:val="24"/>
        </w:rPr>
        <w:t>for eg police or ambulance purposes, or in connection with road works, to remove a</w:t>
      </w:r>
      <w:r>
        <w:rPr>
          <w:rStyle w:val="legds"/>
          <w:rFonts w:cs="Arial"/>
          <w:color w:val="000000"/>
          <w:szCs w:val="24"/>
        </w:rPr>
        <w:t xml:space="preserve"> </w:t>
      </w:r>
      <w:r w:rsidRPr="00113582">
        <w:rPr>
          <w:rStyle w:val="legds"/>
          <w:rFonts w:cs="Arial"/>
          <w:color w:val="000000"/>
          <w:szCs w:val="24"/>
        </w:rPr>
        <w:t>traffic obstruction, or for postal services.</w:t>
      </w:r>
      <w:r w:rsidRPr="00113582">
        <w:rPr>
          <w:rStyle w:val="FootnoteReference"/>
          <w:rFonts w:eastAsia="Times New Roman"/>
          <w:szCs w:val="24"/>
          <w:shd w:val="clear" w:color="auto" w:fill="FFFFFF"/>
          <w:lang w:eastAsia="en-US"/>
        </w:rPr>
        <w:footnoteReference w:id="919"/>
      </w:r>
      <w:r w:rsidRPr="00113582">
        <w:rPr>
          <w:rStyle w:val="legds"/>
          <w:rFonts w:cs="Arial"/>
          <w:color w:val="000000"/>
          <w:szCs w:val="24"/>
        </w:rPr>
        <w:t xml:space="preserve"> </w:t>
      </w:r>
    </w:p>
    <w:p w14:paraId="696D5242" w14:textId="77777777" w:rsidR="0019789C" w:rsidRDefault="0019789C" w:rsidP="00375681">
      <w:pPr>
        <w:rPr>
          <w:rStyle w:val="legds"/>
          <w:rFonts w:cs="Arial"/>
          <w:color w:val="000000"/>
          <w:szCs w:val="24"/>
        </w:rPr>
      </w:pPr>
    </w:p>
    <w:p w14:paraId="21F9947B" w14:textId="7ABD621D" w:rsidR="0019789C" w:rsidRPr="00113582" w:rsidRDefault="0019789C" w:rsidP="00375681">
      <w:pPr>
        <w:ind w:firstLine="284"/>
        <w:rPr>
          <w:rStyle w:val="legds"/>
          <w:rFonts w:eastAsia="Times New Roman"/>
          <w:shd w:val="clear" w:color="auto" w:fill="FFFFFF"/>
          <w:lang w:eastAsia="en-US"/>
        </w:rPr>
      </w:pPr>
      <w:r w:rsidRPr="00113582">
        <w:rPr>
          <w:rStyle w:val="legds"/>
          <w:rFonts w:cs="Arial"/>
          <w:color w:val="000000"/>
          <w:szCs w:val="24"/>
        </w:rPr>
        <w:t xml:space="preserve">There </w:t>
      </w:r>
      <w:r>
        <w:rPr>
          <w:rStyle w:val="legds"/>
          <w:rFonts w:cs="Arial"/>
          <w:color w:val="000000"/>
          <w:szCs w:val="24"/>
        </w:rPr>
        <w:t>is</w:t>
      </w:r>
      <w:r w:rsidRPr="00113582">
        <w:rPr>
          <w:rStyle w:val="legds"/>
          <w:rFonts w:cs="Arial"/>
          <w:color w:val="000000"/>
          <w:szCs w:val="24"/>
        </w:rPr>
        <w:t xml:space="preserve"> concern, however, </w:t>
      </w:r>
      <w:r>
        <w:rPr>
          <w:rStyle w:val="legds"/>
          <w:rFonts w:cs="Arial"/>
          <w:color w:val="000000"/>
          <w:szCs w:val="24"/>
        </w:rPr>
        <w:t>because the</w:t>
      </w:r>
      <w:r w:rsidRPr="00113582">
        <w:rPr>
          <w:rStyle w:val="legds"/>
          <w:rFonts w:cs="Arial"/>
          <w:color w:val="000000"/>
          <w:szCs w:val="24"/>
        </w:rPr>
        <w:t xml:space="preserve"> pavement parking and double-parking prohibitions do not apply in the following situations:</w:t>
      </w:r>
    </w:p>
    <w:p w14:paraId="7EC20434" w14:textId="77777777" w:rsidR="0019789C" w:rsidRPr="00113582" w:rsidRDefault="0019789C" w:rsidP="00375681">
      <w:pPr>
        <w:pStyle w:val="Quote"/>
        <w:rPr>
          <w:rStyle w:val="legds"/>
          <w:rFonts w:ascii="Times New Roman" w:eastAsia="Times New Roman" w:hAnsi="Times New Roman" w:cs="Times New Roman"/>
          <w:color w:val="auto"/>
          <w:szCs w:val="24"/>
          <w:lang w:eastAsia="en-US"/>
        </w:rPr>
      </w:pPr>
      <w:r w:rsidRPr="00113582">
        <w:rPr>
          <w:rFonts w:eastAsia="Times New Roman"/>
          <w:shd w:val="clear" w:color="auto" w:fill="FFFFFF"/>
          <w:lang w:eastAsia="en-US"/>
        </w:rPr>
        <w:t>(a) the motor vehicle is, in the course of business—</w:t>
      </w:r>
    </w:p>
    <w:p w14:paraId="742830B4" w14:textId="77777777" w:rsidR="0019789C" w:rsidRPr="00113582" w:rsidRDefault="0019789C" w:rsidP="00375681">
      <w:pPr>
        <w:pStyle w:val="Quote"/>
        <w:ind w:left="1440"/>
        <w:rPr>
          <w:szCs w:val="24"/>
        </w:rPr>
      </w:pPr>
      <w:r w:rsidRPr="00113582">
        <w:rPr>
          <w:rStyle w:val="legds"/>
          <w:rFonts w:cs="Arial"/>
          <w:color w:val="000000"/>
          <w:szCs w:val="24"/>
        </w:rPr>
        <w:t>(i) being used for the purpose of delivering goods to, or collecting goods from, any premises, or</w:t>
      </w:r>
    </w:p>
    <w:p w14:paraId="44E1664C" w14:textId="77777777" w:rsidR="0019789C" w:rsidRPr="00113582" w:rsidRDefault="0019789C" w:rsidP="00375681">
      <w:pPr>
        <w:pStyle w:val="Quote"/>
        <w:ind w:left="1440"/>
        <w:rPr>
          <w:szCs w:val="24"/>
        </w:rPr>
      </w:pPr>
      <w:r w:rsidRPr="00113582">
        <w:rPr>
          <w:rStyle w:val="legds"/>
          <w:rFonts w:cs="Arial"/>
          <w:color w:val="000000"/>
          <w:szCs w:val="24"/>
        </w:rPr>
        <w:t>(ii) being loaded from or unloaded to any premises,</w:t>
      </w:r>
    </w:p>
    <w:p w14:paraId="161E43A9" w14:textId="77777777" w:rsidR="0019789C" w:rsidRPr="00113582" w:rsidRDefault="0019789C" w:rsidP="00375681">
      <w:pPr>
        <w:pStyle w:val="Quote"/>
        <w:rPr>
          <w:szCs w:val="24"/>
        </w:rPr>
      </w:pPr>
      <w:r w:rsidRPr="00113582">
        <w:rPr>
          <w:rStyle w:val="legds"/>
          <w:rFonts w:cs="Arial"/>
          <w:color w:val="000000"/>
          <w:szCs w:val="24"/>
        </w:rPr>
        <w:t>(b) the delivery, collection, loading or unloading cannot reasonably be carried out without the vehicle being parked on a pavement or, as the case may be, as mentioned in section 54(1),</w:t>
      </w:r>
    </w:p>
    <w:p w14:paraId="221659E7" w14:textId="77777777" w:rsidR="0019789C" w:rsidRPr="00113582" w:rsidRDefault="0019789C" w:rsidP="00375681">
      <w:pPr>
        <w:pStyle w:val="Quote"/>
        <w:rPr>
          <w:szCs w:val="24"/>
        </w:rPr>
      </w:pPr>
      <w:r w:rsidRPr="00113582">
        <w:rPr>
          <w:rStyle w:val="legds"/>
          <w:rFonts w:cs="Arial"/>
          <w:color w:val="000000"/>
          <w:szCs w:val="24"/>
        </w:rPr>
        <w:t>(c) no part of the vehicle is within 1.5 metres of the pavement edge which is furthest away from the centre of the carriageway (however that edge is bounded),</w:t>
      </w:r>
    </w:p>
    <w:p w14:paraId="4E83AC8A" w14:textId="77777777" w:rsidR="0019789C" w:rsidRPr="00113582" w:rsidRDefault="0019789C" w:rsidP="00375681">
      <w:pPr>
        <w:pStyle w:val="Quote"/>
        <w:rPr>
          <w:rStyle w:val="legds"/>
          <w:rFonts w:cs="Arial"/>
          <w:color w:val="000000"/>
          <w:szCs w:val="24"/>
        </w:rPr>
      </w:pPr>
      <w:r w:rsidRPr="00113582">
        <w:rPr>
          <w:rStyle w:val="legds"/>
          <w:rFonts w:cs="Arial"/>
          <w:color w:val="000000"/>
          <w:szCs w:val="24"/>
        </w:rPr>
        <w:t>(d) the vehicle is so parked for no longer than is necessary for the delivery, collection, loading or unloading and in any event for no more than a continuous period of 20 minutes.</w:t>
      </w:r>
      <w:r w:rsidRPr="00113582">
        <w:rPr>
          <w:rStyle w:val="FootnoteReference"/>
          <w:rFonts w:cs="Arial"/>
          <w:color w:val="000000"/>
          <w:szCs w:val="24"/>
        </w:rPr>
        <w:footnoteReference w:id="920"/>
      </w:r>
    </w:p>
    <w:p w14:paraId="2C7EF7C3" w14:textId="77777777" w:rsidR="0019789C" w:rsidRDefault="0019789C" w:rsidP="00375681">
      <w:pPr>
        <w:ind w:firstLine="0"/>
        <w:rPr>
          <w:rFonts w:eastAsia="Times New Roman"/>
          <w:shd w:val="clear" w:color="auto" w:fill="FFFFFF"/>
          <w:lang w:eastAsia="en-US"/>
        </w:rPr>
      </w:pPr>
      <w:r w:rsidRPr="00113582">
        <w:t>Living Streets has argued that this clause</w:t>
      </w:r>
      <w:r w:rsidRPr="00113582">
        <w:rPr>
          <w:rFonts w:eastAsia="Times New Roman"/>
          <w:shd w:val="clear" w:color="auto" w:fill="FFFFFF"/>
          <w:lang w:eastAsia="en-US"/>
        </w:rPr>
        <w:t xml:space="preserve"> ‘undermines the goals of preventing obstruction and pavement damage.’</w:t>
      </w:r>
      <w:r w:rsidRPr="00113582">
        <w:rPr>
          <w:rStyle w:val="FootnoteReference"/>
          <w:rFonts w:eastAsia="Times New Roman"/>
          <w:shd w:val="clear" w:color="auto" w:fill="FFFFFF"/>
          <w:lang w:eastAsia="en-US"/>
        </w:rPr>
        <w:footnoteReference w:id="921"/>
      </w:r>
    </w:p>
    <w:p w14:paraId="1DF3AE36" w14:textId="77777777" w:rsidR="0019789C" w:rsidRDefault="0019789C" w:rsidP="00375681">
      <w:pPr>
        <w:ind w:firstLine="0"/>
        <w:rPr>
          <w:rFonts w:eastAsia="Times New Roman"/>
          <w:shd w:val="clear" w:color="auto" w:fill="FFFFFF"/>
          <w:lang w:eastAsia="en-US"/>
        </w:rPr>
      </w:pPr>
    </w:p>
    <w:p w14:paraId="286F1434" w14:textId="0B4A1B73" w:rsidR="0019789C" w:rsidRPr="001679B1" w:rsidRDefault="0019789C" w:rsidP="00375681">
      <w:pPr>
        <w:ind w:firstLine="284"/>
        <w:rPr>
          <w:szCs w:val="24"/>
        </w:rPr>
      </w:pPr>
      <w:r>
        <w:rPr>
          <w:rFonts w:eastAsia="Times New Roman"/>
          <w:shd w:val="clear" w:color="auto" w:fill="FFFFFF"/>
          <w:lang w:eastAsia="en-US"/>
        </w:rPr>
        <w:t xml:space="preserve">Under s 56(1) of the </w:t>
      </w:r>
      <w:r w:rsidRPr="00113582">
        <w:rPr>
          <w:szCs w:val="24"/>
        </w:rPr>
        <w:t>Transport (Scotland) Act 2019</w:t>
      </w:r>
      <w:r>
        <w:rPr>
          <w:szCs w:val="24"/>
        </w:rPr>
        <w:t>,</w:t>
      </w:r>
    </w:p>
    <w:p w14:paraId="4866C66A" w14:textId="77777777" w:rsidR="0019789C" w:rsidRPr="001679B1" w:rsidRDefault="0019789C" w:rsidP="00375681">
      <w:pPr>
        <w:pStyle w:val="Quote"/>
      </w:pPr>
      <w:r w:rsidRPr="001679B1">
        <w:t>A person must not park a motor vehicle on a carriageway adjacent to a footway where, for the purpose of assisting pedestrians or cyclists to cross the carriageway—</w:t>
      </w:r>
    </w:p>
    <w:p w14:paraId="29D69AD7" w14:textId="77777777" w:rsidR="0019789C" w:rsidRDefault="0019789C" w:rsidP="00375681">
      <w:pPr>
        <w:pStyle w:val="Quote"/>
      </w:pPr>
      <w:r>
        <w:t xml:space="preserve">(a) </w:t>
      </w:r>
      <w:r w:rsidRPr="001679B1">
        <w:t>the footway has been lowered to meet the level of the carriageway, or</w:t>
      </w:r>
    </w:p>
    <w:p w14:paraId="28FEE4C7" w14:textId="77777777" w:rsidR="0019789C" w:rsidRPr="001679B1" w:rsidRDefault="0019789C" w:rsidP="00375681">
      <w:pPr>
        <w:pStyle w:val="Quote"/>
      </w:pPr>
      <w:r>
        <w:lastRenderedPageBreak/>
        <w:t xml:space="preserve">(b) </w:t>
      </w:r>
      <w:r w:rsidRPr="001679B1">
        <w:t>the carriageway has been raised to meet the level of the footway.</w:t>
      </w:r>
    </w:p>
    <w:p w14:paraId="559B6262" w14:textId="77777777" w:rsidR="0019789C" w:rsidRDefault="0019789C" w:rsidP="00375681">
      <w:pPr>
        <w:pStyle w:val="Quote"/>
        <w:ind w:left="0"/>
        <w:rPr>
          <w:szCs w:val="24"/>
        </w:rPr>
      </w:pPr>
      <w:r>
        <w:t>However, unlike the pavement and</w:t>
      </w:r>
      <w:r w:rsidRPr="00113582">
        <w:rPr>
          <w:rFonts w:eastAsia="Times New Roman"/>
          <w:shd w:val="clear" w:color="auto" w:fill="FFFFFF"/>
          <w:lang w:eastAsia="en-US"/>
        </w:rPr>
        <w:t xml:space="preserve"> double-parking</w:t>
      </w:r>
      <w:r>
        <w:rPr>
          <w:rFonts w:eastAsia="Times New Roman"/>
          <w:shd w:val="clear" w:color="auto" w:fill="FFFFFF"/>
          <w:lang w:eastAsia="en-US"/>
        </w:rPr>
        <w:t xml:space="preserve"> prohibitions, the exceptions to s 56(1) are more limited. The dropped footway </w:t>
      </w:r>
      <w:r w:rsidRPr="001679B1">
        <w:rPr>
          <w:szCs w:val="24"/>
        </w:rPr>
        <w:t>parking prohibition does not apply</w:t>
      </w:r>
      <w:r>
        <w:rPr>
          <w:szCs w:val="24"/>
        </w:rPr>
        <w:t xml:space="preserve"> if</w:t>
      </w:r>
    </w:p>
    <w:p w14:paraId="451A3D5E" w14:textId="77777777" w:rsidR="0019789C" w:rsidRDefault="0019789C" w:rsidP="00427643">
      <w:pPr>
        <w:pStyle w:val="Quote"/>
        <w:numPr>
          <w:ilvl w:val="0"/>
          <w:numId w:val="19"/>
        </w:numPr>
        <w:spacing w:line="312" w:lineRule="auto"/>
        <w:rPr>
          <w:szCs w:val="24"/>
        </w:rPr>
      </w:pPr>
      <w:r>
        <w:rPr>
          <w:szCs w:val="24"/>
        </w:rPr>
        <w:t xml:space="preserve">the </w:t>
      </w:r>
      <w:r w:rsidRPr="001679B1">
        <w:rPr>
          <w:szCs w:val="24"/>
        </w:rPr>
        <w:t xml:space="preserve">footway has been lowered or the carriageway has been raised </w:t>
      </w:r>
      <w:r>
        <w:rPr>
          <w:szCs w:val="24"/>
        </w:rPr>
        <w:t xml:space="preserve">to </w:t>
      </w:r>
      <w:r w:rsidRPr="001679B1">
        <w:rPr>
          <w:szCs w:val="24"/>
        </w:rPr>
        <w:t>access a driveway or garage (</w:t>
      </w:r>
      <w:r>
        <w:rPr>
          <w:szCs w:val="24"/>
        </w:rPr>
        <w:t>either on</w:t>
      </w:r>
      <w:r w:rsidRPr="001679B1">
        <w:rPr>
          <w:szCs w:val="24"/>
        </w:rPr>
        <w:t xml:space="preserve"> commercial or residential premises)</w:t>
      </w:r>
      <w:r>
        <w:rPr>
          <w:szCs w:val="24"/>
        </w:rPr>
        <w:t xml:space="preserve">; </w:t>
      </w:r>
    </w:p>
    <w:p w14:paraId="1AB10AFA" w14:textId="77777777" w:rsidR="0019789C" w:rsidRPr="001B21C1" w:rsidRDefault="0019789C" w:rsidP="00427643">
      <w:pPr>
        <w:pStyle w:val="Quote"/>
        <w:numPr>
          <w:ilvl w:val="0"/>
          <w:numId w:val="19"/>
        </w:numPr>
        <w:spacing w:line="312" w:lineRule="auto"/>
        <w:rPr>
          <w:szCs w:val="24"/>
        </w:rPr>
      </w:pPr>
      <w:r>
        <w:rPr>
          <w:szCs w:val="24"/>
        </w:rPr>
        <w:t xml:space="preserve">the vehicle is parked ‘for </w:t>
      </w:r>
      <w:r w:rsidRPr="001679B1">
        <w:rPr>
          <w:szCs w:val="24"/>
        </w:rPr>
        <w:t>the purpose of saving life or responding to another similar emergency</w:t>
      </w:r>
      <w:r>
        <w:rPr>
          <w:szCs w:val="24"/>
        </w:rPr>
        <w:t>’, which would likely be hindered if the vehicle was not parked in this way, and it is not parked any longer than necessary</w:t>
      </w:r>
      <w:r>
        <w:rPr>
          <w:iCs w:val="0"/>
          <w:szCs w:val="24"/>
        </w:rPr>
        <w:t>.</w:t>
      </w:r>
      <w:r>
        <w:rPr>
          <w:rStyle w:val="FootnoteReference"/>
          <w:iCs w:val="0"/>
          <w:szCs w:val="24"/>
        </w:rPr>
        <w:footnoteReference w:id="922"/>
      </w:r>
    </w:p>
    <w:p w14:paraId="14FEEBC5" w14:textId="77777777" w:rsidR="0019789C" w:rsidRDefault="0019789C" w:rsidP="00375681">
      <w:pPr>
        <w:ind w:firstLine="0"/>
      </w:pPr>
    </w:p>
    <w:p w14:paraId="12A79AF8" w14:textId="77777777" w:rsidR="0019789C" w:rsidRPr="00113582" w:rsidRDefault="0019789C" w:rsidP="00375681">
      <w:r w:rsidRPr="00113582">
        <w:t>The Greater London Council (General Powers) Act 1974 prohibited pavement parking in London many decades ago. According to s 15:</w:t>
      </w:r>
    </w:p>
    <w:p w14:paraId="42F0CAA0" w14:textId="77777777" w:rsidR="0019789C" w:rsidRPr="00113582" w:rsidRDefault="0019789C" w:rsidP="00375681">
      <w:pPr>
        <w:pStyle w:val="Quote"/>
      </w:pPr>
      <w:r w:rsidRPr="00113582">
        <w:t xml:space="preserve">any person who causes or permits any vehicle to be parked in Greater London with one or more wheels on or over any part of a road other than a carriageway, or on or over a footpath, shall be guilty of an offence </w:t>
      </w:r>
      <w:r>
        <w:t>…</w:t>
      </w:r>
    </w:p>
    <w:p w14:paraId="2A9A2E3F" w14:textId="77777777" w:rsidR="0019789C" w:rsidRPr="00113582" w:rsidRDefault="0019789C" w:rsidP="00375681">
      <w:pPr>
        <w:ind w:firstLine="0"/>
      </w:pPr>
      <w:r w:rsidRPr="00113582">
        <w:t>Section 15 provides for a range of exceptions, such as when permission is given by a constable in uniform, in emergency situations, and for the loading or unloading of goods.</w:t>
      </w:r>
      <w:r w:rsidRPr="00113582">
        <w:rPr>
          <w:rStyle w:val="FootnoteReference"/>
        </w:rPr>
        <w:footnoteReference w:id="923"/>
      </w:r>
      <w:r w:rsidRPr="00113582">
        <w:t xml:space="preserve"> </w:t>
      </w:r>
    </w:p>
    <w:p w14:paraId="77ED03B8" w14:textId="77777777" w:rsidR="0019789C" w:rsidRPr="00113582" w:rsidRDefault="0019789C" w:rsidP="00375681">
      <w:pPr>
        <w:ind w:firstLine="0"/>
      </w:pPr>
    </w:p>
    <w:p w14:paraId="5AB4AC11" w14:textId="77777777" w:rsidR="0019789C" w:rsidRPr="00113582" w:rsidRDefault="0019789C" w:rsidP="00375681">
      <w:pPr>
        <w:ind w:firstLine="284"/>
      </w:pPr>
      <w:r w:rsidRPr="00113582">
        <w:t xml:space="preserve">In the rest of the UK, there is no nation-wide prohibition of pavement parking. </w:t>
      </w:r>
      <w:r>
        <w:t>Under</w:t>
      </w:r>
      <w:r w:rsidRPr="00113582">
        <w:t xml:space="preserve"> the Road Traffic Regulation Act 1984,</w:t>
      </w:r>
      <w:r>
        <w:rPr>
          <w:rStyle w:val="FootnoteReference"/>
        </w:rPr>
        <w:footnoteReference w:id="924"/>
      </w:r>
      <w:r w:rsidRPr="00113582">
        <w:t xml:space="preserve"> </w:t>
      </w:r>
      <w:r>
        <w:t>l</w:t>
      </w:r>
      <w:r w:rsidRPr="00113582">
        <w:t>ocal authorities are able to ban pavement parking only through Traffic Regulation Orders (TROs), which enable local authorities to place restrictions on traffic in their areas. TROs may be permanent, experimental or temporary, and thus vary in terms of ease of implementation and enforcement.</w:t>
      </w:r>
      <w:r w:rsidRPr="00113582">
        <w:rPr>
          <w:rStyle w:val="FootnoteReference"/>
        </w:rPr>
        <w:footnoteReference w:id="925"/>
      </w:r>
      <w:r w:rsidRPr="00113582">
        <w:t xml:space="preserve"> In England and Wales, s 19 of the Road Traffic Act 1988 prohibits heavy commercial vehicles from parking on footways. Such a vehicle is defined in s 20 as ‘any goods vehicle which has an operating weight exceeding 7.5 tonnes’. The prohibition does not apply when they are unloading or when the vehicle is not causing an obstruction. </w:t>
      </w:r>
    </w:p>
    <w:p w14:paraId="6039FCB0" w14:textId="77777777" w:rsidR="0019789C" w:rsidRPr="00113582" w:rsidRDefault="0019789C" w:rsidP="00375681">
      <w:pPr>
        <w:rPr>
          <w:lang w:bidi="en-US"/>
        </w:rPr>
      </w:pPr>
    </w:p>
    <w:p w14:paraId="2B9FD716" w14:textId="77777777" w:rsidR="0019789C" w:rsidRPr="00113582" w:rsidRDefault="0019789C" w:rsidP="00375681">
      <w:pPr>
        <w:pStyle w:val="Heading4"/>
        <w:ind w:left="0" w:firstLine="720"/>
      </w:pPr>
      <w:r w:rsidRPr="00113582">
        <w:t>(b) Remedies, Sanctions or Other Outcomes</w:t>
      </w:r>
    </w:p>
    <w:p w14:paraId="7F4D4DDC" w14:textId="77777777" w:rsidR="0019789C" w:rsidRDefault="0019789C" w:rsidP="00375681">
      <w:r w:rsidRPr="00113582">
        <w:lastRenderedPageBreak/>
        <w:t xml:space="preserve">The penalties for violating </w:t>
      </w:r>
      <w:r>
        <w:t xml:space="preserve">any of </w:t>
      </w:r>
      <w:r w:rsidRPr="00113582">
        <w:t>the</w:t>
      </w:r>
      <w:r>
        <w:t xml:space="preserve"> three prohibitions of the</w:t>
      </w:r>
      <w:r w:rsidRPr="00113582">
        <w:rPr>
          <w:i/>
          <w:iCs/>
          <w:szCs w:val="24"/>
        </w:rPr>
        <w:t xml:space="preserve"> </w:t>
      </w:r>
      <w:r w:rsidRPr="00113582">
        <w:rPr>
          <w:szCs w:val="24"/>
        </w:rPr>
        <w:t>Transport (Scotland) Act 2019</w:t>
      </w:r>
      <w:r>
        <w:rPr>
          <w:szCs w:val="24"/>
        </w:rPr>
        <w:t xml:space="preserve"> (pavement parking, double-parking, and dropped footway) </w:t>
      </w:r>
      <w:r w:rsidRPr="00113582">
        <w:t>is a penalty charge</w:t>
      </w:r>
      <w:r>
        <w:t>.</w:t>
      </w:r>
      <w:r w:rsidRPr="00113582">
        <w:rPr>
          <w:rStyle w:val="FootnoteReference"/>
        </w:rPr>
        <w:footnoteReference w:id="926"/>
      </w:r>
      <w:r w:rsidRPr="00113582">
        <w:t xml:space="preserve"> </w:t>
      </w:r>
      <w:r>
        <w:t>A penalty charge notice may only be issued, however, if the ‘conduct [is] observed by an authorised enforcement officer’ or ‘a record [is] produced by an approved device’.</w:t>
      </w:r>
      <w:r>
        <w:rPr>
          <w:rStyle w:val="FootnoteReference"/>
        </w:rPr>
        <w:footnoteReference w:id="927"/>
      </w:r>
      <w:r>
        <w:t xml:space="preserve"> Local authorities will have the power to remove, move or dispose of vehicles parked contrary to the prohibitions, subject to certain limitations.</w:t>
      </w:r>
      <w:r>
        <w:rPr>
          <w:rStyle w:val="FootnoteReference"/>
        </w:rPr>
        <w:footnoteReference w:id="928"/>
      </w:r>
      <w:r>
        <w:t xml:space="preserve"> L</w:t>
      </w:r>
      <w:r w:rsidRPr="00113582">
        <w:t>ocal authorities</w:t>
      </w:r>
      <w:r>
        <w:t xml:space="preserve"> will</w:t>
      </w:r>
      <w:r w:rsidRPr="00113582">
        <w:t xml:space="preserve"> also have the power to install </w:t>
      </w:r>
      <w:r w:rsidRPr="00113582">
        <w:rPr>
          <w:rStyle w:val="legds"/>
          <w:rFonts w:cs="Arial"/>
          <w:color w:val="000000"/>
          <w:szCs w:val="24"/>
        </w:rPr>
        <w:t>approved devices on a road for use in connection with the detection of a contravention of the prohibitions.</w:t>
      </w:r>
      <w:r w:rsidRPr="00113582">
        <w:rPr>
          <w:rStyle w:val="FootnoteReference"/>
          <w:rFonts w:cs="Arial"/>
          <w:color w:val="000000"/>
          <w:szCs w:val="24"/>
        </w:rPr>
        <w:footnoteReference w:id="929"/>
      </w:r>
      <w:r w:rsidRPr="00113582">
        <w:rPr>
          <w:rFonts w:cs="Arial"/>
          <w:color w:val="000000"/>
          <w:szCs w:val="24"/>
        </w:rPr>
        <w:t xml:space="preserve"> </w:t>
      </w:r>
      <w:r>
        <w:rPr>
          <w:rFonts w:cs="Arial"/>
          <w:color w:val="000000"/>
          <w:szCs w:val="24"/>
        </w:rPr>
        <w:t xml:space="preserve">The anticipated regulations, issued by the Scottish Ministers, will clarify the </w:t>
      </w:r>
      <w:r>
        <w:t>devices that can be used to detect contraventions and the criminal sanctions.</w:t>
      </w:r>
      <w:r>
        <w:rPr>
          <w:rStyle w:val="FootnoteReference"/>
        </w:rPr>
        <w:footnoteReference w:id="930"/>
      </w:r>
    </w:p>
    <w:p w14:paraId="53B0EF53" w14:textId="77777777" w:rsidR="0019789C" w:rsidRDefault="0019789C" w:rsidP="00375681"/>
    <w:p w14:paraId="45DA2D7A" w14:textId="4E278E93" w:rsidR="0019789C" w:rsidRDefault="0019789C" w:rsidP="00375681">
      <w:r>
        <w:t xml:space="preserve">If a person violated </w:t>
      </w:r>
      <w:r w:rsidRPr="00113582">
        <w:t>s 15</w:t>
      </w:r>
      <w:r>
        <w:t xml:space="preserve"> of the </w:t>
      </w:r>
      <w:r w:rsidRPr="00113582">
        <w:t>Greater London Council (General Powers) Act 1974</w:t>
      </w:r>
      <w:r>
        <w:t>, they ‘</w:t>
      </w:r>
      <w:r w:rsidRPr="00113582">
        <w:t>shall be liable on summary conviction to a fine not exceeding level 1 on the standard scale.</w:t>
      </w:r>
      <w:r>
        <w:t>’</w:t>
      </w:r>
    </w:p>
    <w:p w14:paraId="5E0F717E" w14:textId="77777777" w:rsidR="0019789C" w:rsidRDefault="0019789C" w:rsidP="00375681"/>
    <w:p w14:paraId="1181D641" w14:textId="77777777" w:rsidR="0019789C" w:rsidRDefault="0019789C" w:rsidP="00375681">
      <w:pPr>
        <w:rPr>
          <w:rFonts w:eastAsia="Times New Roman"/>
          <w:shd w:val="clear" w:color="auto" w:fill="FFFFFF"/>
          <w:lang w:val="en-US" w:eastAsia="en-US"/>
        </w:rPr>
      </w:pPr>
      <w:r>
        <w:rPr>
          <w:rFonts w:eastAsia="Times New Roman"/>
          <w:shd w:val="clear" w:color="auto" w:fill="FFFFFF"/>
          <w:lang w:val="en-US" w:eastAsia="en-US"/>
        </w:rPr>
        <w:t xml:space="preserve">If a </w:t>
      </w:r>
      <w:r w:rsidRPr="00927510">
        <w:rPr>
          <w:rFonts w:eastAsia="Times New Roman"/>
          <w:shd w:val="clear" w:color="auto" w:fill="FFFFFF"/>
          <w:lang w:val="en-US" w:eastAsia="en-US"/>
        </w:rPr>
        <w:t xml:space="preserve">person contravenes </w:t>
      </w:r>
      <w:r>
        <w:rPr>
          <w:rFonts w:eastAsia="Times New Roman"/>
          <w:shd w:val="clear" w:color="auto" w:fill="FFFFFF"/>
          <w:lang w:val="en-US" w:eastAsia="en-US"/>
        </w:rPr>
        <w:t>a TRO implemented by a local authority</w:t>
      </w:r>
      <w:r w:rsidRPr="00927510">
        <w:rPr>
          <w:rFonts w:eastAsia="Times New Roman"/>
          <w:shd w:val="clear" w:color="auto" w:fill="FFFFFF"/>
          <w:lang w:val="en-US" w:eastAsia="en-US"/>
        </w:rPr>
        <w:t xml:space="preserve">, or uses, causes or permits a vehicle to be used in contravention of a </w:t>
      </w:r>
      <w:r>
        <w:rPr>
          <w:rFonts w:eastAsia="Times New Roman"/>
          <w:shd w:val="clear" w:color="auto" w:fill="FFFFFF"/>
          <w:lang w:val="en-US" w:eastAsia="en-US"/>
        </w:rPr>
        <w:t>TRO</w:t>
      </w:r>
      <w:r w:rsidRPr="00927510">
        <w:rPr>
          <w:rFonts w:eastAsia="Times New Roman"/>
          <w:shd w:val="clear" w:color="auto" w:fill="FFFFFF"/>
          <w:lang w:val="en-US" w:eastAsia="en-US"/>
        </w:rPr>
        <w:t>, shall be guilty of an offence.</w:t>
      </w:r>
      <w:r>
        <w:rPr>
          <w:rStyle w:val="FootnoteReference"/>
          <w:rFonts w:eastAsia="Times New Roman"/>
          <w:shd w:val="clear" w:color="auto" w:fill="FFFFFF"/>
          <w:lang w:val="en-US" w:eastAsia="en-US"/>
        </w:rPr>
        <w:footnoteReference w:id="931"/>
      </w:r>
      <w:r>
        <w:rPr>
          <w:rFonts w:eastAsia="Times New Roman"/>
          <w:shd w:val="clear" w:color="auto" w:fill="FFFFFF"/>
          <w:lang w:val="en-US" w:eastAsia="en-US"/>
        </w:rPr>
        <w:t xml:space="preserve"> </w:t>
      </w:r>
    </w:p>
    <w:p w14:paraId="3D05292C" w14:textId="77777777" w:rsidR="0019789C" w:rsidRDefault="0019789C" w:rsidP="00375681">
      <w:pPr>
        <w:rPr>
          <w:rFonts w:eastAsia="Times New Roman"/>
          <w:shd w:val="clear" w:color="auto" w:fill="FFFFFF"/>
          <w:lang w:val="en-US" w:eastAsia="en-US"/>
        </w:rPr>
      </w:pPr>
    </w:p>
    <w:p w14:paraId="0A09413F" w14:textId="77777777" w:rsidR="0019789C" w:rsidRPr="00DF461D" w:rsidRDefault="0019789C" w:rsidP="00375681">
      <w:pPr>
        <w:ind w:firstLine="284"/>
        <w:rPr>
          <w:rFonts w:eastAsia="Times New Roman"/>
          <w:shd w:val="clear" w:color="auto" w:fill="FFFFFF"/>
          <w:lang w:val="en-US" w:eastAsia="en-US"/>
        </w:rPr>
      </w:pPr>
      <w:r w:rsidRPr="00113582">
        <w:rPr>
          <w:rFonts w:eastAsia="Times New Roman" w:cs="Arial"/>
          <w:szCs w:val="24"/>
          <w:shd w:val="clear" w:color="auto" w:fill="FFFFFF"/>
          <w:lang w:eastAsia="en-US"/>
        </w:rPr>
        <w:t xml:space="preserve">Law enforcement authorities in England, Scotland and Wales are empowered by virtue of ss 99-102 </w:t>
      </w:r>
      <w:r>
        <w:rPr>
          <w:rFonts w:eastAsia="Times New Roman" w:cs="Arial"/>
          <w:szCs w:val="24"/>
          <w:shd w:val="clear" w:color="auto" w:fill="FFFFFF"/>
          <w:lang w:eastAsia="en-US"/>
        </w:rPr>
        <w:t xml:space="preserve">of the </w:t>
      </w:r>
      <w:r w:rsidRPr="00113582">
        <w:rPr>
          <w:rFonts w:eastAsia="Times New Roman" w:cs="Arial"/>
          <w:szCs w:val="24"/>
          <w:shd w:val="clear" w:color="auto" w:fill="FFFFFF"/>
          <w:lang w:eastAsia="en-US"/>
        </w:rPr>
        <w:t>Road Traffic Regulation Act 1984, and the Removal and Disposal of Vehicles Regulations 1986, to remove vehicles that are illegally, obstructively, or dangerously parked, abandoned or broken down. </w:t>
      </w:r>
      <w:r w:rsidRPr="00113582">
        <w:t>If it can be shown that a vehicle is illegally parked, causing an obstruction or is abandoned, the local authority and the police thus have the power, but not the obligation, to remove it.</w:t>
      </w:r>
      <w:r w:rsidRPr="00113582">
        <w:rPr>
          <w:rStyle w:val="FootnoteReference"/>
        </w:rPr>
        <w:footnoteReference w:id="932"/>
      </w:r>
    </w:p>
    <w:p w14:paraId="2018D393" w14:textId="77777777" w:rsidR="0019789C" w:rsidRPr="00113582" w:rsidRDefault="0019789C" w:rsidP="00375681">
      <w:pPr>
        <w:ind w:firstLine="0"/>
      </w:pPr>
    </w:p>
    <w:p w14:paraId="73795F07" w14:textId="77777777" w:rsidR="0019789C" w:rsidRPr="00113582" w:rsidRDefault="0019789C" w:rsidP="00375681">
      <w:pPr>
        <w:pStyle w:val="Heading4"/>
        <w:ind w:left="0" w:firstLine="720"/>
      </w:pPr>
      <w:r w:rsidRPr="00113582">
        <w:t xml:space="preserve">(c) Enforcement </w:t>
      </w:r>
    </w:p>
    <w:p w14:paraId="2AD0CBB1" w14:textId="267EF26A" w:rsidR="0019789C" w:rsidRDefault="0019789C" w:rsidP="00375681">
      <w:pPr>
        <w:ind w:firstLine="284"/>
      </w:pPr>
      <w:r>
        <w:lastRenderedPageBreak/>
        <w:t xml:space="preserve">As of 2021, enforcement of </w:t>
      </w:r>
      <w:r w:rsidRPr="00113582">
        <w:t>the</w:t>
      </w:r>
      <w:r w:rsidRPr="00113582">
        <w:rPr>
          <w:i/>
          <w:iCs/>
          <w:szCs w:val="24"/>
        </w:rPr>
        <w:t xml:space="preserve"> </w:t>
      </w:r>
      <w:r w:rsidRPr="00113582">
        <w:rPr>
          <w:szCs w:val="24"/>
        </w:rPr>
        <w:t>Transport (Scotland) Act 2019</w:t>
      </w:r>
      <w:r>
        <w:rPr>
          <w:szCs w:val="24"/>
        </w:rPr>
        <w:t xml:space="preserve"> is pending, as it is awaiting regulations issues by the Scottish Ministers about eg:</w:t>
      </w:r>
    </w:p>
    <w:p w14:paraId="2723054B" w14:textId="77777777" w:rsidR="0019789C" w:rsidRDefault="0019789C" w:rsidP="00427643">
      <w:pPr>
        <w:pStyle w:val="Quote"/>
        <w:numPr>
          <w:ilvl w:val="0"/>
          <w:numId w:val="18"/>
        </w:numPr>
        <w:spacing w:line="312" w:lineRule="auto"/>
      </w:pPr>
      <w:r>
        <w:t>the notification of a penalty charge, including the form, content and method of notification,</w:t>
      </w:r>
    </w:p>
    <w:p w14:paraId="058EC65F" w14:textId="77777777" w:rsidR="0019789C" w:rsidRDefault="0019789C" w:rsidP="00427643">
      <w:pPr>
        <w:pStyle w:val="Quote"/>
        <w:numPr>
          <w:ilvl w:val="0"/>
          <w:numId w:val="18"/>
        </w:numPr>
        <w:spacing w:line="312" w:lineRule="auto"/>
      </w:pPr>
      <w:r>
        <w:t>the timing and manner of payment of a penalty charge,</w:t>
      </w:r>
    </w:p>
    <w:p w14:paraId="515CDFDC" w14:textId="77777777" w:rsidR="0019789C" w:rsidRDefault="0019789C" w:rsidP="00427643">
      <w:pPr>
        <w:pStyle w:val="Quote"/>
        <w:numPr>
          <w:ilvl w:val="0"/>
          <w:numId w:val="18"/>
        </w:numPr>
        <w:spacing w:line="312" w:lineRule="auto"/>
      </w:pPr>
      <w:r>
        <w:t>reviews and appeals (including grounds of review or appeal) in connection with the imposition of penalty charges,</w:t>
      </w:r>
    </w:p>
    <w:p w14:paraId="7304E159" w14:textId="77777777" w:rsidR="0019789C" w:rsidRDefault="0019789C" w:rsidP="00427643">
      <w:pPr>
        <w:pStyle w:val="Quote"/>
        <w:numPr>
          <w:ilvl w:val="0"/>
          <w:numId w:val="18"/>
        </w:numPr>
        <w:spacing w:line="312" w:lineRule="auto"/>
      </w:pPr>
      <w:r>
        <w:t>the manner in which a penalty charge may be enforced,</w:t>
      </w:r>
    </w:p>
    <w:p w14:paraId="1D45F8CA" w14:textId="77777777" w:rsidR="0019789C" w:rsidRDefault="0019789C" w:rsidP="00427643">
      <w:pPr>
        <w:pStyle w:val="Quote"/>
        <w:numPr>
          <w:ilvl w:val="0"/>
          <w:numId w:val="18"/>
        </w:numPr>
        <w:spacing w:line="312" w:lineRule="auto"/>
      </w:pPr>
      <w:r>
        <w:t>steps that may be taken following the cancellation of a penalty charge, which may include the issuing of another penalty charge in respect of the same contravention.</w:t>
      </w:r>
      <w:r>
        <w:rPr>
          <w:rStyle w:val="FootnoteReference"/>
        </w:rPr>
        <w:footnoteReference w:id="933"/>
      </w:r>
    </w:p>
    <w:p w14:paraId="20660EC3" w14:textId="77777777" w:rsidR="0019789C" w:rsidRDefault="0019789C" w:rsidP="00375681">
      <w:pPr>
        <w:ind w:firstLine="0"/>
        <w:rPr>
          <w:szCs w:val="24"/>
        </w:rPr>
      </w:pPr>
    </w:p>
    <w:p w14:paraId="06511D38" w14:textId="56BBC430" w:rsidR="0019789C" w:rsidRDefault="0019789C" w:rsidP="00375681">
      <w:pPr>
        <w:ind w:firstLine="284"/>
      </w:pPr>
      <w:r>
        <w:t xml:space="preserve">Under </w:t>
      </w:r>
      <w:r w:rsidRPr="00113582">
        <w:t>s 15</w:t>
      </w:r>
      <w:r>
        <w:t xml:space="preserve">(2)(c) of the </w:t>
      </w:r>
      <w:r w:rsidRPr="00113582">
        <w:t>Greater London Council (General Powers) Act 1974</w:t>
      </w:r>
      <w:r>
        <w:t>, ‘[a]</w:t>
      </w:r>
      <w:r w:rsidRPr="00DF461D">
        <w:t xml:space="preserve"> local authority may prosecute in respect of any offence under the foregoing subsection which is committed in its area.</w:t>
      </w:r>
      <w:r>
        <w:t>’ TROs are enforced by traffic wardens.</w:t>
      </w:r>
      <w:r>
        <w:rPr>
          <w:rStyle w:val="FootnoteReference"/>
        </w:rPr>
        <w:footnoteReference w:id="934"/>
      </w:r>
    </w:p>
    <w:p w14:paraId="70DAA0AB" w14:textId="77777777" w:rsidR="0019789C" w:rsidRDefault="0019789C" w:rsidP="00375681">
      <w:pPr>
        <w:ind w:firstLine="0"/>
      </w:pPr>
    </w:p>
    <w:p w14:paraId="0E52AA39" w14:textId="77777777" w:rsidR="0019789C" w:rsidRPr="00113582" w:rsidRDefault="0019789C" w:rsidP="00375681">
      <w:pPr>
        <w:ind w:firstLine="0"/>
      </w:pPr>
    </w:p>
    <w:p w14:paraId="145907FA" w14:textId="77777777" w:rsidR="0019789C" w:rsidRPr="00113582" w:rsidRDefault="0019789C" w:rsidP="00375681">
      <w:pPr>
        <w:pStyle w:val="Heading2"/>
        <w:jc w:val="left"/>
      </w:pPr>
      <w:r w:rsidRPr="00113582">
        <w:t>D4 Driving, cycling and other travelling on roads which might endanger pedestrians</w:t>
      </w:r>
    </w:p>
    <w:p w14:paraId="5F846967" w14:textId="77777777" w:rsidR="0019789C" w:rsidRPr="00113582" w:rsidRDefault="0019789C" w:rsidP="00375681">
      <w:pPr>
        <w:pStyle w:val="Heading3"/>
      </w:pPr>
      <w:r w:rsidRPr="00113582">
        <w:t>D4.1 Road Traffic Act 1988 and Road Traffic Regulation Act 1984</w:t>
      </w:r>
    </w:p>
    <w:p w14:paraId="42C7DC72" w14:textId="77777777" w:rsidR="0019789C" w:rsidRPr="00113582" w:rsidRDefault="0019789C" w:rsidP="00375681">
      <w:pPr>
        <w:pStyle w:val="Heading4"/>
      </w:pPr>
      <w:r w:rsidRPr="00113582">
        <w:t>(a) Description and Examples</w:t>
      </w:r>
    </w:p>
    <w:p w14:paraId="05862CC6" w14:textId="77777777" w:rsidR="0019789C" w:rsidRPr="00113582" w:rsidRDefault="0019789C" w:rsidP="00375681">
      <w:r w:rsidRPr="00113582">
        <w:t xml:space="preserve">The Road Traffic Act 1988 and the Road Traffic Regulation Act 1984 set out numerous offences connected with driver behaviour. These include: </w:t>
      </w:r>
    </w:p>
    <w:p w14:paraId="07705C29" w14:textId="77777777" w:rsidR="0019789C" w:rsidRPr="00113582" w:rsidRDefault="0019789C" w:rsidP="00D25E2B">
      <w:pPr>
        <w:pStyle w:val="ListParagraph"/>
        <w:numPr>
          <w:ilvl w:val="0"/>
          <w:numId w:val="1"/>
        </w:numPr>
        <w:spacing w:line="312" w:lineRule="auto"/>
      </w:pPr>
      <w:r w:rsidRPr="00113582">
        <w:t>dangerous driving – RTA 1988 ss 1 and 2;</w:t>
      </w:r>
    </w:p>
    <w:p w14:paraId="7343CABC" w14:textId="77777777" w:rsidR="0019789C" w:rsidRDefault="0019789C" w:rsidP="006B733C">
      <w:pPr>
        <w:pStyle w:val="ListParagraph"/>
        <w:numPr>
          <w:ilvl w:val="0"/>
          <w:numId w:val="1"/>
        </w:numPr>
        <w:spacing w:line="312" w:lineRule="auto"/>
      </w:pPr>
      <w:r w:rsidRPr="00113582">
        <w:t>driving without due care and attention (careless driving) – RTA 1988 s 3;</w:t>
      </w:r>
    </w:p>
    <w:p w14:paraId="29E03C70" w14:textId="77777777" w:rsidR="0019789C" w:rsidRPr="00113582" w:rsidRDefault="0019789C" w:rsidP="00D25E2B">
      <w:pPr>
        <w:pStyle w:val="ListParagraph"/>
        <w:numPr>
          <w:ilvl w:val="0"/>
          <w:numId w:val="1"/>
        </w:numPr>
        <w:spacing w:line="312" w:lineRule="auto"/>
      </w:pPr>
      <w:r w:rsidRPr="00113582">
        <w:t>failing to comply with a speed limit – RTRA 1984 s 84 and Part VI;</w:t>
      </w:r>
    </w:p>
    <w:p w14:paraId="1A7B66BD" w14:textId="77777777" w:rsidR="0019789C" w:rsidRPr="00113582" w:rsidRDefault="0019789C" w:rsidP="00D25E2B">
      <w:pPr>
        <w:pStyle w:val="ListParagraph"/>
        <w:numPr>
          <w:ilvl w:val="0"/>
          <w:numId w:val="1"/>
        </w:numPr>
        <w:spacing w:line="312" w:lineRule="auto"/>
      </w:pPr>
      <w:r w:rsidRPr="00113582">
        <w:t>failure to comply with traffic signs or the directions of a police officer on duty – RTA 1988 ss 35 and 36.</w:t>
      </w:r>
    </w:p>
    <w:p w14:paraId="0B21102B" w14:textId="77777777" w:rsidR="0019789C" w:rsidRPr="00113582" w:rsidRDefault="0019789C" w:rsidP="00D25E2B">
      <w:pPr>
        <w:pStyle w:val="ListParagraph"/>
        <w:numPr>
          <w:ilvl w:val="0"/>
          <w:numId w:val="1"/>
        </w:numPr>
        <w:spacing w:line="312" w:lineRule="auto"/>
      </w:pPr>
      <w:r w:rsidRPr="00113582">
        <w:t>driving under the influence of alcohol or drugs – RTA 1988 ss 4 and 5;</w:t>
      </w:r>
    </w:p>
    <w:p w14:paraId="0E75FB3F" w14:textId="77777777" w:rsidR="0019789C" w:rsidRPr="00113582" w:rsidRDefault="0019789C" w:rsidP="00D25E2B">
      <w:pPr>
        <w:pStyle w:val="ListParagraph"/>
        <w:numPr>
          <w:ilvl w:val="0"/>
          <w:numId w:val="1"/>
        </w:numPr>
        <w:spacing w:line="312" w:lineRule="auto"/>
      </w:pPr>
      <w:r w:rsidRPr="00113582">
        <w:t>leaving the vehicle in a dangerous position – RTA 1988 s 22;</w:t>
      </w:r>
    </w:p>
    <w:p w14:paraId="5F344726" w14:textId="41816F03" w:rsidR="0019789C" w:rsidRDefault="0019789C" w:rsidP="00D25E2B">
      <w:pPr>
        <w:pStyle w:val="ListParagraph"/>
        <w:numPr>
          <w:ilvl w:val="0"/>
          <w:numId w:val="1"/>
        </w:numPr>
        <w:spacing w:line="312" w:lineRule="auto"/>
      </w:pPr>
      <w:r w:rsidRPr="00113582">
        <w:t>causing danger to road-users – RTA 1988 s 22A; for these purposes of this offence, 'road' does not include a footpath or bridleway – RTA 1988 s 22A(5)</w:t>
      </w:r>
      <w:r>
        <w:t xml:space="preserve">; </w:t>
      </w:r>
    </w:p>
    <w:p w14:paraId="1D8CA3E7" w14:textId="3839D200" w:rsidR="0019789C" w:rsidRDefault="0019789C" w:rsidP="00EB5053">
      <w:pPr>
        <w:pStyle w:val="ListParagraph"/>
        <w:numPr>
          <w:ilvl w:val="0"/>
          <w:numId w:val="1"/>
        </w:numPr>
        <w:spacing w:line="312" w:lineRule="auto"/>
      </w:pPr>
      <w:r>
        <w:lastRenderedPageBreak/>
        <w:t xml:space="preserve">causing injury by furious cycling  - RTA s 35 and </w:t>
      </w:r>
      <w:r w:rsidRPr="00EB5053">
        <w:t>Offences Against the Person Act 1861</w:t>
      </w:r>
      <w:r>
        <w:t xml:space="preserve"> s 35 (as bicycles are considered ‘carriages’</w:t>
      </w:r>
      <w:r>
        <w:rPr>
          <w:rStyle w:val="FootnoteReference"/>
        </w:rPr>
        <w:footnoteReference w:id="935"/>
      </w:r>
      <w:r>
        <w:t xml:space="preserve">); </w:t>
      </w:r>
    </w:p>
    <w:p w14:paraId="4F35C808" w14:textId="02FF0E71" w:rsidR="0019789C" w:rsidRPr="006B733C" w:rsidRDefault="0019789C" w:rsidP="006B733C">
      <w:pPr>
        <w:pStyle w:val="ListParagraph"/>
        <w:numPr>
          <w:ilvl w:val="0"/>
          <w:numId w:val="1"/>
        </w:numPr>
        <w:spacing w:line="312" w:lineRule="auto"/>
      </w:pPr>
      <w:r>
        <w:t>dangerous cycling – RTA s 28;</w:t>
      </w:r>
    </w:p>
    <w:p w14:paraId="16D5ABF7" w14:textId="7216324F" w:rsidR="0019789C" w:rsidRDefault="0019789C" w:rsidP="00F818F6">
      <w:pPr>
        <w:pStyle w:val="ListParagraph"/>
        <w:numPr>
          <w:ilvl w:val="0"/>
          <w:numId w:val="1"/>
        </w:numPr>
        <w:spacing w:line="312" w:lineRule="auto"/>
      </w:pPr>
      <w:r>
        <w:rPr>
          <w:rFonts w:eastAsia="Times New Roman"/>
          <w:lang w:val="en-US" w:eastAsia="en-US"/>
        </w:rPr>
        <w:t>c</w:t>
      </w:r>
      <w:r w:rsidRPr="006B733C">
        <w:rPr>
          <w:rFonts w:eastAsia="Times New Roman"/>
          <w:lang w:val="en-US" w:eastAsia="en-US"/>
        </w:rPr>
        <w:t>areless and inconsiderate cycling</w:t>
      </w:r>
      <w:r>
        <w:rPr>
          <w:rFonts w:eastAsia="Times New Roman"/>
          <w:lang w:val="en-US" w:eastAsia="en-US"/>
        </w:rPr>
        <w:t xml:space="preserve"> on a road – RTA s 29.</w:t>
      </w:r>
      <w:r>
        <w:t xml:space="preserve"> </w:t>
      </w:r>
    </w:p>
    <w:p w14:paraId="5723DE12" w14:textId="77777777" w:rsidR="0019789C" w:rsidRPr="00113582" w:rsidRDefault="0019789C" w:rsidP="00375681"/>
    <w:p w14:paraId="04033DB8" w14:textId="77777777" w:rsidR="0019789C" w:rsidRPr="00113582" w:rsidRDefault="0019789C" w:rsidP="00375681">
      <w:r w:rsidRPr="00113582">
        <w:t xml:space="preserve">There have been a number of cases on whether electric scooters, Go Peds, etc are vehicles falling within the scope of the Road Traffic Act 1988 and other legislation imposing duties on drivers of vehicles. For instance, in </w:t>
      </w:r>
      <w:r w:rsidRPr="00113582">
        <w:rPr>
          <w:rStyle w:val="case"/>
        </w:rPr>
        <w:t>North Yorkshire Police v Saddington</w:t>
      </w:r>
      <w:r w:rsidRPr="00113582">
        <w:rPr>
          <w:rStyle w:val="FootnoteReference"/>
          <w:rFonts w:cs="Times New Roman"/>
          <w:szCs w:val="24"/>
          <w:lang w:eastAsia="en-GB"/>
        </w:rPr>
        <w:footnoteReference w:id="936"/>
      </w:r>
      <w:r w:rsidRPr="00113582">
        <w:t xml:space="preserve"> it was held that a go-ped scooter did constitute a motor vehicle for these purposes; and in </w:t>
      </w:r>
      <w:r w:rsidRPr="00113582">
        <w:rPr>
          <w:rStyle w:val="case"/>
        </w:rPr>
        <w:t>Winter v DPP,</w:t>
      </w:r>
      <w:r w:rsidRPr="00113582">
        <w:rPr>
          <w:rStyle w:val="FootnoteReference"/>
          <w:rFonts w:cs="Times New Roman"/>
          <w:szCs w:val="24"/>
          <w:lang w:eastAsia="en-GB"/>
        </w:rPr>
        <w:footnoteReference w:id="937"/>
      </w:r>
      <w:r w:rsidRPr="00113582">
        <w:t xml:space="preserve"> it was held that a ‘city big’ was also subject to the RTA.</w:t>
      </w:r>
    </w:p>
    <w:p w14:paraId="0B637385" w14:textId="77777777" w:rsidR="0019789C" w:rsidRPr="00113582" w:rsidRDefault="0019789C" w:rsidP="00375681">
      <w:pPr>
        <w:ind w:firstLine="0"/>
      </w:pPr>
    </w:p>
    <w:p w14:paraId="01536739" w14:textId="77777777" w:rsidR="0019789C" w:rsidRPr="00113582" w:rsidRDefault="0019789C" w:rsidP="00375681">
      <w:pPr>
        <w:pStyle w:val="Heading4"/>
      </w:pPr>
      <w:r w:rsidRPr="00113582">
        <w:t>(b) Remedies, Sanctions and Other Outcomes</w:t>
      </w:r>
    </w:p>
    <w:p w14:paraId="0F5E0390" w14:textId="0FDEC6C4" w:rsidR="0019789C" w:rsidRPr="00113582" w:rsidRDefault="0019789C" w:rsidP="00375681">
      <w:r w:rsidRPr="00113582">
        <w:t>These criminal offences are punishable at different levels depending on their severity. Penalties may consist of a fine, penalty points on a driver’s licence, being disqualified from driving or, in the most serious cases, imprisonment. The sanctions for the offences listed above are found in the Road Traffic Offenders Act 1988, Sch 2, Part I – eg the offence of causing danger to road-users (RTA 1988, s 22A) may be prosecuted either summarily (punishment of 6 months imprisonment or the statutory maximum or both) or on indictment (punishment of 7 years or a fine or both).</w:t>
      </w:r>
      <w:r w:rsidRPr="00F818F6">
        <w:rPr>
          <w:rStyle w:val="FootnoteReference"/>
        </w:rPr>
        <w:footnoteReference w:id="938"/>
      </w:r>
    </w:p>
    <w:p w14:paraId="24BB56D9" w14:textId="77777777" w:rsidR="0019789C" w:rsidRPr="00113582" w:rsidRDefault="0019789C" w:rsidP="00375681"/>
    <w:p w14:paraId="41FF8AC3" w14:textId="77777777" w:rsidR="0019789C" w:rsidRPr="00113582" w:rsidRDefault="0019789C" w:rsidP="00375681">
      <w:pPr>
        <w:pStyle w:val="Heading4"/>
      </w:pPr>
      <w:r w:rsidRPr="00113582">
        <w:t>(c) Enforcement</w:t>
      </w:r>
    </w:p>
    <w:p w14:paraId="2AC8B00E" w14:textId="77777777" w:rsidR="0019789C" w:rsidRPr="00113582" w:rsidRDefault="0019789C" w:rsidP="00375681">
      <w:r w:rsidRPr="00113582">
        <w:t>These offences are crimes and enforceable through the criminal justice system – including by arrest and by summons to attend court.</w:t>
      </w:r>
    </w:p>
    <w:p w14:paraId="7016CA7F" w14:textId="77777777" w:rsidR="0019789C" w:rsidRPr="00113582" w:rsidRDefault="0019789C" w:rsidP="00375681"/>
    <w:p w14:paraId="356359EE" w14:textId="77777777" w:rsidR="0019789C" w:rsidRPr="00113582" w:rsidRDefault="0019789C" w:rsidP="00375681">
      <w:pPr>
        <w:ind w:firstLine="0"/>
      </w:pPr>
    </w:p>
    <w:p w14:paraId="3F7DD99A" w14:textId="77777777" w:rsidR="0019789C" w:rsidRPr="00113582" w:rsidRDefault="0019789C" w:rsidP="00375681">
      <w:pPr>
        <w:pStyle w:val="Heading2"/>
        <w:jc w:val="left"/>
      </w:pPr>
      <w:r w:rsidRPr="00113582">
        <w:lastRenderedPageBreak/>
        <w:t>D5 Driving, cycling, scootering and other travelling on pavements which might endanger pedestrians</w:t>
      </w:r>
    </w:p>
    <w:p w14:paraId="739EAAE4" w14:textId="77777777" w:rsidR="0019789C" w:rsidRPr="00113582" w:rsidRDefault="0019789C" w:rsidP="00375681">
      <w:pPr>
        <w:pStyle w:val="Heading3"/>
      </w:pPr>
      <w:r w:rsidRPr="00113582">
        <w:t xml:space="preserve">D5.1 General Laws </w:t>
      </w:r>
    </w:p>
    <w:p w14:paraId="3B240F0A" w14:textId="77777777" w:rsidR="0019789C" w:rsidRPr="00113582" w:rsidRDefault="0019789C" w:rsidP="00375681">
      <w:pPr>
        <w:pStyle w:val="Heading4"/>
      </w:pPr>
      <w:r w:rsidRPr="00113582">
        <w:t>(a) Description and Examples</w:t>
      </w:r>
    </w:p>
    <w:p w14:paraId="4CFFD162" w14:textId="77777777" w:rsidR="0019789C" w:rsidRPr="00113582" w:rsidRDefault="0019789C" w:rsidP="00375681">
      <w:r w:rsidRPr="00113582">
        <w:t>There are a range of laws found in the Highway Code, which is a compilation of national legal requirements drawing together the different regulations and providing a comprehensive account for drivers of the rules which they are expected to follow. These include the following:</w:t>
      </w:r>
    </w:p>
    <w:p w14:paraId="0D10777E" w14:textId="77777777" w:rsidR="0019789C" w:rsidRPr="00113582" w:rsidRDefault="0019789C" w:rsidP="00D25E2B">
      <w:pPr>
        <w:pStyle w:val="ListParagraph"/>
        <w:numPr>
          <w:ilvl w:val="0"/>
          <w:numId w:val="2"/>
        </w:numPr>
        <w:spacing w:line="312" w:lineRule="auto"/>
      </w:pPr>
      <w:r w:rsidRPr="00113582">
        <w:t>Rule 145 – drivers of motor vehicles ‘MUST NOT drive on or over a pavement, footpath or bridleway except to gain lawful access to property, or in the case of an emergency’ (s 72 Highway Act 1835; s 34 Road Traffic Act 1988; s129 Roads (Scotland) Act 1984).</w:t>
      </w:r>
    </w:p>
    <w:p w14:paraId="4BC4DCE9" w14:textId="77777777" w:rsidR="0019789C" w:rsidRPr="00113582" w:rsidRDefault="0019789C" w:rsidP="00D25E2B">
      <w:pPr>
        <w:pStyle w:val="ListParagraph"/>
        <w:numPr>
          <w:ilvl w:val="0"/>
          <w:numId w:val="2"/>
        </w:numPr>
        <w:spacing w:line="312" w:lineRule="auto"/>
      </w:pPr>
      <w:r w:rsidRPr="00113582">
        <w:t>Rule 39 – drivers of ‘Powered wheelchairs and scooters MUST NOT travel faster than 4 mph (6 km/h) on pavements or in pedestrian areas. You may need to reduce your speed to adjust to other pavement users who may not be able to move out of your way quickly enough or where the pavement is too narrow.’ (Regulation 4 Use of Invalid Carriages on Highways Regulations 1988).</w:t>
      </w:r>
    </w:p>
    <w:p w14:paraId="5A5BC311" w14:textId="77777777" w:rsidR="0019789C" w:rsidRPr="00113582" w:rsidRDefault="0019789C" w:rsidP="00D25E2B">
      <w:pPr>
        <w:pStyle w:val="ListParagraph"/>
        <w:numPr>
          <w:ilvl w:val="0"/>
          <w:numId w:val="2"/>
        </w:numPr>
        <w:spacing w:line="312" w:lineRule="auto"/>
      </w:pPr>
      <w:r w:rsidRPr="00113582">
        <w:t>Rule 64 – cyclists ‘MUST NOT cycle on a pavement’ (s 72 Highways Act 1835 and s 129(5) Roads (Scotland) Act 1984 - both of which prohibit cycling as well as driving on the footway). According to the Crown Prosecution Service, s 72 Highways Act 1835 extends to self-balancing scooters (such as Segways, mini Segways, Hoverboards and single wheel electric skateboards) because they are not classed as ‘invalid carriages’ (unlike eg certain vehicles used by disabled drivers, such as powered wheelchairs and scooters mentioned above).</w:t>
      </w:r>
      <w:r w:rsidRPr="00113582">
        <w:rPr>
          <w:rStyle w:val="FootnoteReference"/>
        </w:rPr>
        <w:footnoteReference w:id="939"/>
      </w:r>
    </w:p>
    <w:p w14:paraId="0D5736A6" w14:textId="77777777" w:rsidR="0019789C" w:rsidRPr="00113582" w:rsidRDefault="0019789C" w:rsidP="00D25E2B">
      <w:pPr>
        <w:pStyle w:val="ListParagraph"/>
        <w:numPr>
          <w:ilvl w:val="0"/>
          <w:numId w:val="2"/>
        </w:numPr>
        <w:spacing w:line="312" w:lineRule="auto"/>
      </w:pPr>
      <w:r w:rsidRPr="00113582">
        <w:t xml:space="preserve">Rule 69 – cyclists ‘MUST obey all traffic signs and traffic light signals’ (s 36 Road Traffic Act 1988 and Regulation 19(1) Traffic Signs Regulations and General Directions 2002). </w:t>
      </w:r>
    </w:p>
    <w:p w14:paraId="65D83F1E" w14:textId="77777777" w:rsidR="0019789C" w:rsidRPr="00113582" w:rsidRDefault="0019789C" w:rsidP="00375681"/>
    <w:p w14:paraId="33FA404F" w14:textId="77777777" w:rsidR="0019789C" w:rsidRPr="00113582" w:rsidRDefault="0019789C" w:rsidP="00375681">
      <w:r w:rsidRPr="00113582">
        <w:t xml:space="preserve">Besides the national measures, local authorities have power to prohibit a range of behaviours of drivers, cyclists and others affecting pedestrians. Under the Traffic Management Act 2004, for example, they can apply to regulate road traffic </w:t>
      </w:r>
      <w:r w:rsidRPr="00113582">
        <w:lastRenderedPageBreak/>
        <w:t>contraventions that are subject to civil enforcement and occur within their designated area.</w:t>
      </w:r>
      <w:r w:rsidRPr="00113582">
        <w:rPr>
          <w:rStyle w:val="FootnoteReference"/>
        </w:rPr>
        <w:footnoteReference w:id="940"/>
      </w:r>
      <w:r w:rsidRPr="00113582">
        <w:t xml:space="preserve"> </w:t>
      </w:r>
    </w:p>
    <w:p w14:paraId="2281EB72" w14:textId="77777777" w:rsidR="0019789C" w:rsidRPr="00113582" w:rsidRDefault="0019789C" w:rsidP="00375681"/>
    <w:p w14:paraId="6D323899" w14:textId="77777777" w:rsidR="0019789C" w:rsidRPr="00113582" w:rsidRDefault="0019789C" w:rsidP="00375681">
      <w:pPr>
        <w:pStyle w:val="Heading4"/>
      </w:pPr>
      <w:r w:rsidRPr="00113582">
        <w:t>(b) Remedies, Sanctions and Other Outcomes</w:t>
      </w:r>
    </w:p>
    <w:p w14:paraId="601B7095" w14:textId="77777777" w:rsidR="0019789C" w:rsidRPr="00113582" w:rsidRDefault="0019789C" w:rsidP="00375681">
      <w:r w:rsidRPr="00113582">
        <w:t>Breaching requirements amounting to criminal offences gives rise to penalties including a fine, penalty points on a driver’s licence, being disqualified from driving or, in the most serious cases, imprisonment. According to the Highway Code, the penalty for cycling on the pavement, for example, is a £500 fine. Criminal enforcement mechanisms will generally be used. However, local authorities may use civil enforcement powers in some situations.</w:t>
      </w:r>
    </w:p>
    <w:p w14:paraId="17BAE025" w14:textId="77777777" w:rsidR="0019789C" w:rsidRPr="00113582" w:rsidRDefault="0019789C" w:rsidP="00375681"/>
    <w:p w14:paraId="7735A103" w14:textId="77777777" w:rsidR="0019789C" w:rsidRPr="00113582" w:rsidRDefault="0019789C" w:rsidP="00375681">
      <w:pPr>
        <w:pStyle w:val="Heading4"/>
      </w:pPr>
      <w:r w:rsidRPr="00113582">
        <w:t>(c) Enforcement</w:t>
      </w:r>
    </w:p>
    <w:p w14:paraId="3D4A6779" w14:textId="77777777" w:rsidR="0019789C" w:rsidRPr="00113582" w:rsidRDefault="0019789C" w:rsidP="00375681">
      <w:r w:rsidRPr="00113582">
        <w:t>These offences are crimes and enforceable through the criminal justice system – including by arrest and by summons to attend court.</w:t>
      </w:r>
    </w:p>
    <w:p w14:paraId="6A70739B" w14:textId="77777777" w:rsidR="0019789C" w:rsidRDefault="0019789C" w:rsidP="00375681">
      <w:pPr>
        <w:ind w:firstLine="0"/>
      </w:pPr>
    </w:p>
    <w:p w14:paraId="770FFBAA" w14:textId="77777777" w:rsidR="0019789C" w:rsidRPr="00113582" w:rsidRDefault="0019789C" w:rsidP="00375681">
      <w:pPr>
        <w:ind w:firstLine="0"/>
      </w:pPr>
    </w:p>
    <w:p w14:paraId="3B369A5A" w14:textId="77777777" w:rsidR="0019789C" w:rsidRPr="00113582" w:rsidRDefault="0019789C" w:rsidP="00375681">
      <w:pPr>
        <w:pStyle w:val="Heading2"/>
        <w:jc w:val="left"/>
      </w:pPr>
      <w:r w:rsidRPr="00113582">
        <w:t>D6 Noteworthy Project-Related Observations and Concerns</w:t>
      </w:r>
    </w:p>
    <w:p w14:paraId="390ED4AD" w14:textId="77777777" w:rsidR="0019789C" w:rsidRDefault="0019789C" w:rsidP="00C25857">
      <w:pPr>
        <w:pStyle w:val="ListParagraph"/>
        <w:ind w:left="1008" w:firstLine="0"/>
      </w:pPr>
    </w:p>
    <w:p w14:paraId="79DFA0DD" w14:textId="1CA9CC49" w:rsidR="0019789C" w:rsidRPr="00113582" w:rsidRDefault="0019789C" w:rsidP="00427643">
      <w:pPr>
        <w:pStyle w:val="ListParagraph"/>
        <w:numPr>
          <w:ilvl w:val="0"/>
          <w:numId w:val="25"/>
        </w:numPr>
      </w:pPr>
      <w:r>
        <w:t>P</w:t>
      </w:r>
      <w:r w:rsidRPr="00113582">
        <w:t>avement parkin</w:t>
      </w:r>
      <w:r>
        <w:t xml:space="preserve">g: </w:t>
      </w:r>
      <w:r w:rsidRPr="00113582">
        <w:t>The Scottish law is recent</w:t>
      </w:r>
      <w:r>
        <w:t>, and has not yet taken effect,</w:t>
      </w:r>
      <w:r w:rsidRPr="00113582">
        <w:t xml:space="preserve"> </w:t>
      </w:r>
      <w:r>
        <w:t xml:space="preserve">although it </w:t>
      </w:r>
      <w:r w:rsidRPr="00113582">
        <w:t xml:space="preserve">applies to the whole of Scotland. In England, there are concerns that, outside London, most local authorities have not prohibited pavement parking with the result that pavements become obstructed – particularly for disabled people – and also become damaged and the source of trip hazards. </w:t>
      </w:r>
    </w:p>
    <w:p w14:paraId="7A5A11FD" w14:textId="77777777" w:rsidR="0019789C" w:rsidRPr="00113582" w:rsidRDefault="0019789C" w:rsidP="00D70302">
      <w:pPr>
        <w:ind w:firstLine="0"/>
      </w:pPr>
    </w:p>
    <w:p w14:paraId="6C710A26" w14:textId="56B66695" w:rsidR="0019789C" w:rsidRPr="00113582" w:rsidRDefault="0019789C" w:rsidP="00427643">
      <w:pPr>
        <w:pStyle w:val="ListParagraph"/>
        <w:numPr>
          <w:ilvl w:val="0"/>
          <w:numId w:val="25"/>
        </w:numPr>
      </w:pPr>
      <w:r>
        <w:t>Another</w:t>
      </w:r>
      <w:r w:rsidRPr="00113582">
        <w:t xml:space="preserve"> </w:t>
      </w:r>
      <w:r>
        <w:t xml:space="preserve">point of concern </w:t>
      </w:r>
      <w:r w:rsidRPr="00113582">
        <w:t>is that there has been a rise in reports to police in the UK for incidents involving electric scooters, hover-boards and Segways: 618 incidents were reported in the first half of 2019, as compared to 1,017 reported incidents in 2018, 1,123 incidents in 2017 and 1,275 incidents in 2016.</w:t>
      </w:r>
      <w:r w:rsidRPr="00113582">
        <w:rPr>
          <w:rStyle w:val="FootnoteReference"/>
        </w:rPr>
        <w:footnoteReference w:id="941"/>
      </w:r>
      <w:r w:rsidRPr="00113582">
        <w:t xml:space="preserve"> However, as only 27 police forces revealed figures for each year, the actual number of incidents is </w:t>
      </w:r>
      <w:r w:rsidRPr="00113582">
        <w:lastRenderedPageBreak/>
        <w:t>higher.</w:t>
      </w:r>
      <w:r w:rsidRPr="00113582">
        <w:rPr>
          <w:rStyle w:val="FootnoteReference"/>
        </w:rPr>
        <w:footnoteReference w:id="942"/>
      </w:r>
      <w:r w:rsidRPr="00113582">
        <w:t xml:space="preserve"> The incidents in question ranged from anti-social behaviour to highway disruption and other road-related offences.</w:t>
      </w:r>
      <w:r w:rsidRPr="00113582">
        <w:rPr>
          <w:rStyle w:val="FootnoteReference"/>
        </w:rPr>
        <w:footnoteReference w:id="943"/>
      </w:r>
      <w:r w:rsidRPr="00113582">
        <w:t xml:space="preserve"> In March 2020, the Department for Transport launched a consultation on how to regulate e-scooters and whether they should be treated like bicycles and be allowed on roads and in cycle lanes.</w:t>
      </w:r>
      <w:r w:rsidRPr="00113582">
        <w:rPr>
          <w:rStyle w:val="FootnoteReference"/>
        </w:rPr>
        <w:footnoteReference w:id="944"/>
      </w:r>
    </w:p>
    <w:p w14:paraId="5F1DEC99" w14:textId="6265AAA2" w:rsidR="0019789C" w:rsidRPr="002A65B0" w:rsidRDefault="0019789C">
      <w:pPr>
        <w:spacing w:after="160" w:line="259" w:lineRule="auto"/>
        <w:ind w:firstLine="0"/>
        <w:jc w:val="left"/>
      </w:pPr>
      <w:r>
        <w:br w:type="page"/>
      </w:r>
    </w:p>
    <w:p w14:paraId="482D876A" w14:textId="716BF12E" w:rsidR="0019789C" w:rsidRDefault="0019789C" w:rsidP="00C25857">
      <w:pPr>
        <w:pStyle w:val="Heading1"/>
      </w:pPr>
      <w:bookmarkStart w:id="89" w:name="_Hlk39829142"/>
      <w:r>
        <w:lastRenderedPageBreak/>
        <w:t xml:space="preserve">E </w:t>
      </w:r>
      <w:r w:rsidRPr="002A65B0">
        <w:t xml:space="preserve">Cross-cutting issues </w:t>
      </w:r>
    </w:p>
    <w:bookmarkEnd w:id="89"/>
    <w:p w14:paraId="6B9EE9DF" w14:textId="77777777" w:rsidR="0019789C" w:rsidRDefault="0019789C" w:rsidP="00972189"/>
    <w:p w14:paraId="3A18993C" w14:textId="0E6B6B0B" w:rsidR="0019789C" w:rsidRPr="008A5B47" w:rsidRDefault="0019789C" w:rsidP="008A5B47">
      <w:pPr>
        <w:pStyle w:val="Heading2"/>
      </w:pPr>
      <w:r>
        <w:t xml:space="preserve">E1 Key Topical Issues </w:t>
      </w:r>
    </w:p>
    <w:p w14:paraId="0CDD4ECD" w14:textId="77777777" w:rsidR="0019789C" w:rsidRDefault="0019789C" w:rsidP="0011219B">
      <w:pPr>
        <w:ind w:firstLine="0"/>
      </w:pPr>
    </w:p>
    <w:p w14:paraId="183BCD12" w14:textId="674E8E9D" w:rsidR="0019789C" w:rsidRDefault="0019789C" w:rsidP="00427643">
      <w:pPr>
        <w:pStyle w:val="ListParagraph"/>
        <w:numPr>
          <w:ilvl w:val="0"/>
          <w:numId w:val="29"/>
        </w:numPr>
      </w:pPr>
      <w:r>
        <w:t xml:space="preserve">Low traffic neighbourhoods and pedestrianisation: this is an issue of particular significance following the Covid-19 crisis and initiatives to build on its legacy of prioritizing pedestrian space. The disability-related concerns come from the fact that some of these plans exclude the possibility of disabled parking spaces in city centres without clear accessible alternative ways for people to access these public spaces. Such plans are resulting in legal action – eg against York City Council. </w:t>
      </w:r>
    </w:p>
    <w:p w14:paraId="2645E678" w14:textId="77777777" w:rsidR="0019789C" w:rsidRPr="00B345B7" w:rsidRDefault="0019789C" w:rsidP="00B345B7">
      <w:pPr>
        <w:pStyle w:val="ListParagraph"/>
        <w:ind w:left="922" w:firstLine="0"/>
      </w:pPr>
    </w:p>
    <w:p w14:paraId="039495AC" w14:textId="2E22BB6F" w:rsidR="0019789C" w:rsidRDefault="0019789C" w:rsidP="00427643">
      <w:pPr>
        <w:pStyle w:val="ListParagraph"/>
        <w:numPr>
          <w:ilvl w:val="0"/>
          <w:numId w:val="29"/>
        </w:numPr>
      </w:pPr>
      <w:r>
        <w:t xml:space="preserve">Embedding Accessibility within the Sustainability Agenda – this encompasses a number of issues and in many ways overlaps with the first point discussed above. Other relevant concerns include the increased reliance on forms of micromobility, which have a potentially negative impact on disabled and older pedestrians due to the risk of injury or collision. More generally, </w:t>
      </w:r>
      <w:r w:rsidRPr="000F20D6">
        <w:t>the increased popularity of shared micromobility devices poses longer-term challenges regarding public space and its allocation to different users and for dif</w:t>
      </w:r>
      <w:r>
        <w:t xml:space="preserve">ferent uses. </w:t>
      </w:r>
      <w:r w:rsidRPr="000F20D6">
        <w:t xml:space="preserve">In particular, we need to ensure that government policies and regulations on micromobility schemes are not </w:t>
      </w:r>
      <w:r>
        <w:t>detrimental</w:t>
      </w:r>
      <w:r w:rsidRPr="000F20D6">
        <w:t xml:space="preserve"> to </w:t>
      </w:r>
      <w:r>
        <w:t xml:space="preserve">older and </w:t>
      </w:r>
      <w:r w:rsidRPr="000F20D6">
        <w:t xml:space="preserve">disabled people’s </w:t>
      </w:r>
      <w:r>
        <w:t>use</w:t>
      </w:r>
      <w:r w:rsidRPr="000F20D6">
        <w:t xml:space="preserve"> </w:t>
      </w:r>
      <w:r>
        <w:t xml:space="preserve">and enjoyment of </w:t>
      </w:r>
      <w:r w:rsidRPr="000F20D6">
        <w:t>public space</w:t>
      </w:r>
      <w:r>
        <w:t>s</w:t>
      </w:r>
      <w:r w:rsidRPr="000F20D6">
        <w:t>.</w:t>
      </w:r>
      <w:r>
        <w:t xml:space="preserve"> Another relevant concern is the increased use of electric cars – both because of their silence and the trip hazards posed by electric charging points. Another concern is the privileging of trees over useable pedestrian space. Generally, there is a concern that disability and accessibility issues do not feature sufficiently prominently or consistently in the green agenda. </w:t>
      </w:r>
    </w:p>
    <w:p w14:paraId="62D6AFB4" w14:textId="64A1095A" w:rsidR="0019789C" w:rsidRDefault="0019789C" w:rsidP="002E0893">
      <w:pPr>
        <w:ind w:firstLine="0"/>
      </w:pPr>
    </w:p>
    <w:p w14:paraId="46C81830" w14:textId="49D6C1B5" w:rsidR="0019789C" w:rsidRDefault="0019789C" w:rsidP="00427643">
      <w:pPr>
        <w:pStyle w:val="ListParagraph"/>
        <w:numPr>
          <w:ilvl w:val="0"/>
          <w:numId w:val="29"/>
        </w:numPr>
      </w:pPr>
      <w:r w:rsidRPr="002A65B0">
        <w:t>Pavement</w:t>
      </w:r>
      <w:r>
        <w:t xml:space="preserve"> Parking</w:t>
      </w:r>
      <w:r w:rsidRPr="002A65B0">
        <w:t xml:space="preserve"> </w:t>
      </w:r>
      <w:r>
        <w:t>– p</w:t>
      </w:r>
      <w:r w:rsidRPr="00BF70F3">
        <w:rPr>
          <w:lang w:bidi="en-US"/>
        </w:rPr>
        <w:t xml:space="preserve">avement parking </w:t>
      </w:r>
      <w:r>
        <w:rPr>
          <w:lang w:bidi="en-US"/>
        </w:rPr>
        <w:t>poses</w:t>
      </w:r>
      <w:r w:rsidRPr="00BF70F3">
        <w:rPr>
          <w:lang w:bidi="en-US"/>
        </w:rPr>
        <w:t xml:space="preserve"> problems for disabled and older people</w:t>
      </w:r>
      <w:r>
        <w:rPr>
          <w:lang w:bidi="en-US"/>
        </w:rPr>
        <w:t xml:space="preserve"> in England</w:t>
      </w:r>
      <w:r w:rsidRPr="00BF70F3">
        <w:rPr>
          <w:lang w:bidi="en-US"/>
        </w:rPr>
        <w:t>. Despite campaigning by stakeholders to introduce a complete ban o</w:t>
      </w:r>
      <w:r>
        <w:rPr>
          <w:lang w:bidi="en-US"/>
        </w:rPr>
        <w:t>n pavement parking in England</w:t>
      </w:r>
      <w:r w:rsidRPr="00BF70F3">
        <w:rPr>
          <w:lang w:bidi="en-US"/>
        </w:rPr>
        <w:t xml:space="preserve"> efforts have </w:t>
      </w:r>
      <w:r>
        <w:rPr>
          <w:lang w:bidi="en-US"/>
        </w:rPr>
        <w:t xml:space="preserve">as yet not resulted in change outside London. A public consultation was concluded in late 2020 and results were expected in 2021, but have not been released yet. There remains hope that this will eventually lead to reform. The English position contrasts with that in Scotland where relevant restrictions already exist. </w:t>
      </w:r>
    </w:p>
    <w:p w14:paraId="066F9E32" w14:textId="71A33504" w:rsidR="0019789C" w:rsidRDefault="0019789C" w:rsidP="002E0893">
      <w:pPr>
        <w:ind w:firstLine="0"/>
      </w:pPr>
    </w:p>
    <w:p w14:paraId="21F0FB7B" w14:textId="62682D67" w:rsidR="0019789C" w:rsidRDefault="0019789C" w:rsidP="00427643">
      <w:pPr>
        <w:pStyle w:val="ListParagraph"/>
        <w:numPr>
          <w:ilvl w:val="0"/>
          <w:numId w:val="29"/>
        </w:numPr>
      </w:pPr>
      <w:r>
        <w:lastRenderedPageBreak/>
        <w:t>Shared space and interaction with other road users – ‘shared space’ (here used to denote situations where curbs and crossings are removed to create spaces where pedestrians and other road users mingle) have been and remain the cause of intense concern to disabled people.  There is currently a distinction between the positions in England and Scotland and great variation from city to city. There remains significant campaigning pressure for a more consistent UK-wide approach.</w:t>
      </w:r>
    </w:p>
    <w:p w14:paraId="2B5DC54A" w14:textId="77777777" w:rsidR="0019789C" w:rsidRDefault="0019789C" w:rsidP="002E0893">
      <w:pPr>
        <w:pStyle w:val="ListParagraph"/>
      </w:pPr>
    </w:p>
    <w:p w14:paraId="55A750C7" w14:textId="4CE6780B" w:rsidR="0019789C" w:rsidRDefault="0019789C" w:rsidP="00427643">
      <w:pPr>
        <w:pStyle w:val="ListParagraph"/>
        <w:numPr>
          <w:ilvl w:val="0"/>
          <w:numId w:val="29"/>
        </w:numPr>
      </w:pPr>
      <w:r>
        <w:t>Involvement in Consultations – there is concern that the needs of disabled people are not understood or prioritized in many consultation exercises. The WEC committee recommended guidelines on effective consultation and involvement, which have not been implemented. Such guidance would help to promote effective methods for ensuring meaningful involvement in consultations carried out by local councils and other public bodies.</w:t>
      </w:r>
    </w:p>
    <w:p w14:paraId="71F7A417" w14:textId="77777777" w:rsidR="0019789C" w:rsidRDefault="0019789C" w:rsidP="00B345B7"/>
    <w:p w14:paraId="363BDFFD" w14:textId="77777777" w:rsidR="0019789C" w:rsidRPr="002A65B0" w:rsidRDefault="0019789C" w:rsidP="001C2C4A">
      <w:pPr>
        <w:ind w:firstLine="0"/>
        <w:rPr>
          <w:b/>
        </w:rPr>
      </w:pPr>
    </w:p>
    <w:p w14:paraId="10AA9B0A" w14:textId="000B8B22" w:rsidR="0019789C" w:rsidRDefault="0019789C" w:rsidP="0011219B">
      <w:pPr>
        <w:pStyle w:val="Heading2"/>
      </w:pPr>
      <w:r>
        <w:t xml:space="preserve">E2 </w:t>
      </w:r>
      <w:r w:rsidRPr="002A65B0">
        <w:t xml:space="preserve">Strengths and Good Practices </w:t>
      </w:r>
    </w:p>
    <w:p w14:paraId="55E550F8" w14:textId="77777777" w:rsidR="0019789C" w:rsidRPr="0011219B" w:rsidRDefault="0019789C" w:rsidP="0011219B"/>
    <w:p w14:paraId="71DFC96A" w14:textId="3FE11FB4" w:rsidR="0019789C" w:rsidRDefault="0019789C" w:rsidP="008A5B47">
      <w:pPr>
        <w:pStyle w:val="Heading3"/>
      </w:pPr>
      <w:r>
        <w:t xml:space="preserve">E2.1 </w:t>
      </w:r>
      <w:r w:rsidRPr="002A65B0">
        <w:t xml:space="preserve">Content and Coverage </w:t>
      </w:r>
    </w:p>
    <w:p w14:paraId="504B4244" w14:textId="536ADD9E" w:rsidR="0019789C" w:rsidRDefault="0019789C" w:rsidP="00137E47">
      <w:pPr>
        <w:rPr>
          <w:lang w:bidi="en-US"/>
        </w:rPr>
      </w:pPr>
      <w:r>
        <w:rPr>
          <w:lang w:bidi="en-US"/>
        </w:rPr>
        <w:t>The Equality Act 2010, in theory, is a robust and well-written piece of legislation. It includes innovative and proactive forms of discrimination prohibition – such as the anticipatory reasonable adjustment duty. It also includes the Public Sector Equality Duty, which requires</w:t>
      </w:r>
      <w:r w:rsidRPr="000F20D6">
        <w:rPr>
          <w:lang w:bidi="en-US"/>
        </w:rPr>
        <w:t xml:space="preserve"> </w:t>
      </w:r>
      <w:r>
        <w:rPr>
          <w:lang w:bidi="en-US"/>
        </w:rPr>
        <w:t>public authorities to have ‘due regard’ to</w:t>
      </w:r>
      <w:r w:rsidRPr="000F20D6">
        <w:rPr>
          <w:lang w:bidi="en-US"/>
        </w:rPr>
        <w:t xml:space="preserve"> the impact of their decisions on different groups of people, su</w:t>
      </w:r>
      <w:r>
        <w:rPr>
          <w:lang w:bidi="en-US"/>
        </w:rPr>
        <w:t>ch as disabled or older people</w:t>
      </w:r>
      <w:r w:rsidRPr="000F20D6">
        <w:rPr>
          <w:lang w:bidi="en-US"/>
        </w:rPr>
        <w:t>.</w:t>
      </w:r>
      <w:r>
        <w:rPr>
          <w:rStyle w:val="FootnoteReference"/>
          <w:lang w:bidi="en-US"/>
        </w:rPr>
        <w:footnoteReference w:id="945"/>
      </w:r>
    </w:p>
    <w:p w14:paraId="445B7515" w14:textId="77777777" w:rsidR="0019789C" w:rsidRDefault="0019789C" w:rsidP="00C25857">
      <w:pPr>
        <w:ind w:firstLine="0"/>
        <w:rPr>
          <w:lang w:bidi="en-US"/>
        </w:rPr>
      </w:pPr>
    </w:p>
    <w:p w14:paraId="22BE8A58" w14:textId="55456608" w:rsidR="0019789C" w:rsidRDefault="0019789C" w:rsidP="000D6612">
      <w:pPr>
        <w:rPr>
          <w:lang w:bidi="en-US"/>
        </w:rPr>
      </w:pPr>
      <w:r>
        <w:rPr>
          <w:lang w:bidi="en-US"/>
        </w:rPr>
        <w:t>Moreover, there is a commitment in both Scotland and England to increased pedestrianisation and the promotion of active travel, including walking. This is driven in part by agendas of sustainability and health. It fosters travel and city policies that prioritize the needs of pedestrians.</w:t>
      </w:r>
      <w:r>
        <w:rPr>
          <w:rStyle w:val="FootnoteReference"/>
          <w:lang w:bidi="en-US"/>
        </w:rPr>
        <w:footnoteReference w:id="946"/>
      </w:r>
    </w:p>
    <w:p w14:paraId="520AD4EF" w14:textId="77777777" w:rsidR="0019789C" w:rsidRPr="00137E47" w:rsidRDefault="0019789C" w:rsidP="00137E47">
      <w:pPr>
        <w:rPr>
          <w:lang w:bidi="en-US"/>
        </w:rPr>
      </w:pPr>
    </w:p>
    <w:p w14:paraId="22478417" w14:textId="61114C90" w:rsidR="0019789C" w:rsidRDefault="0019789C" w:rsidP="008A5B47">
      <w:pPr>
        <w:pStyle w:val="Heading3"/>
      </w:pPr>
      <w:r>
        <w:t xml:space="preserve">E2.2 </w:t>
      </w:r>
      <w:r w:rsidRPr="002A65B0">
        <w:t xml:space="preserve">Remedies </w:t>
      </w:r>
    </w:p>
    <w:p w14:paraId="5773DADE" w14:textId="2C1F2A12" w:rsidR="0019789C" w:rsidRDefault="0019789C" w:rsidP="000D6612">
      <w:pPr>
        <w:rPr>
          <w:lang w:bidi="en-US"/>
        </w:rPr>
      </w:pPr>
      <w:r>
        <w:rPr>
          <w:lang w:bidi="en-US"/>
        </w:rPr>
        <w:lastRenderedPageBreak/>
        <w:t>In theory, damages are available as is injunctive relief where there has been a breach of equality law</w:t>
      </w:r>
      <w:r>
        <w:rPr>
          <w:rStyle w:val="FootnoteReference"/>
          <w:lang w:bidi="en-US"/>
        </w:rPr>
        <w:footnoteReference w:id="947"/>
      </w:r>
      <w:r>
        <w:rPr>
          <w:lang w:bidi="en-US"/>
        </w:rPr>
        <w:t xml:space="preserve"> and damages are also available where a claim is brought under the tort of negligence.</w:t>
      </w:r>
      <w:r>
        <w:rPr>
          <w:rStyle w:val="FootnoteReference"/>
          <w:lang w:bidi="en-US"/>
        </w:rPr>
        <w:footnoteReference w:id="948"/>
      </w:r>
    </w:p>
    <w:p w14:paraId="6585214B" w14:textId="77777777" w:rsidR="0019789C" w:rsidRPr="00357829" w:rsidRDefault="0019789C" w:rsidP="00357829">
      <w:pPr>
        <w:rPr>
          <w:lang w:bidi="en-US"/>
        </w:rPr>
      </w:pPr>
    </w:p>
    <w:p w14:paraId="4E146476" w14:textId="77777777" w:rsidR="0019789C" w:rsidRDefault="0019789C" w:rsidP="006F31DA">
      <w:pPr>
        <w:pStyle w:val="Heading3"/>
      </w:pPr>
      <w:r>
        <w:t xml:space="preserve">E2.3 </w:t>
      </w:r>
      <w:r w:rsidRPr="002A65B0">
        <w:t>Enforcement and Effectiveness</w:t>
      </w:r>
    </w:p>
    <w:p w14:paraId="1380FD31" w14:textId="4FDC6617" w:rsidR="0019789C" w:rsidRDefault="0019789C" w:rsidP="00CF6F01">
      <w:r>
        <w:t>The existence of the Equality and Human Rights Commission should be noted here. It is a regulatory body with statutory duties and powers regarding the implementation and enforcement of the Equality Act 2010.</w:t>
      </w:r>
      <w:r>
        <w:rPr>
          <w:rStyle w:val="FootnoteReference"/>
        </w:rPr>
        <w:footnoteReference w:id="949"/>
      </w:r>
      <w:r>
        <w:t xml:space="preserve"> </w:t>
      </w:r>
    </w:p>
    <w:p w14:paraId="0CA4C8F4" w14:textId="77777777" w:rsidR="0019789C" w:rsidRDefault="0019789C" w:rsidP="00CF6F01"/>
    <w:p w14:paraId="3ADD1C9F" w14:textId="302ADDF1" w:rsidR="0019789C" w:rsidRDefault="0019789C" w:rsidP="00CF6F01">
      <w:r>
        <w:t>The existence of a cross-party parliamentary committee, with responsibility for overseeing equality issues (including the effective implementation of the Equality Act 2010) is also a strength. This is the House of Commons Women and Equalities Committee.</w:t>
      </w:r>
      <w:r>
        <w:rPr>
          <w:rStyle w:val="FootnoteReference"/>
        </w:rPr>
        <w:footnoteReference w:id="950"/>
      </w:r>
    </w:p>
    <w:p w14:paraId="1D9EB056" w14:textId="79DDC29B" w:rsidR="0019789C" w:rsidRDefault="0019789C" w:rsidP="001C2C4A"/>
    <w:p w14:paraId="4B7FAED1" w14:textId="77777777" w:rsidR="0019789C" w:rsidRDefault="0019789C" w:rsidP="001C2C4A"/>
    <w:p w14:paraId="65179B23" w14:textId="59602E15" w:rsidR="0019789C" w:rsidRDefault="0019789C" w:rsidP="008A5B47">
      <w:pPr>
        <w:pStyle w:val="Heading2"/>
      </w:pPr>
      <w:r>
        <w:t xml:space="preserve">E3 </w:t>
      </w:r>
      <w:r w:rsidRPr="002A65B0">
        <w:t xml:space="preserve">Weaknesses and Concerns </w:t>
      </w:r>
    </w:p>
    <w:p w14:paraId="59D4C9FF" w14:textId="77777777" w:rsidR="0019789C" w:rsidRPr="0011219B" w:rsidRDefault="0019789C" w:rsidP="0011219B"/>
    <w:p w14:paraId="4B15FE69" w14:textId="4A7F0F77" w:rsidR="0019789C" w:rsidRPr="008A5B47" w:rsidRDefault="0019789C" w:rsidP="00C44FC1">
      <w:pPr>
        <w:pStyle w:val="Heading3"/>
      </w:pPr>
      <w:r>
        <w:t xml:space="preserve">E3.1 </w:t>
      </w:r>
      <w:r w:rsidRPr="008A5B47">
        <w:t xml:space="preserve">Content and Coverage </w:t>
      </w:r>
    </w:p>
    <w:p w14:paraId="6EFE4028" w14:textId="253970A7" w:rsidR="0019789C" w:rsidRPr="002A65B0" w:rsidRDefault="0019789C" w:rsidP="00385097">
      <w:r>
        <w:t>As regards Part B (l</w:t>
      </w:r>
      <w:r w:rsidRPr="002A65B0">
        <w:t xml:space="preserve">aws that can be used by or on behalf of </w:t>
      </w:r>
      <w:r>
        <w:t>p</w:t>
      </w:r>
      <w:r w:rsidRPr="002A65B0">
        <w:t xml:space="preserve">edestrians with </w:t>
      </w:r>
      <w:r>
        <w:t>s</w:t>
      </w:r>
      <w:r w:rsidRPr="002A65B0">
        <w:t xml:space="preserve">pecific </w:t>
      </w:r>
      <w:r>
        <w:t>c</w:t>
      </w:r>
      <w:r w:rsidRPr="002A65B0">
        <w:t>haracteristics</w:t>
      </w:r>
      <w:r>
        <w:t xml:space="preserve">), there is concern that too few people are </w:t>
      </w:r>
      <w:r w:rsidRPr="002A65B0">
        <w:t xml:space="preserve">aware of the anticipatory reasonable adjustment duty, which </w:t>
      </w:r>
      <w:r>
        <w:t>in turn limits potential</w:t>
      </w:r>
      <w:r w:rsidRPr="002A65B0">
        <w:t xml:space="preserve"> legal action. </w:t>
      </w:r>
      <w:r>
        <w:t>F</w:t>
      </w:r>
      <w:r w:rsidRPr="002A65B0">
        <w:t xml:space="preserve">or individuals with ‘hidden’ impairments, such concerns may be particularly acute. </w:t>
      </w:r>
      <w:r>
        <w:t>Additionally, there is very</w:t>
      </w:r>
      <w:r w:rsidRPr="002A65B0">
        <w:t xml:space="preserve"> little litigation </w:t>
      </w:r>
      <w:r>
        <w:t>on</w:t>
      </w:r>
      <w:r w:rsidRPr="002A65B0">
        <w:t xml:space="preserve"> pedestrian access to streets, </w:t>
      </w:r>
      <w:r>
        <w:t>so there remains a lack of clarity about assessments of</w:t>
      </w:r>
      <w:r w:rsidRPr="002A65B0">
        <w:t xml:space="preserve"> </w:t>
      </w:r>
      <w:r>
        <w:t xml:space="preserve">‘reasonableness’ and ‘due’ regard etc for purposes of </w:t>
      </w:r>
      <w:r w:rsidRPr="002A65B0">
        <w:t>the</w:t>
      </w:r>
      <w:r>
        <w:t xml:space="preserve"> Equality Act 2010.</w:t>
      </w:r>
      <w:r w:rsidRPr="00385097">
        <w:rPr>
          <w:rStyle w:val="FootnoteReference"/>
        </w:rPr>
        <w:t xml:space="preserve"> </w:t>
      </w:r>
      <w:r>
        <w:rPr>
          <w:rStyle w:val="FootnoteReference"/>
        </w:rPr>
        <w:footnoteReference w:id="951"/>
      </w:r>
    </w:p>
    <w:p w14:paraId="6446B22F" w14:textId="7A140CDD" w:rsidR="0019789C" w:rsidRDefault="0019789C" w:rsidP="00A3594D"/>
    <w:p w14:paraId="6E3E70E5" w14:textId="1E245871" w:rsidR="0019789C" w:rsidRDefault="0019789C" w:rsidP="00A3594D">
      <w:r>
        <w:t>As regards Part C</w:t>
      </w:r>
      <w:r w:rsidRPr="00757A43">
        <w:t xml:space="preserve"> </w:t>
      </w:r>
      <w:r>
        <w:t>(l</w:t>
      </w:r>
      <w:r w:rsidRPr="0080041A">
        <w:t>aws that can be used by pedestrians generally or NGOs on behalf of pedestrians generally</w:t>
      </w:r>
      <w:r>
        <w:t>) and</w:t>
      </w:r>
      <w:r w:rsidRPr="00806FED">
        <w:t xml:space="preserve"> </w:t>
      </w:r>
      <w:r>
        <w:t>Part D</w:t>
      </w:r>
      <w:r w:rsidRPr="005E1A5B">
        <w:t xml:space="preserve"> </w:t>
      </w:r>
      <w:r>
        <w:t>(l</w:t>
      </w:r>
      <w:r w:rsidRPr="005E1A5B">
        <w:t>aws that can be used by public bodies to challenge problems for pedestrians generally</w:t>
      </w:r>
      <w:r>
        <w:t xml:space="preserve">) – the common law and statutory provisions do cover </w:t>
      </w:r>
      <w:r>
        <w:lastRenderedPageBreak/>
        <w:t>a range of possible scenarios, but it lacks uniformity and consistency. For example, there is a range of statutes that could cover issues relating to obstructions, but it forms a patchwork of law rather than a coherent whole.</w:t>
      </w:r>
      <w:r>
        <w:rPr>
          <w:rStyle w:val="FootnoteReference"/>
        </w:rPr>
        <w:footnoteReference w:id="952"/>
      </w:r>
      <w:r>
        <w:t xml:space="preserve"> </w:t>
      </w:r>
    </w:p>
    <w:p w14:paraId="69B474F3" w14:textId="77777777" w:rsidR="0019789C" w:rsidRPr="00A3594D" w:rsidRDefault="0019789C" w:rsidP="00806FED">
      <w:pPr>
        <w:ind w:firstLine="0"/>
      </w:pPr>
    </w:p>
    <w:p w14:paraId="47DFC81F" w14:textId="48BCE974" w:rsidR="0019789C" w:rsidRPr="00972189" w:rsidRDefault="0019789C" w:rsidP="00972189">
      <w:pPr>
        <w:pStyle w:val="Heading3"/>
      </w:pPr>
      <w:r w:rsidRPr="00972189">
        <w:t xml:space="preserve">E3.2 Remedies </w:t>
      </w:r>
    </w:p>
    <w:p w14:paraId="35564583" w14:textId="59D2243B" w:rsidR="0019789C" w:rsidRPr="002A65B0" w:rsidRDefault="0019789C" w:rsidP="00385097">
      <w:r>
        <w:t>As regards Part B (l</w:t>
      </w:r>
      <w:r w:rsidRPr="002A65B0">
        <w:t xml:space="preserve">aws that can be used by or on behalf of </w:t>
      </w:r>
      <w:r>
        <w:t>p</w:t>
      </w:r>
      <w:r w:rsidRPr="002A65B0">
        <w:t xml:space="preserve">edestrians with </w:t>
      </w:r>
      <w:r>
        <w:t>s</w:t>
      </w:r>
      <w:r w:rsidRPr="002A65B0">
        <w:t xml:space="preserve">pecific </w:t>
      </w:r>
      <w:r>
        <w:t>c</w:t>
      </w:r>
      <w:r w:rsidRPr="002A65B0">
        <w:t>haracteristics</w:t>
      </w:r>
      <w:r>
        <w:t>) there is concern about the limited availability of injunctive relief. There are only a handful of cases where an injunction has been ordered.</w:t>
      </w:r>
      <w:r>
        <w:rPr>
          <w:rStyle w:val="FootnoteReference"/>
        </w:rPr>
        <w:footnoteReference w:id="953"/>
      </w:r>
    </w:p>
    <w:p w14:paraId="11310F43" w14:textId="65474413" w:rsidR="0019789C" w:rsidRDefault="0019789C" w:rsidP="00757A43">
      <w:pPr>
        <w:ind w:firstLine="0"/>
      </w:pPr>
    </w:p>
    <w:p w14:paraId="5F083197" w14:textId="00DFFEED" w:rsidR="0019789C" w:rsidRPr="00757A43" w:rsidRDefault="0019789C" w:rsidP="00C06C64">
      <w:r>
        <w:t>As regards Part C</w:t>
      </w:r>
      <w:r w:rsidRPr="00757A43">
        <w:t xml:space="preserve"> </w:t>
      </w:r>
      <w:r>
        <w:t>(l</w:t>
      </w:r>
      <w:r w:rsidRPr="0080041A">
        <w:t>aws that can be used by pedestrians generally or NGOs on behalf of pedestrians generally</w:t>
      </w:r>
      <w:r>
        <w:t>) a concern is that many statutory duties are unenforceable by individuals. First, t</w:t>
      </w:r>
      <w:r w:rsidRPr="0080041A">
        <w:t xml:space="preserve">he </w:t>
      </w:r>
      <w:r>
        <w:t>courts have stressed time and time again that many statutory provisions simply</w:t>
      </w:r>
      <w:r w:rsidRPr="0080041A">
        <w:t xml:space="preserve"> </w:t>
      </w:r>
      <w:r>
        <w:t>empower a local</w:t>
      </w:r>
      <w:r w:rsidRPr="0080041A">
        <w:t xml:space="preserve"> authority </w:t>
      </w:r>
      <w:r>
        <w:t xml:space="preserve">to take certain actions, but do not create a duty or obligation to do so. Second, the </w:t>
      </w:r>
      <w:r w:rsidRPr="0080041A">
        <w:rPr>
          <w:lang w:bidi="en-US"/>
        </w:rPr>
        <w:t xml:space="preserve">mere existence of </w:t>
      </w:r>
      <w:r>
        <w:rPr>
          <w:lang w:bidi="en-US"/>
        </w:rPr>
        <w:t xml:space="preserve">a </w:t>
      </w:r>
      <w:r w:rsidRPr="0080041A">
        <w:rPr>
          <w:lang w:bidi="en-US"/>
        </w:rPr>
        <w:t xml:space="preserve">statutory </w:t>
      </w:r>
      <w:r>
        <w:rPr>
          <w:lang w:bidi="en-US"/>
        </w:rPr>
        <w:t xml:space="preserve">power, </w:t>
      </w:r>
      <w:r w:rsidRPr="0080041A">
        <w:rPr>
          <w:lang w:bidi="en-US"/>
        </w:rPr>
        <w:t xml:space="preserve">duty </w:t>
      </w:r>
      <w:r>
        <w:rPr>
          <w:lang w:bidi="en-US"/>
        </w:rPr>
        <w:t xml:space="preserve">or obligation </w:t>
      </w:r>
      <w:r w:rsidRPr="0080041A">
        <w:rPr>
          <w:lang w:bidi="en-US"/>
        </w:rPr>
        <w:t xml:space="preserve">does not automatically give rise to a parallel duty of care as required </w:t>
      </w:r>
      <w:r>
        <w:rPr>
          <w:lang w:bidi="en-US"/>
        </w:rPr>
        <w:t>for</w:t>
      </w:r>
      <w:r w:rsidRPr="0080041A">
        <w:rPr>
          <w:lang w:bidi="en-US"/>
        </w:rPr>
        <w:t xml:space="preserve"> the tort of negligence. </w:t>
      </w:r>
      <w:r>
        <w:t xml:space="preserve">Thus, while obligations may exist on the part of local authorities, there is </w:t>
      </w:r>
      <w:r w:rsidRPr="0080041A">
        <w:t>no means of enforcement for pedestrians</w:t>
      </w:r>
      <w:r>
        <w:t xml:space="preserve"> who have been injured. The resulting ‘protection gap’ between common law negligence and breach of statutory duty is ultimately justified in the interest of preserving a local authority’s limited resources</w:t>
      </w:r>
      <w:r w:rsidRPr="0080041A">
        <w:t>.</w:t>
      </w:r>
      <w:r>
        <w:rPr>
          <w:rStyle w:val="FootnoteReference"/>
        </w:rPr>
        <w:footnoteReference w:id="954"/>
      </w:r>
      <w:r>
        <w:t xml:space="preserve"> The same is true for Part D</w:t>
      </w:r>
      <w:r w:rsidRPr="005E1A5B">
        <w:t xml:space="preserve"> </w:t>
      </w:r>
      <w:r>
        <w:t>(l</w:t>
      </w:r>
      <w:r w:rsidRPr="005E1A5B">
        <w:t>aws that can be used by public bodies to challenge problems for pedestrians generally</w:t>
      </w:r>
      <w:r>
        <w:t xml:space="preserve">) – while there are a range of statutory provisions in place, rarely do they give rise to </w:t>
      </w:r>
      <w:r w:rsidRPr="00113582">
        <w:rPr>
          <w:szCs w:val="24"/>
          <w:shd w:val="clear" w:color="auto" w:fill="FFFFFF"/>
        </w:rPr>
        <w:t>an individual cause of action for damages.</w:t>
      </w:r>
      <w:r w:rsidRPr="00113582">
        <w:rPr>
          <w:rStyle w:val="FootnoteReference"/>
          <w:szCs w:val="24"/>
          <w:shd w:val="clear" w:color="auto" w:fill="FFFFFF"/>
        </w:rPr>
        <w:footnoteReference w:id="955"/>
      </w:r>
      <w:r w:rsidRPr="00113582">
        <w:rPr>
          <w:szCs w:val="24"/>
          <w:shd w:val="clear" w:color="auto" w:fill="FFFFFF"/>
        </w:rPr>
        <w:t xml:space="preserve"> </w:t>
      </w:r>
    </w:p>
    <w:p w14:paraId="0268C90B" w14:textId="77777777" w:rsidR="0019789C" w:rsidRPr="00A3594D" w:rsidRDefault="0019789C" w:rsidP="00757A43">
      <w:pPr>
        <w:ind w:firstLine="0"/>
      </w:pPr>
    </w:p>
    <w:p w14:paraId="6F0D2141" w14:textId="5D928E6E" w:rsidR="0019789C" w:rsidRPr="008A5B47" w:rsidRDefault="0019789C" w:rsidP="00972189">
      <w:pPr>
        <w:pStyle w:val="Heading3"/>
      </w:pPr>
      <w:r>
        <w:t xml:space="preserve">E3.3 </w:t>
      </w:r>
      <w:r w:rsidRPr="008A5B47">
        <w:t>Enforcement and Effectiveness</w:t>
      </w:r>
    </w:p>
    <w:p w14:paraId="0C4C5E55" w14:textId="39BF8E56" w:rsidR="0019789C" w:rsidRPr="00385097" w:rsidRDefault="0019789C" w:rsidP="00385097">
      <w:r>
        <w:t>As regards Part B (l</w:t>
      </w:r>
      <w:r w:rsidRPr="002A65B0">
        <w:t xml:space="preserve">aws that can be used by or on behalf of </w:t>
      </w:r>
      <w:r>
        <w:t>p</w:t>
      </w:r>
      <w:r w:rsidRPr="002A65B0">
        <w:t xml:space="preserve">edestrians with </w:t>
      </w:r>
      <w:r>
        <w:t>s</w:t>
      </w:r>
      <w:r w:rsidRPr="002A65B0">
        <w:t xml:space="preserve">pecific </w:t>
      </w:r>
      <w:r>
        <w:t>c</w:t>
      </w:r>
      <w:r w:rsidRPr="002A65B0">
        <w:t>haracteristics</w:t>
      </w:r>
      <w:r>
        <w:t>) there is considerable concern about the heavy reliance placed on disabled people as enforcers of the Equality Act 2010</w:t>
      </w:r>
      <w:r w:rsidRPr="002A65B0">
        <w:t>.</w:t>
      </w:r>
      <w:r>
        <w:t xml:space="preserve"> This problem is exacerbated by the fact that their access to</w:t>
      </w:r>
      <w:r w:rsidRPr="002A65B0">
        <w:t xml:space="preserve"> legal advice and representation</w:t>
      </w:r>
      <w:r>
        <w:t xml:space="preserve"> is limited,</w:t>
      </w:r>
      <w:r w:rsidRPr="002A65B0">
        <w:t xml:space="preserve"> </w:t>
      </w:r>
      <w:r>
        <w:t>and that the</w:t>
      </w:r>
      <w:r w:rsidRPr="002A65B0">
        <w:t xml:space="preserve"> cost of legal action </w:t>
      </w:r>
      <w:r>
        <w:t>is high, and that</w:t>
      </w:r>
      <w:r w:rsidRPr="002A65B0">
        <w:t xml:space="preserve"> </w:t>
      </w:r>
      <w:r>
        <w:t xml:space="preserve">legal aid is </w:t>
      </w:r>
      <w:r w:rsidRPr="002A65B0">
        <w:t>l</w:t>
      </w:r>
      <w:r>
        <w:t>imited</w:t>
      </w:r>
      <w:r w:rsidRPr="002A65B0">
        <w:t>.</w:t>
      </w:r>
      <w:r w:rsidRPr="002A65B0">
        <w:rPr>
          <w:rStyle w:val="FootnoteReference"/>
        </w:rPr>
        <w:footnoteReference w:id="956"/>
      </w:r>
      <w:r w:rsidRPr="002A65B0">
        <w:rPr>
          <w:szCs w:val="18"/>
        </w:rPr>
        <w:t xml:space="preserve"> </w:t>
      </w:r>
    </w:p>
    <w:p w14:paraId="5B7EA416" w14:textId="0B568A59" w:rsidR="0019789C" w:rsidRDefault="0019789C" w:rsidP="00A3594D"/>
    <w:p w14:paraId="4E74BFF1" w14:textId="2B5FFE85" w:rsidR="0019789C" w:rsidRDefault="0019789C" w:rsidP="00806FED">
      <w:r>
        <w:lastRenderedPageBreak/>
        <w:t>The limited availability of legal aid is also a problem in terms of Part C</w:t>
      </w:r>
      <w:r w:rsidRPr="00757A43">
        <w:t xml:space="preserve"> </w:t>
      </w:r>
      <w:r>
        <w:t>(l</w:t>
      </w:r>
      <w:r w:rsidRPr="0080041A">
        <w:t>aws that can be used by pedestrians generally or NGOs on behalf of pedestrians generally</w:t>
      </w:r>
      <w:r>
        <w:t>). I</w:t>
      </w:r>
      <w:r w:rsidRPr="0080041A">
        <w:t>f a pedestrian wishes to bring legal action, they must fund it themselves. LASPO explicitly excludes the provision of civil legal services in relation to personal injury or death, tort claims in respect of negligence, damage to property</w:t>
      </w:r>
      <w:r>
        <w:t xml:space="preserve">, and </w:t>
      </w:r>
      <w:r w:rsidRPr="0080041A">
        <w:t>tort claims in respect of breach of statutory duty.</w:t>
      </w:r>
      <w:r>
        <w:rPr>
          <w:rStyle w:val="FootnoteReference"/>
        </w:rPr>
        <w:footnoteReference w:id="957"/>
      </w:r>
    </w:p>
    <w:p w14:paraId="0AADF3F5" w14:textId="77777777" w:rsidR="0019789C" w:rsidRPr="002A65B0" w:rsidRDefault="0019789C" w:rsidP="00A3594D"/>
    <w:p w14:paraId="4775824C" w14:textId="77777777" w:rsidR="0019789C" w:rsidRPr="002A65B0" w:rsidRDefault="0019789C" w:rsidP="001C2C4A">
      <w:pPr>
        <w:ind w:firstLine="0"/>
      </w:pPr>
    </w:p>
    <w:p w14:paraId="3928DF4B" w14:textId="0FDF43E1" w:rsidR="0019789C" w:rsidRPr="008A5B47" w:rsidRDefault="0019789C" w:rsidP="008A5B47">
      <w:pPr>
        <w:pStyle w:val="Heading2"/>
      </w:pPr>
      <w:r w:rsidRPr="008A5B47">
        <w:t>E4 Recommendations</w:t>
      </w:r>
    </w:p>
    <w:p w14:paraId="5099FD68" w14:textId="2EE4E350" w:rsidR="0019789C" w:rsidRDefault="0019789C" w:rsidP="00427643">
      <w:pPr>
        <w:pStyle w:val="ListParagraph"/>
        <w:numPr>
          <w:ilvl w:val="0"/>
          <w:numId w:val="30"/>
        </w:numPr>
      </w:pPr>
      <w:r>
        <w:t>Strengthening the enforcement of the Equality Act.</w:t>
      </w:r>
    </w:p>
    <w:p w14:paraId="2C3254D3" w14:textId="4792252D" w:rsidR="0019789C" w:rsidRDefault="0019789C" w:rsidP="00427643">
      <w:pPr>
        <w:pStyle w:val="ListParagraph"/>
        <w:numPr>
          <w:ilvl w:val="0"/>
          <w:numId w:val="30"/>
        </w:numPr>
      </w:pPr>
      <w:r>
        <w:t>Clear guidelines and regulations for the operation of micromobility schemes (eg e-scooters) and strong enforcement regimes.</w:t>
      </w:r>
    </w:p>
    <w:p w14:paraId="3B52B855" w14:textId="59410DDE" w:rsidR="0019789C" w:rsidRDefault="0019789C" w:rsidP="00427643">
      <w:pPr>
        <w:pStyle w:val="ListParagraph"/>
        <w:numPr>
          <w:ilvl w:val="0"/>
          <w:numId w:val="30"/>
        </w:numPr>
      </w:pPr>
      <w:r>
        <w:t xml:space="preserve">Stronger integration of the green and disability agendas, including around </w:t>
      </w:r>
      <w:r w:rsidRPr="006B62A5">
        <w:t>pedestrianisation</w:t>
      </w:r>
      <w:r>
        <w:t>.</w:t>
      </w:r>
    </w:p>
    <w:p w14:paraId="73C3DD5F" w14:textId="6F79863C" w:rsidR="0019789C" w:rsidRDefault="0019789C" w:rsidP="00427643">
      <w:pPr>
        <w:pStyle w:val="ListParagraph"/>
        <w:numPr>
          <w:ilvl w:val="0"/>
          <w:numId w:val="30"/>
        </w:numPr>
      </w:pPr>
      <w:r>
        <w:t>Clear guidance for local councils prohibiting the introduction of shared space schemes involving the removal of pedestrian crossings and clearly delineated pedestrian spaces.</w:t>
      </w:r>
    </w:p>
    <w:p w14:paraId="0E7DDBAF" w14:textId="0D0B5DE2" w:rsidR="0019789C" w:rsidRDefault="0019789C" w:rsidP="00427643">
      <w:pPr>
        <w:pStyle w:val="ListParagraph"/>
        <w:numPr>
          <w:ilvl w:val="0"/>
          <w:numId w:val="30"/>
        </w:numPr>
      </w:pPr>
      <w:r>
        <w:t>Prohibition of pavement parking in England.</w:t>
      </w:r>
    </w:p>
    <w:p w14:paraId="7FEB9C2F" w14:textId="3DC23D10" w:rsidR="0019789C" w:rsidRDefault="0019789C" w:rsidP="00427643">
      <w:pPr>
        <w:pStyle w:val="ListParagraph"/>
        <w:numPr>
          <w:ilvl w:val="0"/>
          <w:numId w:val="30"/>
        </w:numPr>
      </w:pPr>
      <w:r>
        <w:t>Requiring low traffic neighbourhoods to make an exception for disabled drivers and make provision for parking where it is the only way for disabled drivers to access key parts of the city.</w:t>
      </w:r>
    </w:p>
    <w:p w14:paraId="2DB77A3C" w14:textId="77777777" w:rsidR="009F6EB7" w:rsidRPr="002A65B0" w:rsidRDefault="0019789C" w:rsidP="009F6EB7">
      <w:pPr>
        <w:pStyle w:val="Heading1"/>
      </w:pPr>
      <w:r>
        <w:br w:type="page"/>
      </w:r>
      <w:r w:rsidR="009F6EB7" w:rsidRPr="002A65B0">
        <w:lastRenderedPageBreak/>
        <w:t>Annex 1: Glossary of Key Terms</w:t>
      </w:r>
    </w:p>
    <w:p w14:paraId="72D92BF5" w14:textId="77777777" w:rsidR="009F6EB7" w:rsidRPr="002A65B0" w:rsidRDefault="009F6EB7" w:rsidP="009F6EB7">
      <w:pPr>
        <w:ind w:firstLine="0"/>
      </w:pPr>
    </w:p>
    <w:p w14:paraId="10783FE1" w14:textId="77777777" w:rsidR="009F6EB7" w:rsidRPr="002A65B0" w:rsidRDefault="009F6EB7" w:rsidP="009F6EB7">
      <w:pPr>
        <w:pStyle w:val="Heading2"/>
      </w:pPr>
      <w:r w:rsidRPr="00972189">
        <w:t>Statutory Definitions</w:t>
      </w:r>
    </w:p>
    <w:p w14:paraId="7037678A" w14:textId="77777777" w:rsidR="009F6EB7" w:rsidRPr="002A65B0" w:rsidRDefault="009F6EB7" w:rsidP="009F6EB7">
      <w:pPr>
        <w:ind w:firstLine="0"/>
      </w:pPr>
      <w:r w:rsidRPr="002A65B0">
        <w:t>Public authority: ‘a “public authority” includes - (a) a court or tribunal, and (b) any person certain of whose functions are functions of a public nature’.</w:t>
      </w:r>
      <w:r w:rsidRPr="002A65B0">
        <w:rPr>
          <w:rStyle w:val="FootnoteReference"/>
        </w:rPr>
        <w:footnoteReference w:id="958"/>
      </w:r>
      <w:r w:rsidRPr="002A65B0">
        <w:t xml:space="preserve"> </w:t>
      </w:r>
    </w:p>
    <w:p w14:paraId="188BF9F1" w14:textId="77777777" w:rsidR="009F6EB7" w:rsidRPr="002A65B0" w:rsidRDefault="009F6EB7" w:rsidP="009F6EB7">
      <w:pPr>
        <w:ind w:firstLine="0"/>
      </w:pPr>
    </w:p>
    <w:p w14:paraId="4D00601A" w14:textId="77777777" w:rsidR="009F6EB7" w:rsidRPr="002A65B0" w:rsidRDefault="009F6EB7" w:rsidP="009F6EB7">
      <w:pPr>
        <w:ind w:firstLine="0"/>
      </w:pPr>
      <w:r w:rsidRPr="002A65B0">
        <w:t>Bridleway: ‘means a highway over which the public have the following, but no other, rights of way, that is to say, a right of way on foot and a right of way on horseback or leading a horse, with or without a right to drive animals of any description along the highway’.</w:t>
      </w:r>
      <w:r w:rsidRPr="002A65B0">
        <w:rPr>
          <w:rStyle w:val="FootnoteReference"/>
        </w:rPr>
        <w:footnoteReference w:id="959"/>
      </w:r>
    </w:p>
    <w:p w14:paraId="22739F36" w14:textId="77777777" w:rsidR="009F6EB7" w:rsidRPr="002A65B0" w:rsidRDefault="009F6EB7" w:rsidP="009F6EB7">
      <w:pPr>
        <w:ind w:firstLine="0"/>
      </w:pPr>
    </w:p>
    <w:p w14:paraId="48AFA552" w14:textId="77777777" w:rsidR="009F6EB7" w:rsidRPr="002A65B0" w:rsidRDefault="009F6EB7" w:rsidP="009F6EB7">
      <w:pPr>
        <w:ind w:firstLine="0"/>
      </w:pPr>
      <w:r w:rsidRPr="002A65B0">
        <w:t>Carriageway (England and Wales): ‘a way constituting or comprised in a highway, being a way (other than a cycle track) over which the public have a right of way for the passage of vehicles’.</w:t>
      </w:r>
      <w:r w:rsidRPr="002A65B0">
        <w:rPr>
          <w:rStyle w:val="FootnoteReference"/>
        </w:rPr>
        <w:footnoteReference w:id="960"/>
      </w:r>
    </w:p>
    <w:p w14:paraId="1566184D" w14:textId="77777777" w:rsidR="009F6EB7" w:rsidRPr="002A65B0" w:rsidRDefault="009F6EB7" w:rsidP="009F6EB7">
      <w:pPr>
        <w:ind w:firstLine="0"/>
      </w:pPr>
    </w:p>
    <w:p w14:paraId="08BF0FD4" w14:textId="77777777" w:rsidR="009F6EB7" w:rsidRPr="002A65B0" w:rsidRDefault="009F6EB7" w:rsidP="009F6EB7">
      <w:pPr>
        <w:ind w:firstLine="0"/>
      </w:pPr>
      <w:r w:rsidRPr="002A65B0">
        <w:t>Footway (England and Wales): ‘a way comprised in a highway which also comprises a carriageway, being a way over which the public have a right of way on foot only’;</w:t>
      </w:r>
      <w:r w:rsidRPr="002A65B0">
        <w:rPr>
          <w:rStyle w:val="FootnoteReference"/>
        </w:rPr>
        <w:footnoteReference w:id="961"/>
      </w:r>
      <w:r w:rsidRPr="002A65B0">
        <w:t xml:space="preserve"> footway is a legal term, more commonly referred to as the pavement.</w:t>
      </w:r>
    </w:p>
    <w:p w14:paraId="24CEE0EE" w14:textId="77777777" w:rsidR="009F6EB7" w:rsidRPr="002A65B0" w:rsidRDefault="009F6EB7" w:rsidP="009F6EB7">
      <w:pPr>
        <w:ind w:firstLine="0"/>
      </w:pPr>
    </w:p>
    <w:p w14:paraId="2F97C4AE" w14:textId="77777777" w:rsidR="009F6EB7" w:rsidRPr="002A65B0" w:rsidRDefault="009F6EB7" w:rsidP="009F6EB7">
      <w:pPr>
        <w:ind w:firstLine="0"/>
      </w:pPr>
      <w:r w:rsidRPr="002A65B0">
        <w:t>Footpath (England and Wales): ‘a highway over which the public have a right of way on foot only, not being a footway’;</w:t>
      </w:r>
      <w:r w:rsidRPr="002A65B0">
        <w:rPr>
          <w:rStyle w:val="FootnoteReference"/>
        </w:rPr>
        <w:footnoteReference w:id="962"/>
      </w:r>
      <w:r w:rsidRPr="002A65B0">
        <w:t xml:space="preserve"> also known as pedestrian thoroughfares, other than pavements. </w:t>
      </w:r>
    </w:p>
    <w:p w14:paraId="6C612638" w14:textId="77777777" w:rsidR="009F6EB7" w:rsidRPr="002A65B0" w:rsidRDefault="009F6EB7" w:rsidP="009F6EB7">
      <w:pPr>
        <w:ind w:firstLine="0"/>
      </w:pPr>
    </w:p>
    <w:p w14:paraId="66041878" w14:textId="77777777" w:rsidR="009F6EB7" w:rsidRPr="002A65B0" w:rsidRDefault="009F6EB7" w:rsidP="009F6EB7">
      <w:pPr>
        <w:ind w:firstLine="0"/>
      </w:pPr>
      <w:r w:rsidRPr="002A65B0">
        <w:t>Highway (England and Wales): ‘the whole or a part of a highway other than a ferry or waterway’</w:t>
      </w:r>
      <w:r w:rsidRPr="002A65B0">
        <w:rPr>
          <w:rStyle w:val="FootnoteReference"/>
        </w:rPr>
        <w:footnoteReference w:id="963"/>
      </w:r>
      <w:r w:rsidRPr="002A65B0">
        <w:t xml:space="preserve"> (from this is follows that ‘a highway can include a carriageway, a footway, meaning a pedestrian path abutting a carriageway, and a footpath, being a pedestrian path without an associated carriageway’.</w:t>
      </w:r>
      <w:r w:rsidRPr="002A65B0">
        <w:rPr>
          <w:rStyle w:val="FootnoteReference"/>
        </w:rPr>
        <w:footnoteReference w:id="964"/>
      </w:r>
      <w:r w:rsidRPr="002A65B0">
        <w:t>)</w:t>
      </w:r>
    </w:p>
    <w:p w14:paraId="462BA39D" w14:textId="77777777" w:rsidR="009F6EB7" w:rsidRPr="002A65B0" w:rsidRDefault="009F6EB7" w:rsidP="009F6EB7">
      <w:pPr>
        <w:ind w:firstLine="0"/>
      </w:pPr>
    </w:p>
    <w:p w14:paraId="133086B8" w14:textId="77777777" w:rsidR="009F6EB7" w:rsidRPr="002A65B0" w:rsidRDefault="009F6EB7" w:rsidP="009F6EB7">
      <w:pPr>
        <w:ind w:firstLine="0"/>
      </w:pPr>
      <w:r w:rsidRPr="002A65B0">
        <w:lastRenderedPageBreak/>
        <w:t>Street: ‘the whole or any part of any of the following, irrespective of whether it is a thoroughfare — (a) any highway, road, lane, footway, alley or passage; (b) any square or court, and (c) any land laid out as a way whether it is for the time being formed as a way or not. Where a street passes over a bridge or through a tunnel, references in this Part to the street include that bridge or tunnel.’</w:t>
      </w:r>
      <w:r w:rsidRPr="002A65B0">
        <w:rPr>
          <w:rStyle w:val="FootnoteReference"/>
        </w:rPr>
        <w:footnoteReference w:id="965"/>
      </w:r>
    </w:p>
    <w:p w14:paraId="47ACFBAA" w14:textId="77777777" w:rsidR="009F6EB7" w:rsidRPr="002A65B0" w:rsidRDefault="009F6EB7" w:rsidP="009F6EB7">
      <w:pPr>
        <w:ind w:firstLine="0"/>
      </w:pPr>
    </w:p>
    <w:p w14:paraId="523F72C9" w14:textId="77777777" w:rsidR="009F6EB7" w:rsidRPr="002A65B0" w:rsidRDefault="009F6EB7" w:rsidP="009F6EB7">
      <w:pPr>
        <w:ind w:firstLine="0"/>
      </w:pPr>
      <w:r w:rsidRPr="002A65B0">
        <w:t>Road (England and Wales): ‘any highway and any other road to which the public has access and includes bridges over which a road passes’.</w:t>
      </w:r>
      <w:r w:rsidRPr="002A65B0">
        <w:rPr>
          <w:rStyle w:val="FootnoteReference"/>
        </w:rPr>
        <w:footnoteReference w:id="966"/>
      </w:r>
    </w:p>
    <w:p w14:paraId="6723748A" w14:textId="77777777" w:rsidR="009F6EB7" w:rsidRPr="002A65B0" w:rsidRDefault="009F6EB7" w:rsidP="009F6EB7">
      <w:pPr>
        <w:ind w:firstLine="0"/>
      </w:pPr>
    </w:p>
    <w:p w14:paraId="563AC512" w14:textId="77777777" w:rsidR="009F6EB7" w:rsidRPr="002A65B0" w:rsidRDefault="009F6EB7" w:rsidP="009F6EB7">
      <w:pPr>
        <w:ind w:firstLine="0"/>
      </w:pPr>
      <w:r w:rsidRPr="002A65B0">
        <w:t>Road (Scotland): ‘Any way (other than a waterway) over which there is a public right of passage (by whatever means) and whether subject to a toll or not and includes the road’s verge and any bridge (whether permanent or temporary) over which, or tunnel through which, the road passes and any reference to a road includes a part thereof.’</w:t>
      </w:r>
      <w:r w:rsidRPr="002A65B0">
        <w:rPr>
          <w:rStyle w:val="FootnoteReference"/>
        </w:rPr>
        <w:footnoteReference w:id="967"/>
      </w:r>
      <w:r w:rsidRPr="002A65B0">
        <w:t xml:space="preserve"> </w:t>
      </w:r>
    </w:p>
    <w:p w14:paraId="27A735CE" w14:textId="77777777" w:rsidR="009F6EB7" w:rsidRPr="002A65B0" w:rsidRDefault="009F6EB7" w:rsidP="009F6EB7">
      <w:pPr>
        <w:ind w:firstLine="0"/>
      </w:pPr>
    </w:p>
    <w:p w14:paraId="54C7F9C0" w14:textId="77777777" w:rsidR="009F6EB7" w:rsidRPr="002A65B0" w:rsidRDefault="009F6EB7" w:rsidP="009F6EB7">
      <w:pPr>
        <w:ind w:firstLine="0"/>
      </w:pPr>
      <w:r w:rsidRPr="002A65B0">
        <w:t>Road (Northern Ireland): ‘a public road, that is to say a road which is maintainable by the Department, and includes — (a) a road over which the public have a right of way on foot only, not being a footway; (b) any part of a road; and (c) any bridge or tunnel over or through which a road passes’.</w:t>
      </w:r>
      <w:r w:rsidRPr="002A65B0">
        <w:rPr>
          <w:rStyle w:val="FootnoteReference"/>
        </w:rPr>
        <w:footnoteReference w:id="968"/>
      </w:r>
    </w:p>
    <w:p w14:paraId="16C51365" w14:textId="77777777" w:rsidR="009F6EB7" w:rsidRPr="002A65B0" w:rsidRDefault="009F6EB7" w:rsidP="009F6EB7">
      <w:pPr>
        <w:ind w:firstLine="0"/>
      </w:pPr>
    </w:p>
    <w:p w14:paraId="2185B899" w14:textId="77777777" w:rsidR="009F6EB7" w:rsidRPr="002A65B0" w:rsidRDefault="009F6EB7" w:rsidP="009F6EB7">
      <w:pPr>
        <w:ind w:firstLine="0"/>
      </w:pPr>
      <w:r w:rsidRPr="002A65B0">
        <w:t>Footway (Northern Ireland): ‘a way comprised in a road which also comprises a carriageway, being a way over which the public have a right of way on foot only’.</w:t>
      </w:r>
      <w:r w:rsidRPr="002A65B0">
        <w:rPr>
          <w:rStyle w:val="FootnoteReference"/>
        </w:rPr>
        <w:footnoteReference w:id="969"/>
      </w:r>
    </w:p>
    <w:p w14:paraId="2207942F" w14:textId="77777777" w:rsidR="009F6EB7" w:rsidRPr="002A65B0" w:rsidRDefault="009F6EB7" w:rsidP="009F6EB7">
      <w:pPr>
        <w:ind w:firstLine="0"/>
      </w:pPr>
    </w:p>
    <w:p w14:paraId="17CC974F" w14:textId="77777777" w:rsidR="009F6EB7" w:rsidRPr="002A65B0" w:rsidRDefault="009F6EB7" w:rsidP="009F6EB7">
      <w:pPr>
        <w:ind w:firstLine="0"/>
      </w:pPr>
      <w:r w:rsidRPr="002A65B0">
        <w:t>Carriageway (Northern Ireland): ‘a way constituted or comprised in a road being a way over which the public have a right of way for the passage of vehicles’.</w:t>
      </w:r>
      <w:r w:rsidRPr="002A65B0">
        <w:rPr>
          <w:rStyle w:val="FootnoteReference"/>
        </w:rPr>
        <w:footnoteReference w:id="970"/>
      </w:r>
    </w:p>
    <w:p w14:paraId="1ED56913" w14:textId="77777777" w:rsidR="009F6EB7" w:rsidRPr="002A65B0" w:rsidRDefault="009F6EB7" w:rsidP="009F6EB7"/>
    <w:p w14:paraId="7C2CBA4B" w14:textId="77777777" w:rsidR="009F6EB7" w:rsidRPr="008A5B47" w:rsidRDefault="009F6EB7" w:rsidP="009F6EB7">
      <w:pPr>
        <w:pStyle w:val="Heading2"/>
      </w:pPr>
      <w:r w:rsidRPr="00972189">
        <w:t>Common Law or Policy Definitions</w:t>
      </w:r>
    </w:p>
    <w:p w14:paraId="5AF3B885" w14:textId="77777777" w:rsidR="009F6EB7" w:rsidRPr="002A65B0" w:rsidRDefault="009F6EB7" w:rsidP="009F6EB7">
      <w:pPr>
        <w:ind w:firstLine="0"/>
      </w:pPr>
      <w:r w:rsidRPr="002A65B0">
        <w:t xml:space="preserve">Highway: ‘There is in my view no single meaning of highway at common law. The word is sometime used as a reference to its physical elements. Sometimes it is used as a label for the incorporeal rights of the public in relation to the locus in quo. Sometimes, as here, it is used as the label for a species of real property. When used within a statutory </w:t>
      </w:r>
      <w:r w:rsidRPr="002A65B0">
        <w:lastRenderedPageBreak/>
        <w:t>formula, as here, the word necessarily takes its meaning from the context in which it is used.’</w:t>
      </w:r>
      <w:r w:rsidRPr="002A65B0">
        <w:rPr>
          <w:rStyle w:val="FootnoteReference"/>
        </w:rPr>
        <w:footnoteReference w:id="971"/>
      </w:r>
    </w:p>
    <w:p w14:paraId="52FAA819" w14:textId="77777777" w:rsidR="009F6EB7" w:rsidRPr="002A65B0" w:rsidRDefault="009F6EB7" w:rsidP="009F6EB7">
      <w:pPr>
        <w:ind w:firstLine="0"/>
      </w:pPr>
    </w:p>
    <w:p w14:paraId="750FA27E" w14:textId="77777777" w:rsidR="009F6EB7" w:rsidRPr="002A65B0" w:rsidRDefault="009F6EB7" w:rsidP="009F6EB7">
      <w:pPr>
        <w:ind w:firstLine="0"/>
      </w:pPr>
      <w:r w:rsidRPr="002A65B0">
        <w:t>Kinds of Highways: ‘At common law highways are of three kinds according to the degree of restriction of the public rights of passage over them. A full highway or 'cartway' is one over which the public have rights of way (1) on foot, (2) riding on or accompanied by a beast of burden, and (3) with vehicles and cattle. A 'bridleway' is a highway over which the rights of passage are cut down by the exclusion of the right of passage with vehicles and sometimes, though not invariably, the exclusion of the right of driftway, ie driving cattle, while a footpath is one over which the only public right of passage is on foot.’</w:t>
      </w:r>
      <w:r w:rsidRPr="002A65B0">
        <w:rPr>
          <w:rStyle w:val="FootnoteReference"/>
        </w:rPr>
        <w:footnoteReference w:id="972"/>
      </w:r>
    </w:p>
    <w:p w14:paraId="73D9ACB0" w14:textId="77777777" w:rsidR="009F6EB7" w:rsidRPr="002A65B0" w:rsidRDefault="009F6EB7" w:rsidP="009F6EB7">
      <w:pPr>
        <w:ind w:firstLine="0"/>
      </w:pPr>
    </w:p>
    <w:p w14:paraId="00C2D1F4" w14:textId="77777777" w:rsidR="009F6EB7" w:rsidRPr="002A65B0" w:rsidRDefault="009F6EB7" w:rsidP="009F6EB7">
      <w:pPr>
        <w:ind w:firstLine="0"/>
      </w:pPr>
      <w:r w:rsidRPr="002A65B0">
        <w:t>Vulnerable road users: ‘non-motorised road users, including, in particular, cyclists and pedestrians, as well as users of powered two-wheelers’.</w:t>
      </w:r>
      <w:r w:rsidRPr="002A65B0">
        <w:rPr>
          <w:rStyle w:val="FootnoteReference"/>
        </w:rPr>
        <w:footnoteReference w:id="973"/>
      </w:r>
      <w:r w:rsidRPr="002A65B0">
        <w:t xml:space="preserve"> </w:t>
      </w:r>
    </w:p>
    <w:p w14:paraId="4CFD346A" w14:textId="77777777" w:rsidR="009F6EB7" w:rsidRPr="002A65B0" w:rsidRDefault="009F6EB7" w:rsidP="009F6EB7">
      <w:pPr>
        <w:ind w:firstLine="0"/>
      </w:pPr>
    </w:p>
    <w:p w14:paraId="28D097E2" w14:textId="77777777" w:rsidR="009F6EB7" w:rsidRPr="002A65B0" w:rsidRDefault="009F6EB7" w:rsidP="009F6EB7">
      <w:pPr>
        <w:ind w:firstLine="0"/>
      </w:pPr>
      <w:r w:rsidRPr="002A65B0">
        <w:t>Street: ‘a highway that has important public realm functions beyond the movement of traffic. Most critically, streets should have a sense of place, which is mainly realised through local distinctiveness and sensitivity in design. They also provide direct access to the buildings and the spaces that line them. Most highways in built-up areas can therefore be considered as streets.’</w:t>
      </w:r>
      <w:r w:rsidRPr="002A65B0">
        <w:rPr>
          <w:rStyle w:val="FootnoteReference"/>
        </w:rPr>
        <w:footnoteReference w:id="974"/>
      </w:r>
      <w:r w:rsidRPr="002A65B0">
        <w:t xml:space="preserve"> </w:t>
      </w:r>
    </w:p>
    <w:p w14:paraId="655F8214" w14:textId="77777777" w:rsidR="009F6EB7" w:rsidRPr="002A65B0" w:rsidRDefault="009F6EB7" w:rsidP="009F6EB7">
      <w:pPr>
        <w:ind w:firstLine="0"/>
      </w:pPr>
    </w:p>
    <w:p w14:paraId="1C0E3653" w14:textId="77777777" w:rsidR="009F6EB7" w:rsidRPr="002A65B0" w:rsidRDefault="009F6EB7" w:rsidP="009F6EB7">
      <w:pPr>
        <w:ind w:firstLine="0"/>
      </w:pPr>
      <w:r w:rsidRPr="002A65B0">
        <w:t>Difference between street and road: ‘Roads are essentially highways whose main function is accommodating the movement of motor traffic. Streets are typically lined with buildings and public spaces, and while movement is still a key function, there are several others, of which the place function is the most important’.</w:t>
      </w:r>
      <w:r w:rsidRPr="002A65B0">
        <w:rPr>
          <w:rStyle w:val="FootnoteReference"/>
        </w:rPr>
        <w:footnoteReference w:id="975"/>
      </w:r>
    </w:p>
    <w:p w14:paraId="6846C7B2" w14:textId="77777777" w:rsidR="009F6EB7" w:rsidRPr="002A65B0" w:rsidRDefault="009F6EB7" w:rsidP="009F6EB7">
      <w:pPr>
        <w:ind w:firstLine="0"/>
      </w:pPr>
    </w:p>
    <w:p w14:paraId="7E67E4AE" w14:textId="77777777" w:rsidR="009F6EB7" w:rsidRPr="002A65B0" w:rsidRDefault="009F6EB7" w:rsidP="009F6EB7">
      <w:pPr>
        <w:ind w:firstLine="0"/>
      </w:pPr>
      <w:r w:rsidRPr="002A65B0">
        <w:t>Shared space: ‘A street or place designed to improve pedestrian movement and comfort by reducing the dominance of motor vehicles and enabling all users to share the space rather than follow the clearly defined rules implied by more conventional designs.’</w:t>
      </w:r>
      <w:r w:rsidRPr="002A65B0">
        <w:rPr>
          <w:rStyle w:val="FootnoteReference"/>
        </w:rPr>
        <w:footnoteReference w:id="976"/>
      </w:r>
      <w:r w:rsidRPr="002A65B0">
        <w:t xml:space="preserve"> The </w:t>
      </w:r>
      <w:r w:rsidRPr="002A65B0">
        <w:lastRenderedPageBreak/>
        <w:t>Chartered Institute of Highways and Transportation (CIHT) define three types of shared space: Pedestrian prioritised streets, Informal streets, Enhanced streets.</w:t>
      </w:r>
      <w:r w:rsidRPr="002A65B0">
        <w:rPr>
          <w:rStyle w:val="FootnoteReference"/>
        </w:rPr>
        <w:footnoteReference w:id="977"/>
      </w:r>
    </w:p>
    <w:p w14:paraId="465F5764" w14:textId="436DDE34" w:rsidR="0019789C" w:rsidRPr="002A65B0" w:rsidRDefault="009F6EB7" w:rsidP="00C25857">
      <w:pPr>
        <w:spacing w:after="160" w:line="259" w:lineRule="auto"/>
        <w:ind w:firstLine="0"/>
        <w:jc w:val="left"/>
      </w:pPr>
      <w:r>
        <w:br w:type="page"/>
      </w:r>
    </w:p>
    <w:p w14:paraId="3C106DBD" w14:textId="6137CEE9" w:rsidR="0019789C" w:rsidRPr="00972189" w:rsidRDefault="009F6EB7" w:rsidP="00972189">
      <w:pPr>
        <w:pStyle w:val="Heading1"/>
      </w:pPr>
      <w:r>
        <w:lastRenderedPageBreak/>
        <w:t xml:space="preserve">R </w:t>
      </w:r>
      <w:r w:rsidR="0019789C" w:rsidRPr="00972189">
        <w:t>References</w:t>
      </w:r>
    </w:p>
    <w:p w14:paraId="5D4EB89C" w14:textId="77777777" w:rsidR="0019789C" w:rsidRPr="002A65B0" w:rsidRDefault="0019789C" w:rsidP="00524E23">
      <w:pPr>
        <w:ind w:firstLine="0"/>
      </w:pPr>
    </w:p>
    <w:p w14:paraId="300D276B" w14:textId="25EBFF50" w:rsidR="0019789C" w:rsidRDefault="0019789C" w:rsidP="00284CD6">
      <w:pPr>
        <w:pStyle w:val="Heading2"/>
      </w:pPr>
      <w:r>
        <w:t xml:space="preserve">R1 </w:t>
      </w:r>
      <w:r w:rsidRPr="002A65B0">
        <w:t>Bibliography</w:t>
      </w:r>
    </w:p>
    <w:p w14:paraId="18439A3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Advisory, Conciliation and Arbitration Service (ACAS), ‘What we do’ </w:t>
      </w:r>
      <w:hyperlink r:id="rId11" w:history="1">
        <w:r w:rsidRPr="00524E23">
          <w:rPr>
            <w:rStyle w:val="Hyperlink"/>
            <w:rFonts w:cs="Arial"/>
            <w:sz w:val="24"/>
            <w:szCs w:val="24"/>
          </w:rPr>
          <w:t>&lt;https://www.acas.org.uk/what-we-do&gt;</w:t>
        </w:r>
      </w:hyperlink>
      <w:r w:rsidRPr="00524E23">
        <w:rPr>
          <w:rFonts w:cs="Arial"/>
          <w:sz w:val="24"/>
          <w:szCs w:val="24"/>
        </w:rPr>
        <w:t xml:space="preserve"> accessed 22 January 2020.</w:t>
      </w:r>
    </w:p>
    <w:p w14:paraId="7480A2E5" w14:textId="1B302873"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Barker FR and Party NDM, ‘Private property, public access and occupiers’ liability’ (1995) 15(3)</w:t>
      </w:r>
      <w:r w:rsidRPr="00524E23">
        <w:rPr>
          <w:rStyle w:val="fnbookChar"/>
          <w:rFonts w:cs="Arial"/>
          <w:sz w:val="24"/>
          <w:szCs w:val="24"/>
        </w:rPr>
        <w:t xml:space="preserve"> </w:t>
      </w:r>
      <w:r w:rsidRPr="00524E23">
        <w:rPr>
          <w:rFonts w:cs="Arial"/>
          <w:sz w:val="24"/>
          <w:szCs w:val="24"/>
        </w:rPr>
        <w:t>Legal Studies 335.</w:t>
      </w:r>
    </w:p>
    <w:p w14:paraId="05F626C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BBC News, ‘Five “shared space” projects get £29.1m offer from EU body’ (8 January 2019) </w:t>
      </w:r>
      <w:r w:rsidRPr="00524E23">
        <w:rPr>
          <w:rStyle w:val="Hyperlink"/>
          <w:rFonts w:cs="Arial"/>
          <w:sz w:val="24"/>
          <w:szCs w:val="24"/>
        </w:rPr>
        <w:t>&lt;</w:t>
      </w:r>
      <w:hyperlink r:id="rId12" w:history="1">
        <w:r w:rsidRPr="00524E23">
          <w:rPr>
            <w:rStyle w:val="Hyperlink"/>
            <w:rFonts w:cs="Arial"/>
            <w:sz w:val="24"/>
            <w:szCs w:val="24"/>
          </w:rPr>
          <w:t>www.bbc.co.uk/news/uk-northern-ireland-46788100</w:t>
        </w:r>
      </w:hyperlink>
      <w:r w:rsidRPr="00524E23">
        <w:rPr>
          <w:rStyle w:val="Hyperlink"/>
          <w:rFonts w:cs="Arial"/>
          <w:sz w:val="24"/>
          <w:szCs w:val="24"/>
        </w:rPr>
        <w:t>&gt;</w:t>
      </w:r>
      <w:r w:rsidRPr="00524E23">
        <w:rPr>
          <w:rFonts w:cs="Arial"/>
          <w:sz w:val="24"/>
          <w:szCs w:val="24"/>
        </w:rPr>
        <w:t xml:space="preserve"> accessed 20 January 2020. </w:t>
      </w:r>
    </w:p>
    <w:p w14:paraId="4F395B75" w14:textId="1B778211"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Brillat R, ‘A New Protocol to the European Social Charter Providing for Collective Complaints’ (1996) 1 European Human Rights Law Review 52.</w:t>
      </w:r>
    </w:p>
    <w:p w14:paraId="66766AD2" w14:textId="77777777" w:rsidR="0019789C" w:rsidRPr="00524E23" w:rsidRDefault="0019789C" w:rsidP="0004390A">
      <w:pPr>
        <w:pStyle w:val="fntxt"/>
        <w:spacing w:before="120" w:after="0" w:line="240" w:lineRule="auto"/>
        <w:ind w:left="0" w:firstLine="0"/>
        <w:rPr>
          <w:rFonts w:cs="Arial"/>
          <w:sz w:val="24"/>
          <w:szCs w:val="24"/>
        </w:rPr>
      </w:pPr>
      <w:r w:rsidRPr="00524E23">
        <w:rPr>
          <w:rFonts w:cs="Arial"/>
          <w:sz w:val="24"/>
          <w:szCs w:val="24"/>
        </w:rPr>
        <w:t>Cabinet Office, Office of the Secretary of State for Scotland, Office of the Secretary of State for Wales, and Northern Ireland Office, ‘Guidance on devolution’ (last updated 8 May 2019) &lt;</w:t>
      </w:r>
      <w:hyperlink r:id="rId13" w:history="1">
        <w:r w:rsidRPr="00524E23">
          <w:rPr>
            <w:rStyle w:val="Hyperlink"/>
            <w:rFonts w:cs="Arial"/>
            <w:sz w:val="24"/>
            <w:szCs w:val="24"/>
          </w:rPr>
          <w:t>www.gov.uk/guidance/guidance-on-devolution</w:t>
        </w:r>
      </w:hyperlink>
      <w:r w:rsidRPr="00524E23">
        <w:rPr>
          <w:rFonts w:cs="Arial"/>
          <w:sz w:val="24"/>
          <w:szCs w:val="24"/>
        </w:rPr>
        <w:t>&gt; accessed 18 November 2019.</w:t>
      </w:r>
    </w:p>
    <w:p w14:paraId="67ECF9E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Chartered Institute for Highways and Transportation, ‘Better planning, better transport, better places’ (CIHT, August 2019) &lt;</w:t>
      </w:r>
      <w:hyperlink r:id="rId14" w:history="1">
        <w:r w:rsidRPr="00524E23">
          <w:rPr>
            <w:rStyle w:val="Hyperlink"/>
            <w:rFonts w:cs="Arial"/>
            <w:sz w:val="24"/>
            <w:szCs w:val="24"/>
          </w:rPr>
          <w:t>www.ciht.org.uk/media/10218/ciht-better-planning-a4_updated_linked_.pdf</w:t>
        </w:r>
      </w:hyperlink>
      <w:r w:rsidRPr="00524E23">
        <w:rPr>
          <w:rFonts w:cs="Arial"/>
          <w:sz w:val="24"/>
          <w:szCs w:val="24"/>
        </w:rPr>
        <w:t>&gt; accessed 2 November 2019.</w:t>
      </w:r>
    </w:p>
    <w:p w14:paraId="093B867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Chartered Institute for Highways and Transportation, ‘Creating better streets: Inclusive and accessible places - Reviewing shared space’ (2018). </w:t>
      </w:r>
    </w:p>
    <w:p w14:paraId="4BA2F0AE"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Chartered Institute of Highways and Transportation, ‘Creating Better Streets’ (CIHT, 2017).</w:t>
      </w:r>
    </w:p>
    <w:p w14:paraId="44F80E70"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 xml:space="preserve">Coleman C, ‘Halt city “shared spaces”, says report by Lord Holmes’ (BBC, 3 July 2015) </w:t>
      </w:r>
      <w:hyperlink r:id="rId15" w:history="1">
        <w:r w:rsidRPr="00524E23">
          <w:rPr>
            <w:rStyle w:val="Hyperlink"/>
            <w:rFonts w:cs="Arial"/>
            <w:sz w:val="24"/>
            <w:szCs w:val="24"/>
          </w:rPr>
          <w:t>&lt;www.bbc.co.uk/news/uk-33303031&gt;</w:t>
        </w:r>
      </w:hyperlink>
      <w:r w:rsidRPr="00524E23">
        <w:rPr>
          <w:rStyle w:val="Hyperlink"/>
          <w:rFonts w:cs="Arial"/>
          <w:sz w:val="24"/>
          <w:szCs w:val="24"/>
        </w:rPr>
        <w:t>.</w:t>
      </w:r>
    </w:p>
    <w:p w14:paraId="7B4EC69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College of Policing, ‘Policing our Roads Together - </w:t>
      </w:r>
      <w:r w:rsidRPr="00524E23">
        <w:rPr>
          <w:rFonts w:eastAsia="Times New Roman" w:cs="Arial"/>
          <w:sz w:val="24"/>
          <w:szCs w:val="24"/>
          <w:lang w:val="en-US" w:eastAsia="en-US"/>
        </w:rPr>
        <w:t xml:space="preserve">A 3 year strategy 2018 – 2021’ </w:t>
      </w:r>
      <w:r w:rsidRPr="00524E23">
        <w:rPr>
          <w:rStyle w:val="Hyperlink"/>
          <w:rFonts w:cs="Arial"/>
          <w:sz w:val="24"/>
          <w:szCs w:val="24"/>
        </w:rPr>
        <w:t>&lt;</w:t>
      </w:r>
      <w:hyperlink r:id="rId16" w:history="1">
        <w:r w:rsidRPr="00524E23">
          <w:rPr>
            <w:rStyle w:val="Hyperlink"/>
            <w:rFonts w:cs="Arial"/>
            <w:sz w:val="24"/>
            <w:szCs w:val="24"/>
          </w:rPr>
          <w:t>http://library.college.police.uk/docs/appref/Policing-our-Roads-Together-partners-copy.pdf</w:t>
        </w:r>
      </w:hyperlink>
      <w:r w:rsidRPr="00524E23">
        <w:rPr>
          <w:rStyle w:val="Hyperlink"/>
          <w:rFonts w:cs="Arial"/>
          <w:sz w:val="24"/>
          <w:szCs w:val="24"/>
        </w:rPr>
        <w:t>&gt;</w:t>
      </w:r>
      <w:r w:rsidRPr="00524E23">
        <w:rPr>
          <w:rFonts w:cs="Arial"/>
          <w:sz w:val="24"/>
          <w:szCs w:val="24"/>
        </w:rPr>
        <w:t xml:space="preserve"> accessed 2 April 2020. </w:t>
      </w:r>
    </w:p>
    <w:p w14:paraId="18264C68" w14:textId="77777777" w:rsidR="0019789C" w:rsidRPr="00524E23" w:rsidRDefault="0019789C" w:rsidP="006D3C26">
      <w:pPr>
        <w:pStyle w:val="fntxt"/>
        <w:spacing w:before="120" w:after="0" w:line="240" w:lineRule="auto"/>
        <w:ind w:left="0" w:firstLine="0"/>
        <w:rPr>
          <w:rFonts w:cs="Arial"/>
          <w:sz w:val="24"/>
          <w:szCs w:val="24"/>
        </w:rPr>
      </w:pPr>
      <w:r w:rsidRPr="00524E23">
        <w:rPr>
          <w:rStyle w:val="FootnoteTextChar"/>
          <w:rFonts w:cs="Arial"/>
          <w:sz w:val="24"/>
          <w:szCs w:val="24"/>
        </w:rPr>
        <w:t xml:space="preserve">Committee of Ministers, Recommendation No R (92)6 to member States on a coherent policy for people with disabilities. </w:t>
      </w:r>
    </w:p>
    <w:p w14:paraId="104DDD78"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Committee on the Rights of Persons with Disabilities, ‘Concluding observations on the initial report of the United Kingdom of Great Britain and Northern Ireland’ (3 October 2017) UN Doc CRPD/C/GBR/CO/1.</w:t>
      </w:r>
    </w:p>
    <w:p w14:paraId="1635F41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Committee on the Rights of Persons with Disabilities, ‘Concluding Observations on the Initial Report of the European Union’ (3 September 2015) UN Doc CRPD/C/EU/CO/1.</w:t>
      </w:r>
    </w:p>
    <w:p w14:paraId="2EE2431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Committee on the Rights of Persons with Disabilities, ‘Inquiry concerning the United Kingdom of Great Britain and Northern Ireland carried out by the Committee under article 6 of the Optional Protocol to the Convention - Report of the Committee’ (24 October 2017) UN Doc CRPD/C/15/4.</w:t>
      </w:r>
    </w:p>
    <w:p w14:paraId="3933B0CD"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Cosgrove QC T and Du Feu B, ‘Interpreting planning policy: a judicial plea for simplicity and an end to excessive legalism that is likely to fall on deaf ears’ [2019] Journal of Planning &amp; Environment Law.</w:t>
      </w:r>
    </w:p>
    <w:p w14:paraId="0F128935"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Council of Europe Committee of Ministers, Recommendation CM/Rec(2009)8 of the Committee of Ministers to member States on achieving full participation through Universal Design.</w:t>
      </w:r>
    </w:p>
    <w:p w14:paraId="55267CD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lastRenderedPageBreak/>
        <w:t>Council of Europe Committee of Ministers, Resolution ResAP(2001)1 on the introduction of the principles of universal design into the curricula of all occupations working on the built environment.</w:t>
      </w:r>
    </w:p>
    <w:p w14:paraId="408FFBA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Council of Europe Committee of Ministers, Resolution ResAP(2001)3 towards full citizenship of persons with disabilities through inclusive new technologies. </w:t>
      </w:r>
    </w:p>
    <w:p w14:paraId="6EB519D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Council of Europe Committee of Ministers, Resolution ResAP(2007)3, Achieving full participation through Universal Design.</w:t>
      </w:r>
    </w:p>
    <w:p w14:paraId="34AC47F5"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Council of Europe, ‘Accessibility: principles and guidelines - Adaptation of buildings in an accessible built environment’ (March 2004) </w:t>
      </w:r>
      <w:r w:rsidRPr="00524E23">
        <w:rPr>
          <w:rStyle w:val="Hyperlink"/>
          <w:rFonts w:cs="Arial"/>
          <w:sz w:val="24"/>
          <w:szCs w:val="24"/>
        </w:rPr>
        <w:t xml:space="preserve">&lt;https://rm.coe.int/CoERMPublicCommonSearchServices/DisplayDCTMContent?documentId=09000016805a2a24&gt; </w:t>
      </w:r>
      <w:r w:rsidRPr="00524E23">
        <w:rPr>
          <w:rFonts w:cs="Arial"/>
          <w:sz w:val="24"/>
          <w:szCs w:val="24"/>
        </w:rPr>
        <w:t>accessed 5 April 2020.</w:t>
      </w:r>
    </w:p>
    <w:p w14:paraId="50516489"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Council of Europe, ‘Council of Europe Disability Strategy 2017-2023’ (March 2017) </w:t>
      </w:r>
      <w:hyperlink r:id="rId17" w:history="1">
        <w:r w:rsidRPr="00524E23">
          <w:rPr>
            <w:rStyle w:val="Hyperlink"/>
            <w:rFonts w:cs="Arial"/>
            <w:sz w:val="24"/>
            <w:szCs w:val="24"/>
          </w:rPr>
          <w:t>&lt;https://rm.coe.int/16806fe7d4&gt;</w:t>
        </w:r>
      </w:hyperlink>
      <w:r w:rsidRPr="00524E23">
        <w:rPr>
          <w:rFonts w:cs="Arial"/>
          <w:sz w:val="24"/>
          <w:szCs w:val="24"/>
        </w:rPr>
        <w:t xml:space="preserve"> accessed 15 August 2019.</w:t>
      </w:r>
    </w:p>
    <w:p w14:paraId="5D8AB02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Council of Europe, ‘ECRI General Policy Recommendation No 2: Equality Bodies to Combat Racism and Intolerance at a National Level’ (adopted December 2017) </w:t>
      </w:r>
      <w:hyperlink r:id="rId18" w:history="1">
        <w:r w:rsidRPr="00524E23">
          <w:rPr>
            <w:rStyle w:val="Hyperlink"/>
            <w:rFonts w:cs="Arial"/>
            <w:sz w:val="24"/>
            <w:szCs w:val="24"/>
          </w:rPr>
          <w:t>&lt;https://rm.coe.int/ecri-general-policy-/16808b5a23&gt;</w:t>
        </w:r>
      </w:hyperlink>
      <w:r w:rsidRPr="00524E23">
        <w:rPr>
          <w:rFonts w:cs="Arial"/>
          <w:sz w:val="24"/>
          <w:szCs w:val="24"/>
        </w:rPr>
        <w:t xml:space="preserve"> accessed 17 January 2020.</w:t>
      </w:r>
    </w:p>
    <w:p w14:paraId="2C941CC9"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Council of Europe, ‘The European Social Charter’ </w:t>
      </w:r>
      <w:hyperlink r:id="rId19" w:history="1">
        <w:r w:rsidRPr="00524E23">
          <w:rPr>
            <w:rStyle w:val="Hyperlink"/>
            <w:rFonts w:cs="Arial"/>
            <w:sz w:val="24"/>
            <w:szCs w:val="24"/>
          </w:rPr>
          <w:t>&lt;www.coe.int/en/web/turin-european-social-charter&gt;</w:t>
        </w:r>
      </w:hyperlink>
      <w:r w:rsidRPr="00524E23">
        <w:rPr>
          <w:rFonts w:cs="Arial"/>
          <w:sz w:val="24"/>
          <w:szCs w:val="24"/>
        </w:rPr>
        <w:t xml:space="preserve"> accessed 1 December 2019.</w:t>
      </w:r>
    </w:p>
    <w:p w14:paraId="49211E57"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Courts and Tribunals Judiciary, ‘Second Addendum to Presidential Guidance originally issues on 5 September 2017’ (25 March 2019) </w:t>
      </w:r>
      <w:hyperlink r:id="rId20" w:history="1">
        <w:r w:rsidRPr="00524E23">
          <w:rPr>
            <w:rStyle w:val="Hyperlink"/>
            <w:rFonts w:cs="Arial"/>
            <w:sz w:val="24"/>
            <w:szCs w:val="24"/>
          </w:rPr>
          <w:t>&lt;www.judiciary.uk/publications/employment-rules-and-legislation-practice-directions/&gt;</w:t>
        </w:r>
      </w:hyperlink>
      <w:r w:rsidRPr="00524E23">
        <w:rPr>
          <w:rFonts w:cs="Arial"/>
          <w:sz w:val="24"/>
          <w:szCs w:val="24"/>
        </w:rPr>
        <w:t xml:space="preserve"> accessed 11 December 2019.</w:t>
      </w:r>
    </w:p>
    <w:p w14:paraId="0B46ED2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Crown Prosecution Service (CPS), ‘Road Traffic - Summary Offences’ (last updated 3 January 2019) </w:t>
      </w:r>
      <w:hyperlink r:id="rId21" w:anchor="_Toc536179987&gt;" w:history="1">
        <w:r w:rsidRPr="00524E23">
          <w:rPr>
            <w:rStyle w:val="Hyperlink"/>
            <w:rFonts w:cs="Arial"/>
            <w:sz w:val="24"/>
            <w:szCs w:val="24"/>
          </w:rPr>
          <w:t>&lt;www.cps.gov.uk/legal-guidance/road-traffic-summary-offences#_Toc536179987&gt;</w:t>
        </w:r>
      </w:hyperlink>
      <w:r w:rsidRPr="00524E23">
        <w:rPr>
          <w:rFonts w:cs="Arial"/>
          <w:sz w:val="24"/>
          <w:szCs w:val="24"/>
        </w:rPr>
        <w:t xml:space="preserve"> accessed 3 December 2019.</w:t>
      </w:r>
    </w:p>
    <w:p w14:paraId="3B039242"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Cullen H, ‘The Collective Complaints Mechanism of the European Social Charter’ (2000) 25 European Law Review Supplement (Human Rights Survey).</w:t>
      </w:r>
    </w:p>
    <w:p w14:paraId="130EB935" w14:textId="77777777" w:rsidR="0019789C" w:rsidRPr="00524E23" w:rsidRDefault="0019789C" w:rsidP="006D3C26">
      <w:pPr>
        <w:pStyle w:val="fntxt"/>
        <w:spacing w:before="120" w:after="0" w:line="240" w:lineRule="auto"/>
        <w:ind w:left="0" w:firstLine="0"/>
        <w:rPr>
          <w:rFonts w:cs="Arial"/>
          <w:sz w:val="24"/>
          <w:szCs w:val="24"/>
        </w:rPr>
      </w:pPr>
      <w:r w:rsidRPr="00524E23">
        <w:rPr>
          <w:rStyle w:val="fntxtChar"/>
          <w:rFonts w:cs="Arial"/>
          <w:sz w:val="24"/>
          <w:szCs w:val="24"/>
        </w:rPr>
        <w:t>Cumiskey L, ‘Partially-sighted woman ‘shaken’ and injured after cyclist collided with her white cane in Highbury’ (</w:t>
      </w:r>
      <w:r w:rsidRPr="00524E23">
        <w:rPr>
          <w:rStyle w:val="fnbookChar"/>
          <w:rFonts w:cs="Arial"/>
          <w:sz w:val="24"/>
          <w:szCs w:val="24"/>
        </w:rPr>
        <w:t>Islington Gazette</w:t>
      </w:r>
      <w:r w:rsidRPr="00524E23">
        <w:rPr>
          <w:rStyle w:val="fntxtChar"/>
          <w:rFonts w:cs="Arial"/>
          <w:sz w:val="24"/>
          <w:szCs w:val="24"/>
        </w:rPr>
        <w:t>, 21 February 2020)</w:t>
      </w:r>
      <w:r w:rsidRPr="00524E23">
        <w:rPr>
          <w:rFonts w:cs="Arial"/>
          <w:color w:val="7E7E7E"/>
          <w:sz w:val="24"/>
          <w:szCs w:val="24"/>
        </w:rPr>
        <w:t xml:space="preserve"> </w:t>
      </w:r>
      <w:hyperlink r:id="rId22" w:history="1">
        <w:r w:rsidRPr="00524E23">
          <w:rPr>
            <w:rStyle w:val="Hyperlink"/>
            <w:rFonts w:cs="Arial"/>
            <w:sz w:val="24"/>
            <w:szCs w:val="24"/>
          </w:rPr>
          <w:t>&lt;www.islingtongazette.co.uk/news/partially-sighted-woman-shaken-and-injured-after-cyclist-collided-with-her-white-cane-in-highbury-1-6519938</w:t>
        </w:r>
      </w:hyperlink>
      <w:r w:rsidRPr="00524E23">
        <w:rPr>
          <w:rFonts w:cs="Arial"/>
          <w:color w:val="7E7E7E"/>
          <w:sz w:val="24"/>
          <w:szCs w:val="24"/>
        </w:rPr>
        <w:t xml:space="preserve">&gt; </w:t>
      </w:r>
      <w:r w:rsidRPr="00524E23">
        <w:rPr>
          <w:rFonts w:cs="Arial"/>
          <w:color w:val="000000" w:themeColor="text1"/>
          <w:sz w:val="24"/>
          <w:szCs w:val="24"/>
        </w:rPr>
        <w:t xml:space="preserve">accessed </w:t>
      </w:r>
      <w:r w:rsidRPr="00524E23">
        <w:rPr>
          <w:rFonts w:cs="Arial"/>
          <w:sz w:val="24"/>
          <w:szCs w:val="24"/>
        </w:rPr>
        <w:t>18 May 2020.</w:t>
      </w:r>
    </w:p>
    <w:p w14:paraId="36E3E7D1" w14:textId="77777777" w:rsidR="0019789C" w:rsidRPr="00524E23" w:rsidRDefault="0019789C" w:rsidP="006D3C26">
      <w:pPr>
        <w:pStyle w:val="fntxt"/>
        <w:spacing w:before="120" w:after="0" w:line="240" w:lineRule="auto"/>
        <w:ind w:left="0" w:firstLine="0"/>
        <w:rPr>
          <w:rFonts w:eastAsia="Times New Roman" w:cs="Arial"/>
          <w:sz w:val="24"/>
          <w:szCs w:val="24"/>
        </w:rPr>
      </w:pPr>
      <w:r w:rsidRPr="00524E23">
        <w:rPr>
          <w:rFonts w:cs="Arial"/>
          <w:sz w:val="24"/>
          <w:szCs w:val="24"/>
        </w:rPr>
        <w:t>Dales J and Priestley A, ‘</w:t>
      </w:r>
      <w:r w:rsidRPr="00524E23">
        <w:rPr>
          <w:rFonts w:eastAsia="Times New Roman" w:cs="Arial"/>
          <w:sz w:val="24"/>
          <w:szCs w:val="24"/>
        </w:rPr>
        <w:t>Accessible Public Realm: Updating Guidance and Further Research - Technical Annex 1: Tactile paving (RQ1 &amp; 4)’ (TRL Limited, Client Project Report CPR2714 – prepared for the Department for Transport, January 2020).</w:t>
      </w:r>
    </w:p>
    <w:p w14:paraId="3BB45325" w14:textId="51BDC5EB"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Department for Business, Energy and Industrial Strategy, ‘Industrial Strategy: Building a Britain fit for the Future’ (Stationery Office, 2017) </w:t>
      </w:r>
      <w:hyperlink r:id="rId23" w:history="1">
        <w:r w:rsidRPr="00524E23">
          <w:rPr>
            <w:rStyle w:val="Hyperlink"/>
            <w:rFonts w:cs="Arial"/>
            <w:sz w:val="24"/>
            <w:szCs w:val="24"/>
          </w:rPr>
          <w:t>&lt;www.gov.uk/government/publications/industrial-strategy-building-a-britain-fit-for-the-future</w:t>
        </w:r>
      </w:hyperlink>
      <w:r w:rsidRPr="00524E23">
        <w:rPr>
          <w:rStyle w:val="Hyperlink"/>
          <w:rFonts w:cs="Arial"/>
          <w:sz w:val="24"/>
          <w:szCs w:val="24"/>
        </w:rPr>
        <w:t>&gt;</w:t>
      </w:r>
      <w:r w:rsidRPr="00524E23">
        <w:rPr>
          <w:rFonts w:cs="Arial"/>
          <w:sz w:val="24"/>
          <w:szCs w:val="24"/>
        </w:rPr>
        <w:t xml:space="preserve"> accessed 12 April 2020.</w:t>
      </w:r>
    </w:p>
    <w:p w14:paraId="785E9B2A" w14:textId="4C52E58D"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Department for Business, Energy and Industrial Strategy, ‘The UK’s Industrial Strategy 2019’ </w:t>
      </w:r>
      <w:r w:rsidRPr="00524E23">
        <w:rPr>
          <w:rStyle w:val="Hyperlink"/>
          <w:rFonts w:cs="Arial"/>
          <w:sz w:val="24"/>
          <w:szCs w:val="24"/>
        </w:rPr>
        <w:t>&lt;</w:t>
      </w:r>
      <w:hyperlink r:id="rId24" w:history="1">
        <w:r w:rsidRPr="00524E23">
          <w:rPr>
            <w:rStyle w:val="Hyperlink"/>
            <w:rFonts w:cs="Arial"/>
            <w:sz w:val="24"/>
            <w:szCs w:val="24"/>
          </w:rPr>
          <w:t>http://www.gov.uk/government/topical-events/the-uks-industrial-strategy</w:t>
        </w:r>
      </w:hyperlink>
      <w:r w:rsidRPr="00524E23">
        <w:rPr>
          <w:rStyle w:val="Hyperlink"/>
          <w:rFonts w:cs="Arial"/>
          <w:sz w:val="24"/>
          <w:szCs w:val="24"/>
        </w:rPr>
        <w:t>&gt;</w:t>
      </w:r>
      <w:r w:rsidRPr="00524E23">
        <w:rPr>
          <w:rFonts w:cs="Arial"/>
          <w:sz w:val="24"/>
          <w:szCs w:val="24"/>
        </w:rPr>
        <w:t xml:space="preserve"> accessed 12 April 2020.</w:t>
      </w:r>
    </w:p>
    <w:p w14:paraId="0FE67A6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Department for International Development and Cabinet Office, ‘Implementing the Sustainable Development Goals’ (December 2017) </w:t>
      </w:r>
      <w:hyperlink r:id="rId25" w:history="1">
        <w:r w:rsidRPr="00524E23">
          <w:rPr>
            <w:rStyle w:val="Hyperlink"/>
            <w:rFonts w:cs="Arial"/>
            <w:sz w:val="24"/>
            <w:szCs w:val="24"/>
          </w:rPr>
          <w:t>&lt;www.gov.uk/government/publications/implementing-the-sustainable-development-goals/implementing-the-sustainable-development-goals&gt;</w:t>
        </w:r>
      </w:hyperlink>
      <w:r w:rsidRPr="00524E23">
        <w:rPr>
          <w:rFonts w:cs="Arial"/>
          <w:sz w:val="24"/>
          <w:szCs w:val="24"/>
        </w:rPr>
        <w:t xml:space="preserve"> accessed 27 November 2019.</w:t>
      </w:r>
    </w:p>
    <w:p w14:paraId="17F176BD" w14:textId="07731480"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lastRenderedPageBreak/>
        <w:t xml:space="preserve">Department for International Development and Foreign, Commonwealth &amp; Development Office, ‘Agenda 2030: Delivering the Global Goals’ (28 March 2017) </w:t>
      </w:r>
      <w:hyperlink r:id="rId26" w:history="1">
        <w:r w:rsidRPr="00524E23">
          <w:rPr>
            <w:rStyle w:val="Hyperlink"/>
            <w:rFonts w:cs="Arial"/>
            <w:sz w:val="24"/>
            <w:szCs w:val="24"/>
          </w:rPr>
          <w:t>&lt;www.gov.uk/government/publications/agenda-2030-delivering-the-global-goals&gt;</w:t>
        </w:r>
      </w:hyperlink>
      <w:r w:rsidRPr="00524E23">
        <w:rPr>
          <w:rFonts w:cs="Arial"/>
          <w:sz w:val="24"/>
          <w:szCs w:val="24"/>
        </w:rPr>
        <w:t xml:space="preserve"> accessed 27 November 2019.</w:t>
      </w:r>
    </w:p>
    <w:p w14:paraId="2564FD8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Department for International Development, ‘Voluntary National Review of Progress towards the Sustainable Development Goals - United Kingdom of Great Britain and Northern Ireland’ (June 2019) </w:t>
      </w:r>
      <w:hyperlink r:id="rId27" w:history="1">
        <w:r w:rsidRPr="00524E23">
          <w:rPr>
            <w:rStyle w:val="Hyperlink"/>
            <w:rFonts w:cs="Arial"/>
            <w:sz w:val="24"/>
            <w:szCs w:val="24"/>
          </w:rPr>
          <w:t>&lt;www.gov.uk/government/publications/uks-voluntary-national-review-of-the-sustainable-development-goals&gt;</w:t>
        </w:r>
      </w:hyperlink>
      <w:r w:rsidRPr="00524E23">
        <w:rPr>
          <w:rFonts w:cs="Arial"/>
          <w:sz w:val="24"/>
          <w:szCs w:val="24"/>
        </w:rPr>
        <w:t xml:space="preserve"> accessed 28 November 2019.</w:t>
      </w:r>
    </w:p>
    <w:p w14:paraId="2E5F588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and Department for Business, Energy and Industrial Strategy, ‘Future of Transport Regulatory Review: Call for Evidence on Micromobility Vehicles, Flexible Bus Services and Mobility as a Service’ (March 2020).</w:t>
      </w:r>
    </w:p>
    <w:p w14:paraId="1AD4BC4B"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‘Cycling and Walking Investment Strategy’ (21 April 2017).</w:t>
      </w:r>
    </w:p>
    <w:p w14:paraId="6459D65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‘Guidance: Inclusive Mobility’ (DFT, 15 December 2005).</w:t>
      </w:r>
    </w:p>
    <w:p w14:paraId="658176D7"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Department for Transport, ‘</w:t>
      </w:r>
      <w:r w:rsidRPr="00524E23">
        <w:rPr>
          <w:rStyle w:val="FootnoteTextChar"/>
          <w:rFonts w:cs="Arial"/>
          <w:sz w:val="24"/>
          <w:szCs w:val="24"/>
        </w:rPr>
        <w:t xml:space="preserve">Inclusive mobility and tactile paving guidance review’ (DFT, July 2018). </w:t>
      </w:r>
    </w:p>
    <w:p w14:paraId="32B8F3C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‘Manual for Streets 2’ (29 September 2010) &lt;</w:t>
      </w:r>
      <w:hyperlink r:id="rId28" w:history="1">
        <w:r w:rsidRPr="00524E23">
          <w:rPr>
            <w:rStyle w:val="Hyperlink"/>
            <w:rFonts w:cs="Arial"/>
            <w:sz w:val="24"/>
            <w:szCs w:val="24"/>
          </w:rPr>
          <w:t>www.gov.uk/government/publications/manual-for-streets-2</w:t>
        </w:r>
      </w:hyperlink>
      <w:r w:rsidRPr="00524E23">
        <w:rPr>
          <w:rFonts w:cs="Arial"/>
          <w:sz w:val="24"/>
          <w:szCs w:val="24"/>
        </w:rPr>
        <w:t>&gt; accessed 11 November 2019.</w:t>
      </w:r>
    </w:p>
    <w:p w14:paraId="7C6C81FD" w14:textId="0B1CACB9" w:rsidR="0019789C"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‘Manual for Streets’ (29 March 2007) &lt;</w:t>
      </w:r>
      <w:hyperlink r:id="rId29" w:history="1">
        <w:r w:rsidRPr="00524E23">
          <w:rPr>
            <w:rStyle w:val="Hyperlink"/>
            <w:rFonts w:cs="Arial"/>
            <w:sz w:val="24"/>
            <w:szCs w:val="24"/>
          </w:rPr>
          <w:t>www.gov.uk/government/publications/manual-for-streets</w:t>
        </w:r>
      </w:hyperlink>
      <w:r w:rsidRPr="00524E23">
        <w:rPr>
          <w:rFonts w:cs="Arial"/>
          <w:sz w:val="24"/>
          <w:szCs w:val="24"/>
        </w:rPr>
        <w:t>&gt; accessed 11 November 2019.</w:t>
      </w:r>
    </w:p>
    <w:p w14:paraId="661AE083" w14:textId="034F5ABD" w:rsidR="0019789C" w:rsidRPr="00524E23" w:rsidRDefault="0019789C" w:rsidP="006D3C26">
      <w:pPr>
        <w:pStyle w:val="fntxt"/>
        <w:spacing w:before="120" w:after="0" w:line="240" w:lineRule="auto"/>
        <w:ind w:left="0" w:firstLine="0"/>
        <w:rPr>
          <w:rFonts w:cs="Arial"/>
          <w:sz w:val="24"/>
          <w:szCs w:val="24"/>
        </w:rPr>
      </w:pPr>
      <w:r w:rsidRPr="0019789C">
        <w:rPr>
          <w:rFonts w:cs="Arial"/>
          <w:sz w:val="24"/>
          <w:szCs w:val="24"/>
        </w:rPr>
        <w:t xml:space="preserve">Department for Transport, ‘Pavement Parking: Options for Change’ (last updated 30 October 2020 </w:t>
      </w:r>
      <w:hyperlink w:history="1">
        <w:r w:rsidRPr="00494FED">
          <w:rPr>
            <w:rStyle w:val="Hyperlink"/>
            <w:rFonts w:cs="Arial"/>
            <w:sz w:val="24"/>
            <w:szCs w:val="24"/>
          </w:rPr>
          <w:t>&lt;www.gov.uk/government/consultations/managing-pavement-parking/pavement-parking-options-for-change</w:t>
        </w:r>
      </w:hyperlink>
      <w:r>
        <w:rPr>
          <w:rFonts w:cs="Arial"/>
          <w:sz w:val="24"/>
          <w:szCs w:val="24"/>
        </w:rPr>
        <w:t>&gt;</w:t>
      </w:r>
      <w:r w:rsidRPr="0019789C">
        <w:rPr>
          <w:rFonts w:cs="Arial"/>
          <w:sz w:val="24"/>
          <w:szCs w:val="24"/>
        </w:rPr>
        <w:t xml:space="preserve"> accessed 15 November 2020.</w:t>
      </w:r>
    </w:p>
    <w:p w14:paraId="69C3B44E"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‘The Inclusive Transport Strategy: Achieving Equal Access for Disabled People’ (DFT, July 2018).</w:t>
      </w:r>
    </w:p>
    <w:p w14:paraId="13E8F5A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‘Using Tactile Paving Surfaces: How to Install and Use Tactile Paving Surfaces to help Visually-Impaired Pedestrians Recognise Potential Hazards and Changes to the Road’ (DFT, 5 June 2007).</w:t>
      </w:r>
    </w:p>
    <w:p w14:paraId="6B25791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How to Develop Safe Streets for Mixed Use, Local Transport Note 3/08 (2008).</w:t>
      </w:r>
    </w:p>
    <w:p w14:paraId="17A3244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Department for Transport, Local transport note: Shared space (1/11) (15 December 2011) </w:t>
      </w:r>
      <w:r w:rsidRPr="00524E23">
        <w:rPr>
          <w:rStyle w:val="Hyperlink"/>
          <w:rFonts w:cs="Arial"/>
          <w:sz w:val="24"/>
          <w:szCs w:val="24"/>
        </w:rPr>
        <w:t>&lt;</w:t>
      </w:r>
      <w:hyperlink r:id="rId30" w:history="1">
        <w:r w:rsidRPr="00524E23">
          <w:rPr>
            <w:rStyle w:val="Hyperlink"/>
            <w:rFonts w:cs="Arial"/>
            <w:sz w:val="24"/>
            <w:szCs w:val="24"/>
          </w:rPr>
          <w:t>www.gov.uk/government/publications/local-transport-note-ltn-1-11-shared-space&gt;</w:t>
        </w:r>
      </w:hyperlink>
      <w:r w:rsidRPr="00524E23">
        <w:rPr>
          <w:rFonts w:cs="Arial"/>
          <w:sz w:val="24"/>
          <w:szCs w:val="24"/>
        </w:rPr>
        <w:t>.</w:t>
      </w:r>
    </w:p>
    <w:p w14:paraId="68B35ED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w:t>
      </w:r>
      <w:r w:rsidRPr="00524E23">
        <w:rPr>
          <w:rStyle w:val="fnbookChar"/>
          <w:rFonts w:cs="Arial"/>
          <w:sz w:val="24"/>
          <w:szCs w:val="24"/>
        </w:rPr>
        <w:t xml:space="preserve"> New Roads and Street Works Act 1991 - Code of Practice for the Co-ordination of Street Works and Works for Road Purposes and Related Matters</w:t>
      </w:r>
      <w:r w:rsidRPr="00524E23">
        <w:rPr>
          <w:rFonts w:cs="Arial"/>
          <w:sz w:val="24"/>
          <w:szCs w:val="24"/>
        </w:rPr>
        <w:t xml:space="preserve"> (4th ed, 2012).</w:t>
      </w:r>
    </w:p>
    <w:p w14:paraId="4449DD35"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Shared Use Routes for Pedestrians and Cyclists, Local Transport Note 1/12 (2012).</w:t>
      </w:r>
    </w:p>
    <w:p w14:paraId="60B80D3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Traffic Management and Streetscape, Local Transport Note 1/08 (2008).</w:t>
      </w:r>
    </w:p>
    <w:p w14:paraId="0FDF3A4B"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Department for Transport, Using Railings to Make Roads Safer for Pedestrians, Local Transport Note 2/09 (2009).</w:t>
      </w:r>
    </w:p>
    <w:p w14:paraId="30AC8CF4" w14:textId="77777777" w:rsidR="0019789C" w:rsidRDefault="0019789C" w:rsidP="00296567">
      <w:pPr>
        <w:pStyle w:val="fntxt"/>
        <w:spacing w:before="120" w:after="0" w:line="240" w:lineRule="auto"/>
        <w:ind w:left="0" w:firstLine="0"/>
        <w:rPr>
          <w:rFonts w:cs="Arial"/>
          <w:sz w:val="24"/>
          <w:szCs w:val="24"/>
        </w:rPr>
      </w:pPr>
      <w:r w:rsidRPr="00524E23">
        <w:rPr>
          <w:rFonts w:cs="Arial"/>
          <w:sz w:val="24"/>
          <w:szCs w:val="24"/>
        </w:rPr>
        <w:t>Department for Work and Pensions, ‘Opportunity Age : Meeting the challenge of ageing in the 21st century’ (DWP, 2005)</w:t>
      </w:r>
      <w:r w:rsidRPr="00524E23">
        <w:rPr>
          <w:rFonts w:eastAsia="Times New Roman" w:cs="Arial"/>
          <w:sz w:val="24"/>
          <w:szCs w:val="24"/>
          <w:lang w:eastAsia="en-US"/>
        </w:rPr>
        <w:t xml:space="preserve"> </w:t>
      </w:r>
      <w:hyperlink r:id="rId31" w:history="1">
        <w:r w:rsidRPr="00524E23">
          <w:rPr>
            <w:rStyle w:val="Hyperlink"/>
            <w:rFonts w:cs="Arial"/>
            <w:sz w:val="24"/>
            <w:szCs w:val="24"/>
          </w:rPr>
          <w:t>&lt;www.housingcare.org/information/detail-2905-opportunity-age-meeting-the-challenge-of-ageing-in-the-21s.aspx</w:t>
        </w:r>
      </w:hyperlink>
      <w:r w:rsidRPr="00524E23">
        <w:rPr>
          <w:rStyle w:val="Hyperlink"/>
          <w:rFonts w:cs="Arial"/>
          <w:sz w:val="24"/>
          <w:szCs w:val="24"/>
        </w:rPr>
        <w:t>&gt;</w:t>
      </w:r>
      <w:r w:rsidRPr="00524E23">
        <w:rPr>
          <w:rFonts w:cs="Arial"/>
          <w:sz w:val="24"/>
          <w:szCs w:val="24"/>
        </w:rPr>
        <w:t xml:space="preserve"> accessed 17 April 2020.</w:t>
      </w:r>
    </w:p>
    <w:p w14:paraId="6F0EF27A" w14:textId="62DC18B4" w:rsidR="0019789C" w:rsidRPr="00296567" w:rsidRDefault="0019789C" w:rsidP="00296567">
      <w:pPr>
        <w:pStyle w:val="fntxt"/>
        <w:spacing w:before="120" w:after="0" w:line="240" w:lineRule="auto"/>
        <w:ind w:left="0" w:firstLine="0"/>
        <w:rPr>
          <w:rFonts w:cs="Arial"/>
          <w:sz w:val="24"/>
          <w:szCs w:val="24"/>
        </w:rPr>
      </w:pPr>
      <w:r w:rsidRPr="00296567">
        <w:rPr>
          <w:sz w:val="24"/>
          <w:szCs w:val="24"/>
        </w:rPr>
        <w:lastRenderedPageBreak/>
        <w:t>Department for Work and Pensions, ‘</w:t>
      </w:r>
      <w:r w:rsidRPr="00296567">
        <w:rPr>
          <w:rStyle w:val="FootnoteTextChar"/>
          <w:sz w:val="24"/>
          <w:szCs w:val="24"/>
        </w:rPr>
        <w:t xml:space="preserve">UK Advisory Forum on Ageing’ </w:t>
      </w:r>
      <w:hyperlink r:id="rId32" w:history="1">
        <w:r w:rsidRPr="00296567">
          <w:rPr>
            <w:rStyle w:val="Hyperlink"/>
            <w:rFonts w:cs="Arial"/>
            <w:sz w:val="24"/>
            <w:szCs w:val="24"/>
          </w:rPr>
          <w:t>&lt;www.gov.uk/government/groups/uk-advisory-forum-on-ageing</w:t>
        </w:r>
      </w:hyperlink>
      <w:r w:rsidRPr="00296567">
        <w:rPr>
          <w:rStyle w:val="Hyperlink"/>
          <w:sz w:val="24"/>
          <w:szCs w:val="24"/>
        </w:rPr>
        <w:t>&gt;</w:t>
      </w:r>
      <w:r w:rsidRPr="00296567">
        <w:rPr>
          <w:sz w:val="24"/>
          <w:szCs w:val="24"/>
        </w:rPr>
        <w:t xml:space="preserve"> accessed 16 April 2020.</w:t>
      </w:r>
    </w:p>
    <w:p w14:paraId="7176A117" w14:textId="77777777" w:rsidR="0019789C" w:rsidRPr="00524E23" w:rsidRDefault="0019789C" w:rsidP="006D3C26">
      <w:pPr>
        <w:pStyle w:val="fntxt"/>
        <w:spacing w:before="120" w:after="0" w:line="240" w:lineRule="auto"/>
        <w:ind w:left="0" w:firstLine="0"/>
        <w:rPr>
          <w:rFonts w:eastAsia="Times New Roman" w:cs="Arial"/>
          <w:sz w:val="24"/>
          <w:szCs w:val="24"/>
          <w:lang w:eastAsia="en-US"/>
        </w:rPr>
      </w:pPr>
    </w:p>
    <w:p w14:paraId="09D38D6B" w14:textId="77777777" w:rsidR="0019789C" w:rsidRPr="00524E23" w:rsidRDefault="0019789C" w:rsidP="006D3C26">
      <w:pPr>
        <w:pStyle w:val="fntxt"/>
        <w:spacing w:before="120" w:after="0" w:line="240" w:lineRule="auto"/>
        <w:rPr>
          <w:rFonts w:cs="Arial"/>
          <w:sz w:val="24"/>
          <w:szCs w:val="24"/>
        </w:rPr>
      </w:pPr>
      <w:r w:rsidRPr="00524E23">
        <w:rPr>
          <w:rFonts w:cs="Arial"/>
          <w:sz w:val="24"/>
          <w:szCs w:val="24"/>
        </w:rPr>
        <w:t>Dickson</w:t>
      </w:r>
      <w:r w:rsidRPr="00524E23">
        <w:rPr>
          <w:rFonts w:cs="Arial"/>
          <w:b/>
          <w:bCs/>
          <w:sz w:val="24"/>
          <w:szCs w:val="24"/>
        </w:rPr>
        <w:t xml:space="preserve"> </w:t>
      </w:r>
      <w:r w:rsidRPr="00524E23">
        <w:rPr>
          <w:rFonts w:cs="Arial"/>
          <w:sz w:val="24"/>
          <w:szCs w:val="24"/>
        </w:rPr>
        <w:t>B,</w:t>
      </w:r>
      <w:r w:rsidRPr="00524E23">
        <w:rPr>
          <w:rStyle w:val="fnbookChar"/>
          <w:rFonts w:cs="Arial"/>
          <w:sz w:val="24"/>
          <w:szCs w:val="24"/>
        </w:rPr>
        <w:t xml:space="preserve"> The Law in Northern Ireland </w:t>
      </w:r>
      <w:r w:rsidRPr="00524E23">
        <w:rPr>
          <w:rFonts w:cs="Arial"/>
          <w:sz w:val="24"/>
          <w:szCs w:val="24"/>
        </w:rPr>
        <w:t>(2nd edn, Hart Publishing 2013).</w:t>
      </w:r>
    </w:p>
    <w:p w14:paraId="13E4F859"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Disability Unit, ‘A National Strategy for Disabled People to Remove Barriers and Increase Participation’ (Disability Unit, 2 April 2020) </w:t>
      </w:r>
      <w:r w:rsidRPr="00524E23">
        <w:rPr>
          <w:rStyle w:val="Hyperlink"/>
          <w:rFonts w:cs="Arial"/>
          <w:sz w:val="24"/>
          <w:szCs w:val="24"/>
        </w:rPr>
        <w:t>&lt;</w:t>
      </w:r>
      <w:hyperlink r:id="rId33" w:history="1">
        <w:r w:rsidRPr="00524E23">
          <w:rPr>
            <w:rStyle w:val="Hyperlink"/>
            <w:rFonts w:cs="Arial"/>
            <w:sz w:val="24"/>
            <w:szCs w:val="24"/>
          </w:rPr>
          <w:t>http://www.gov.uk/government/news/a-national-strategy-for-disabled-people-to-remove-barriers-and-increase-participation</w:t>
        </w:r>
      </w:hyperlink>
      <w:r w:rsidRPr="00524E23">
        <w:rPr>
          <w:rStyle w:val="Hyperlink"/>
          <w:rFonts w:cs="Arial"/>
          <w:sz w:val="24"/>
          <w:szCs w:val="24"/>
        </w:rPr>
        <w:t>&gt;</w:t>
      </w:r>
      <w:r w:rsidRPr="00524E23">
        <w:rPr>
          <w:rFonts w:cs="Arial"/>
          <w:sz w:val="24"/>
          <w:szCs w:val="24"/>
        </w:rPr>
        <w:t xml:space="preserve"> accessed 11 April 2020.</w:t>
      </w:r>
    </w:p>
    <w:p w14:paraId="52183AD3"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Disabled Persons Transport Advisory Committee, ‘Position on ‘Shared Space’’ (13 July 2018) &lt;</w:t>
      </w:r>
      <w:hyperlink r:id="rId34" w:history="1">
        <w:r w:rsidRPr="00524E23">
          <w:rPr>
            <w:rStyle w:val="Hyperlink"/>
            <w:rFonts w:cs="Arial"/>
            <w:sz w:val="24"/>
            <w:szCs w:val="24"/>
          </w:rPr>
          <w:t>www.gov.uk/government/publications/dptacs-position-on-shared-space/dptac-position-on-shared-space</w:t>
        </w:r>
      </w:hyperlink>
      <w:r w:rsidRPr="00524E23">
        <w:rPr>
          <w:rFonts w:cs="Arial"/>
          <w:sz w:val="24"/>
          <w:szCs w:val="24"/>
        </w:rPr>
        <w:t>&gt; accessed 13 April 2020.</w:t>
      </w:r>
    </w:p>
    <w:p w14:paraId="06958CB5"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Donald A, Gordon J and Leach P, ‘The UK and the European Court of Human Rights’ (2012) </w:t>
      </w:r>
      <w:r w:rsidRPr="00524E23">
        <w:rPr>
          <w:rStyle w:val="Hyperlink"/>
          <w:rFonts w:cs="Arial"/>
          <w:sz w:val="24"/>
          <w:szCs w:val="24"/>
        </w:rPr>
        <w:t xml:space="preserve">&lt;www.equalityhumanrights.com/sites/default/files/83._european_court_of_human_rights.pdf&gt; </w:t>
      </w:r>
      <w:r w:rsidRPr="00524E23">
        <w:rPr>
          <w:rFonts w:cs="Arial"/>
          <w:sz w:val="24"/>
          <w:szCs w:val="24"/>
        </w:rPr>
        <w:t>accessed 1 December 2019.</w:t>
      </w:r>
    </w:p>
    <w:p w14:paraId="3243A1AB" w14:textId="77777777" w:rsidR="0019789C" w:rsidRPr="00524E23" w:rsidRDefault="0019789C" w:rsidP="006D3C26">
      <w:pPr>
        <w:pStyle w:val="fntxt"/>
        <w:spacing w:before="120" w:after="0" w:line="240" w:lineRule="auto"/>
        <w:rPr>
          <w:rFonts w:cs="Arial"/>
          <w:sz w:val="24"/>
          <w:szCs w:val="24"/>
        </w:rPr>
      </w:pPr>
      <w:r w:rsidRPr="00524E23">
        <w:rPr>
          <w:rFonts w:cs="Arial"/>
          <w:sz w:val="24"/>
          <w:szCs w:val="24"/>
        </w:rPr>
        <w:t>Elliott C and Quinn F,</w:t>
      </w:r>
      <w:r w:rsidRPr="00524E23">
        <w:rPr>
          <w:rStyle w:val="fnbookChar"/>
          <w:rFonts w:cs="Arial"/>
          <w:sz w:val="24"/>
          <w:szCs w:val="24"/>
        </w:rPr>
        <w:t xml:space="preserve"> English Legal System</w:t>
      </w:r>
      <w:r w:rsidRPr="00524E23">
        <w:rPr>
          <w:rFonts w:cs="Arial"/>
          <w:sz w:val="24"/>
          <w:szCs w:val="24"/>
        </w:rPr>
        <w:t xml:space="preserve"> (Pearson Education 2015).</w:t>
      </w:r>
    </w:p>
    <w:p w14:paraId="679DF38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Equality Advisory and Support Service (EASS), ‘About Us’ </w:t>
      </w:r>
      <w:hyperlink r:id="rId35" w:history="1">
        <w:r w:rsidRPr="00524E23">
          <w:rPr>
            <w:rStyle w:val="Hyperlink"/>
            <w:rFonts w:cs="Arial"/>
            <w:sz w:val="24"/>
            <w:szCs w:val="24"/>
          </w:rPr>
          <w:t>&lt;www.equalityadvisoryservice.com/app/about&gt;</w:t>
        </w:r>
      </w:hyperlink>
      <w:r w:rsidRPr="00524E23">
        <w:rPr>
          <w:rFonts w:cs="Arial"/>
          <w:sz w:val="24"/>
          <w:szCs w:val="24"/>
        </w:rPr>
        <w:t xml:space="preserve"> accessed 20 January 2020.</w:t>
      </w:r>
    </w:p>
    <w:p w14:paraId="3193D2FD"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Equality and Human Rights Commission (EHRC), ‘Access to legal aid for discrimination cases’ (June 2019) </w:t>
      </w:r>
      <w:hyperlink r:id="rId36" w:history="1">
        <w:r w:rsidRPr="00524E23">
          <w:rPr>
            <w:rStyle w:val="Hyperlink"/>
            <w:rFonts w:cs="Arial"/>
            <w:sz w:val="24"/>
            <w:szCs w:val="24"/>
          </w:rPr>
          <w:t>&lt;www.equalityhumanrights.com/en/publication-download/access-legal-aid-discrimination-cases&gt;</w:t>
        </w:r>
      </w:hyperlink>
      <w:r w:rsidRPr="00524E23">
        <w:rPr>
          <w:rFonts w:cs="Arial"/>
          <w:sz w:val="24"/>
          <w:szCs w:val="24"/>
        </w:rPr>
        <w:t xml:space="preserve"> accessed 11 December 2019.</w:t>
      </w:r>
    </w:p>
    <w:p w14:paraId="0F120B0E"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Equality and Human Rights Commission (EHRC), ‘Disability Advisory Committee’ </w:t>
      </w:r>
      <w:hyperlink r:id="rId37" w:history="1">
        <w:r w:rsidRPr="00524E23">
          <w:rPr>
            <w:rStyle w:val="Hyperlink"/>
            <w:rFonts w:cs="Arial"/>
            <w:sz w:val="24"/>
            <w:szCs w:val="24"/>
          </w:rPr>
          <w:t>&lt;www.equalityhumanrights.com/en/who-we-are/disability-advisory-committee</w:t>
        </w:r>
      </w:hyperlink>
      <w:r w:rsidRPr="00524E23">
        <w:rPr>
          <w:rStyle w:val="Hyperlink"/>
          <w:rFonts w:cs="Arial"/>
          <w:sz w:val="24"/>
          <w:szCs w:val="24"/>
        </w:rPr>
        <w:t>&gt;</w:t>
      </w:r>
      <w:r w:rsidRPr="00524E23">
        <w:rPr>
          <w:rFonts w:cs="Arial"/>
          <w:sz w:val="24"/>
          <w:szCs w:val="24"/>
        </w:rPr>
        <w:t xml:space="preserve"> accessed 16 April 2020.</w:t>
      </w:r>
    </w:p>
    <w:p w14:paraId="423ED51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Equality and Human Rights Commission (EHRC), ‘Equality Act 2010 Statutory Code of Practice: Services, public functions and associations’ (2011) </w:t>
      </w:r>
      <w:hyperlink r:id="rId38" w:history="1">
        <w:r w:rsidRPr="00524E23">
          <w:rPr>
            <w:rStyle w:val="Hyperlink"/>
            <w:rFonts w:cs="Arial"/>
            <w:sz w:val="24"/>
            <w:szCs w:val="24"/>
          </w:rPr>
          <w:t>&lt;www.equalityhumanrights.com/sites/default/files/servicescode_0.pdf&gt;</w:t>
        </w:r>
      </w:hyperlink>
      <w:r w:rsidRPr="00524E23">
        <w:rPr>
          <w:rFonts w:cs="Arial"/>
          <w:sz w:val="24"/>
          <w:szCs w:val="24"/>
        </w:rPr>
        <w:t xml:space="preserve"> accessed 1 May 2019 (Equality Act Services Code of Practice).</w:t>
      </w:r>
    </w:p>
    <w:p w14:paraId="7F81348E"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Equality and Human Rights Commission (EHRC), ‘How to work out the value of a discrimination claim’ (April 2018) </w:t>
      </w:r>
      <w:hyperlink r:id="rId39" w:history="1">
        <w:r w:rsidRPr="00524E23">
          <w:rPr>
            <w:rStyle w:val="Hyperlink"/>
            <w:rFonts w:cs="Arial"/>
            <w:sz w:val="24"/>
            <w:szCs w:val="24"/>
          </w:rPr>
          <w:t>&lt;www.equalityhumanrights.com/sites/default/files/quantification-of-claims-guidance.pdf&gt;</w:t>
        </w:r>
      </w:hyperlink>
      <w:r w:rsidRPr="00524E23">
        <w:rPr>
          <w:rFonts w:cs="Arial"/>
          <w:sz w:val="24"/>
          <w:szCs w:val="24"/>
        </w:rPr>
        <w:t xml:space="preserve"> accessed 11 December 2019.</w:t>
      </w:r>
    </w:p>
    <w:p w14:paraId="1ACA390E"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Equality and Human Rights Commission (EHRC), ‘Involvement in the Public Sector Equality Duty: A Guide for Public Authorities’ (EHRC, July 2016).</w:t>
      </w:r>
    </w:p>
    <w:p w14:paraId="5AFB7F2A" w14:textId="77777777" w:rsidR="0019789C" w:rsidRPr="00524E23" w:rsidRDefault="0019789C" w:rsidP="006D3C26">
      <w:pPr>
        <w:pStyle w:val="fntxt"/>
        <w:spacing w:before="120" w:after="0" w:line="240" w:lineRule="auto"/>
        <w:ind w:left="0" w:firstLine="0"/>
        <w:rPr>
          <w:rFonts w:cs="Arial"/>
          <w:iCs/>
          <w:sz w:val="24"/>
          <w:szCs w:val="24"/>
        </w:rPr>
      </w:pPr>
      <w:r w:rsidRPr="00524E23">
        <w:rPr>
          <w:rFonts w:cs="Arial"/>
          <w:sz w:val="24"/>
          <w:szCs w:val="24"/>
        </w:rPr>
        <w:t>Equality and Human Rights Commission (EHRC), ‘Judicial review’ &lt;</w:t>
      </w:r>
      <w:hyperlink r:id="rId40" w:history="1">
        <w:r w:rsidRPr="00524E23">
          <w:rPr>
            <w:rStyle w:val="Hyperlink"/>
            <w:rFonts w:cs="Arial"/>
            <w:sz w:val="24"/>
            <w:szCs w:val="24"/>
          </w:rPr>
          <w:t>www.equalityhumanrights.com/en/advice-and-guidance/judicial-review</w:t>
        </w:r>
      </w:hyperlink>
      <w:r w:rsidRPr="00524E23">
        <w:rPr>
          <w:rFonts w:cs="Arial"/>
          <w:sz w:val="24"/>
          <w:szCs w:val="24"/>
        </w:rPr>
        <w:t>&gt; (last updated 19 February 2019) accessed 24 January 2020.</w:t>
      </w:r>
    </w:p>
    <w:p w14:paraId="7D4A471F"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Equality and Human Rights Commission (EHRC), ‘Our litigation and enforcement policy 2019-22’ (November 2019) </w:t>
      </w:r>
      <w:hyperlink r:id="rId41" w:history="1">
        <w:r w:rsidRPr="00524E23">
          <w:rPr>
            <w:rStyle w:val="Hyperlink"/>
            <w:rFonts w:cs="Arial"/>
            <w:sz w:val="24"/>
            <w:szCs w:val="24"/>
          </w:rPr>
          <w:t>&lt;www.equalityhumanrights.com/en/publication-download/our-litigation-and-enforcement-policy-2019-2022&gt;</w:t>
        </w:r>
      </w:hyperlink>
      <w:r w:rsidRPr="00524E23">
        <w:rPr>
          <w:rFonts w:cs="Arial"/>
          <w:sz w:val="24"/>
          <w:szCs w:val="24"/>
        </w:rPr>
        <w:t xml:space="preserve"> accessed 15 January 2020.</w:t>
      </w:r>
    </w:p>
    <w:p w14:paraId="25975A7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Equality and Human Rights Commission (EHRC), ‘Technical Guidance on the Public Sector Equality Duty: England’ (last revised August 2014).</w:t>
      </w:r>
    </w:p>
    <w:p w14:paraId="3A753D0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Equality and Human Rights Commission (EHRC), ‘Technical Guidance on the Public Sector Equality Duty: Scotland’ (last updated September 2016).</w:t>
      </w:r>
    </w:p>
    <w:p w14:paraId="3EB1F95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lastRenderedPageBreak/>
        <w:t>Equality and Human Rights Commission (EHRC), ‘Technical Guidance on the Public Sector Equality Duty: Wales’ (last revised August 2014).</w:t>
      </w:r>
    </w:p>
    <w:p w14:paraId="4CB6B434" w14:textId="77777777" w:rsidR="0019789C" w:rsidRPr="00524E23" w:rsidRDefault="0019789C" w:rsidP="006D3C26">
      <w:pPr>
        <w:pStyle w:val="fntxt"/>
        <w:spacing w:before="120" w:after="0" w:line="240" w:lineRule="auto"/>
        <w:rPr>
          <w:rFonts w:cs="Arial"/>
          <w:sz w:val="24"/>
          <w:szCs w:val="24"/>
        </w:rPr>
      </w:pPr>
      <w:r w:rsidRPr="00524E23">
        <w:rPr>
          <w:rFonts w:cs="Arial"/>
          <w:sz w:val="24"/>
          <w:szCs w:val="24"/>
        </w:rPr>
        <w:t xml:space="preserve">European Commission, ‘Action Plan on Urban Mobility’ COM (2009) 0490 final. </w:t>
      </w:r>
    </w:p>
    <w:p w14:paraId="182BFA92"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European Commission, ‘Europe 2020: A strategy for smart, sustainable and inclusive growth’ COM (2010) 2020 final.</w:t>
      </w:r>
    </w:p>
    <w:p w14:paraId="6A38780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European Commission, ‘Europe on the Move - Sustainable Mobility for Europe: safe, connected, and clean’ COM (2018) 293 final.</w:t>
      </w:r>
    </w:p>
    <w:p w14:paraId="1362495E"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European Commission, ‘European Disability Strategy 2010-2020: A Renewed Commitment to a Barrier-Free Europe’ COM (2010) 636 – Communication.</w:t>
      </w:r>
    </w:p>
    <w:p w14:paraId="3CA548EE"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European Commission, ‘Staff Working Document: EU Road Safety Policy Framework 2021-2030 – Next Steps towards “Vision Zero”’ SWD (2019) 283 final.</w:t>
      </w:r>
    </w:p>
    <w:p w14:paraId="2BEBABA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European Committee for Standardization (CEN), ‘Accessibility and usability of the built environment - Functional requirements’ (prEN 17210).</w:t>
      </w:r>
    </w:p>
    <w:p w14:paraId="0B23F8D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European Disability Forum, ‘Our Analysis of the European Accessibility Act’ (7 June 2019) &lt;</w:t>
      </w:r>
      <w:hyperlink r:id="rId42" w:history="1">
        <w:r w:rsidRPr="00524E23">
          <w:rPr>
            <w:rStyle w:val="Hyperlink"/>
            <w:rFonts w:cs="Arial"/>
            <w:sz w:val="24"/>
            <w:szCs w:val="24"/>
          </w:rPr>
          <w:t>www.edf-feph.org/newsroom/news/our-analysis-european-accessibility-act</w:t>
        </w:r>
      </w:hyperlink>
      <w:r w:rsidRPr="00524E23">
        <w:rPr>
          <w:rFonts w:cs="Arial"/>
          <w:sz w:val="24"/>
          <w:szCs w:val="24"/>
        </w:rPr>
        <w:t>&gt; accessed 28 November 2019.</w:t>
      </w:r>
    </w:p>
    <w:p w14:paraId="7E0CF55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European Disability Forum, ‘Structural Funds’</w:t>
      </w:r>
      <w:hyperlink r:id="rId43" w:history="1">
        <w:r w:rsidRPr="00524E23">
          <w:rPr>
            <w:rStyle w:val="Hyperlink"/>
            <w:rFonts w:cs="Arial"/>
            <w:sz w:val="24"/>
            <w:szCs w:val="24"/>
          </w:rPr>
          <w:t xml:space="preserve"> &lt;www.edf-feph.org/structural-funds&gt;</w:t>
        </w:r>
      </w:hyperlink>
      <w:r w:rsidRPr="00524E23">
        <w:rPr>
          <w:rFonts w:cs="Arial"/>
          <w:sz w:val="24"/>
          <w:szCs w:val="24"/>
        </w:rPr>
        <w:t xml:space="preserve"> accessed 28 November 2019.</w:t>
      </w:r>
    </w:p>
    <w:p w14:paraId="522BEF47"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European Parliament, ‘General safety of vehicles and protection of vulnerable road users’ (PE 625.192, April 2019) </w:t>
      </w:r>
      <w:hyperlink r:id="rId44" w:history="1">
        <w:r w:rsidRPr="00524E23">
          <w:rPr>
            <w:rStyle w:val="Hyperlink"/>
            <w:rFonts w:cs="Arial"/>
            <w:sz w:val="24"/>
            <w:szCs w:val="24"/>
          </w:rPr>
          <w:t>&lt;www.europarl.europa.eu/RegData/etudes/BRIE/2018/625192/EPRS_BRI(2018)625192_EN.pdf&gt;</w:t>
        </w:r>
      </w:hyperlink>
      <w:r w:rsidRPr="00524E23">
        <w:rPr>
          <w:rFonts w:cs="Arial"/>
          <w:sz w:val="24"/>
          <w:szCs w:val="24"/>
        </w:rPr>
        <w:t xml:space="preserve"> accessed 5 May 2019.</w:t>
      </w:r>
    </w:p>
    <w:p w14:paraId="7A87625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European Union Agency for Fundamental Rights and Council of Europe, </w:t>
      </w:r>
      <w:r w:rsidRPr="00524E23">
        <w:rPr>
          <w:rStyle w:val="fnbookChar"/>
          <w:rFonts w:cs="Arial"/>
          <w:sz w:val="24"/>
          <w:szCs w:val="24"/>
        </w:rPr>
        <w:t>Handbook on European non-discrimination law</w:t>
      </w:r>
      <w:r w:rsidRPr="00524E23">
        <w:rPr>
          <w:rFonts w:cs="Arial"/>
          <w:sz w:val="24"/>
          <w:szCs w:val="24"/>
        </w:rPr>
        <w:t xml:space="preserve"> (Publications Office of the European Union, February 2018).</w:t>
      </w:r>
    </w:p>
    <w:p w14:paraId="36D38A0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Ferreira N, ‘The Supreme Court in a final push to go beyond Strasbourg’ [2015] Public Law 367.</w:t>
      </w:r>
    </w:p>
    <w:p w14:paraId="6C62146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Fredman S, ‘The Public Sector Equality Duty’ (2011) 40 Industrial Law Journal 405.</w:t>
      </w:r>
    </w:p>
    <w:p w14:paraId="09B60E5D" w14:textId="77777777" w:rsidR="0019789C" w:rsidRPr="00524E23" w:rsidRDefault="0019789C" w:rsidP="006D3C26">
      <w:pPr>
        <w:pStyle w:val="fntxt"/>
        <w:spacing w:before="120" w:after="0" w:line="240" w:lineRule="auto"/>
        <w:rPr>
          <w:rFonts w:cs="Arial"/>
          <w:sz w:val="24"/>
          <w:szCs w:val="24"/>
        </w:rPr>
      </w:pPr>
      <w:r w:rsidRPr="00524E23">
        <w:rPr>
          <w:rFonts w:cs="Arial"/>
          <w:sz w:val="24"/>
          <w:szCs w:val="24"/>
        </w:rPr>
        <w:t xml:space="preserve">Fredman S, </w:t>
      </w:r>
      <w:r w:rsidRPr="00524E23">
        <w:rPr>
          <w:rStyle w:val="fnbookChar"/>
          <w:rFonts w:cs="Arial"/>
          <w:sz w:val="24"/>
          <w:szCs w:val="24"/>
        </w:rPr>
        <w:t>Discrimination Law</w:t>
      </w:r>
      <w:r w:rsidRPr="00524E23">
        <w:rPr>
          <w:rFonts w:cs="Arial"/>
          <w:sz w:val="24"/>
          <w:szCs w:val="24"/>
        </w:rPr>
        <w:t xml:space="preserve"> (2nd edn, OUP 2011).</w:t>
      </w:r>
    </w:p>
    <w:p w14:paraId="2851AFF9" w14:textId="77777777" w:rsidR="0019789C" w:rsidRPr="00524E23" w:rsidRDefault="0019789C" w:rsidP="006D3C26">
      <w:pPr>
        <w:pStyle w:val="fntxt"/>
        <w:spacing w:before="120" w:after="0" w:line="240" w:lineRule="auto"/>
        <w:ind w:left="0" w:firstLine="0"/>
        <w:rPr>
          <w:rFonts w:cs="Arial"/>
          <w:color w:val="121212"/>
          <w:sz w:val="24"/>
          <w:szCs w:val="24"/>
        </w:rPr>
      </w:pPr>
      <w:r w:rsidRPr="00524E23">
        <w:rPr>
          <w:rStyle w:val="fntxtChar"/>
          <w:rFonts w:cs="Arial"/>
          <w:sz w:val="24"/>
          <w:szCs w:val="24"/>
        </w:rPr>
        <w:t>Gayle D, ‘</w:t>
      </w:r>
      <w:r w:rsidRPr="00524E23">
        <w:rPr>
          <w:rFonts w:cs="Arial"/>
          <w:color w:val="121212"/>
          <w:sz w:val="24"/>
          <w:szCs w:val="24"/>
        </w:rPr>
        <w:t>Cyclist Charlie Alliston jailed for 18 months over death of pedestrian’ (</w:t>
      </w:r>
      <w:r w:rsidRPr="00524E23">
        <w:rPr>
          <w:rFonts w:cs="Arial"/>
          <w:i/>
          <w:iCs/>
          <w:color w:val="121212"/>
          <w:sz w:val="24"/>
          <w:szCs w:val="24"/>
        </w:rPr>
        <w:t>The Guardian</w:t>
      </w:r>
      <w:r w:rsidRPr="00524E23">
        <w:rPr>
          <w:rFonts w:cs="Arial"/>
          <w:color w:val="121212"/>
          <w:sz w:val="24"/>
          <w:szCs w:val="24"/>
        </w:rPr>
        <w:t>, 18 September 2017) &lt;</w:t>
      </w:r>
      <w:hyperlink r:id="rId45" w:history="1">
        <w:r w:rsidRPr="00524E23">
          <w:rPr>
            <w:rStyle w:val="Hyperlink"/>
            <w:rFonts w:cs="Arial"/>
            <w:sz w:val="24"/>
            <w:szCs w:val="24"/>
          </w:rPr>
          <w:t>www.theguardian.com/lifeandstyle/2017/sep/18/cyclist-charlie-alliston-jailed-for-18-months-over-death-of-pedestrian</w:t>
        </w:r>
      </w:hyperlink>
      <w:r w:rsidRPr="00524E23">
        <w:rPr>
          <w:rFonts w:cs="Arial"/>
          <w:color w:val="121212"/>
          <w:sz w:val="24"/>
          <w:szCs w:val="24"/>
        </w:rPr>
        <w:t>&gt; accessed 13 May 2020.</w:t>
      </w:r>
    </w:p>
    <w:p w14:paraId="60D8A10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Glasgow City Council, 'School Car Free Zones' &lt;</w:t>
      </w:r>
      <w:hyperlink r:id="rId46" w:history="1">
        <w:r w:rsidRPr="00524E23">
          <w:rPr>
            <w:rStyle w:val="Hyperlink"/>
            <w:rFonts w:cs="Arial"/>
            <w:sz w:val="24"/>
            <w:szCs w:val="24"/>
          </w:rPr>
          <w:t>www.glasgow.gov.uk/schoolcarfreezones</w:t>
        </w:r>
      </w:hyperlink>
      <w:r w:rsidRPr="00524E23">
        <w:rPr>
          <w:rFonts w:cs="Arial"/>
          <w:sz w:val="24"/>
          <w:szCs w:val="24"/>
        </w:rPr>
        <w:t>&gt; accessed 10 May 2020.</w:t>
      </w:r>
    </w:p>
    <w:p w14:paraId="71A72F09"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Glasgow City Council, ‘City Development Plan’ (29 March 2017) &lt;</w:t>
      </w:r>
      <w:hyperlink r:id="rId47" w:history="1">
        <w:r w:rsidRPr="00524E23">
          <w:rPr>
            <w:rStyle w:val="Hyperlink"/>
            <w:rFonts w:cs="Arial"/>
            <w:sz w:val="24"/>
            <w:szCs w:val="24"/>
          </w:rPr>
          <w:t>www.glasgow.gov.uk/cdp</w:t>
        </w:r>
      </w:hyperlink>
      <w:r w:rsidRPr="00524E23">
        <w:rPr>
          <w:rFonts w:cs="Arial"/>
          <w:sz w:val="24"/>
          <w:szCs w:val="24"/>
        </w:rPr>
        <w:t>&gt; accessed 12 May 2020.</w:t>
      </w:r>
    </w:p>
    <w:p w14:paraId="35C458C4"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lang w:val="en-US"/>
        </w:rPr>
        <w:t>Glasgow City Council, ‘Core Paths Plan’ &lt;</w:t>
      </w:r>
      <w:hyperlink r:id="rId48" w:history="1">
        <w:r w:rsidRPr="00524E23">
          <w:rPr>
            <w:rStyle w:val="Hyperlink"/>
            <w:rFonts w:cs="Arial"/>
            <w:sz w:val="24"/>
            <w:szCs w:val="24"/>
            <w:lang w:val="en-US"/>
          </w:rPr>
          <w:t>www.glasgow.gov.uk/corepaths</w:t>
        </w:r>
      </w:hyperlink>
      <w:r w:rsidRPr="00524E23">
        <w:rPr>
          <w:rFonts w:cs="Arial"/>
          <w:sz w:val="24"/>
          <w:szCs w:val="24"/>
          <w:lang w:val="en-US"/>
        </w:rPr>
        <w:t xml:space="preserve">&gt; </w:t>
      </w:r>
      <w:r w:rsidRPr="00524E23">
        <w:rPr>
          <w:rFonts w:cs="Arial"/>
          <w:sz w:val="24"/>
          <w:szCs w:val="24"/>
        </w:rPr>
        <w:t>accessed 12 May 2020.</w:t>
      </w:r>
    </w:p>
    <w:p w14:paraId="488E31A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Glasgow City Council, ‘Design Guide for New Residential Areas’ (2013) &lt;</w:t>
      </w:r>
      <w:hyperlink r:id="rId49" w:history="1">
        <w:r w:rsidRPr="00524E23">
          <w:rPr>
            <w:rStyle w:val="Hyperlink"/>
            <w:rFonts w:cs="Arial"/>
            <w:sz w:val="24"/>
            <w:szCs w:val="24"/>
          </w:rPr>
          <w:t>www.glasgow.gov.uk/CHttpHandler.ashx?id=15298&amp;p=0</w:t>
        </w:r>
      </w:hyperlink>
      <w:r w:rsidRPr="00524E23">
        <w:rPr>
          <w:rFonts w:cs="Arial"/>
          <w:sz w:val="24"/>
          <w:szCs w:val="24"/>
        </w:rPr>
        <w:t>&gt; accessed 15 January 2020.</w:t>
      </w:r>
    </w:p>
    <w:p w14:paraId="121343A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lang w:bidi="en-US"/>
        </w:rPr>
        <w:t>Glasgow City Council, ‘Equality Impact Assessment Guidance July 2019’</w:t>
      </w:r>
      <w:r w:rsidRPr="00524E23">
        <w:rPr>
          <w:rFonts w:cs="Arial"/>
          <w:sz w:val="24"/>
          <w:szCs w:val="24"/>
          <w:vertAlign w:val="superscript"/>
          <w:lang w:bidi="en-US"/>
        </w:rPr>
        <w:t xml:space="preserve"> </w:t>
      </w:r>
      <w:hyperlink r:id="rId50" w:history="1">
        <w:r w:rsidRPr="00524E23">
          <w:rPr>
            <w:rStyle w:val="Hyperlink"/>
            <w:rFonts w:cs="Arial"/>
            <w:sz w:val="24"/>
            <w:szCs w:val="24"/>
          </w:rPr>
          <w:t>&lt;www.glasgow.gov.uk/CHttpHandler.ashx?id=30586&amp;p=0</w:t>
        </w:r>
      </w:hyperlink>
      <w:r w:rsidRPr="00524E23">
        <w:rPr>
          <w:rStyle w:val="Hyperlink"/>
          <w:rFonts w:cs="Arial"/>
          <w:sz w:val="24"/>
          <w:szCs w:val="24"/>
        </w:rPr>
        <w:t>&gt;</w:t>
      </w:r>
      <w:r w:rsidRPr="00524E23">
        <w:rPr>
          <w:rFonts w:cs="Arial"/>
          <w:sz w:val="24"/>
          <w:szCs w:val="24"/>
        </w:rPr>
        <w:t xml:space="preserve"> accessed 8 April 2020.</w:t>
      </w:r>
    </w:p>
    <w:p w14:paraId="08167CA4"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lang w:bidi="en-US"/>
        </w:rPr>
        <w:lastRenderedPageBreak/>
        <w:t>Glasgow City Council, ‘Equality Impact Assessments and Screenings 2019-2020’</w:t>
      </w:r>
      <w:r w:rsidRPr="00524E23">
        <w:rPr>
          <w:rFonts w:cs="Arial"/>
          <w:sz w:val="24"/>
          <w:szCs w:val="24"/>
        </w:rPr>
        <w:t xml:space="preserve"> &lt;</w:t>
      </w:r>
      <w:hyperlink r:id="rId51" w:history="1">
        <w:r w:rsidRPr="00524E23">
          <w:rPr>
            <w:rStyle w:val="Hyperlink"/>
            <w:rFonts w:cs="Arial"/>
            <w:sz w:val="24"/>
            <w:szCs w:val="24"/>
            <w:lang w:bidi="en-US"/>
          </w:rPr>
          <w:t>www.glasgow.gov.uk/article/17533/Equality-Impact-Assessment-EqIA</w:t>
        </w:r>
      </w:hyperlink>
      <w:r w:rsidRPr="00524E23">
        <w:rPr>
          <w:rFonts w:cs="Arial"/>
          <w:sz w:val="24"/>
          <w:szCs w:val="24"/>
          <w:lang w:bidi="en-US"/>
        </w:rPr>
        <w:t xml:space="preserve">&gt; </w:t>
      </w:r>
      <w:r w:rsidRPr="00524E23">
        <w:rPr>
          <w:rFonts w:cs="Arial"/>
          <w:sz w:val="24"/>
          <w:szCs w:val="24"/>
        </w:rPr>
        <w:t>accessed 8 April 2020.</w:t>
      </w:r>
    </w:p>
    <w:p w14:paraId="61B84A6F"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Glasgow City Council, ‘Equality Outcomes 2017 to 2021’ (March 2017) </w:t>
      </w:r>
      <w:hyperlink w:history="1">
        <w:r w:rsidRPr="00524E23">
          <w:rPr>
            <w:rStyle w:val="Hyperlink"/>
            <w:rFonts w:cs="Arial"/>
            <w:sz w:val="24"/>
            <w:szCs w:val="24"/>
          </w:rPr>
          <w:t>&lt;www.glasgow.gov.uk/CHttpHandler.ashx?id=37295&amp;p=0</w:t>
        </w:r>
      </w:hyperlink>
      <w:r w:rsidRPr="00524E23">
        <w:rPr>
          <w:rFonts w:cs="Arial"/>
          <w:sz w:val="24"/>
          <w:szCs w:val="24"/>
        </w:rPr>
        <w:t>&gt; accessed 8 April 2020.</w:t>
      </w:r>
    </w:p>
    <w:p w14:paraId="760C80A1"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 xml:space="preserve">Glasgow City Council, ‘Equality Progress Report 2019: Mainstreaming Equality in Service Delivery and Progress towards Equality Outcomes 2017 to 2021’ </w:t>
      </w:r>
      <w:hyperlink r:id="rId52" w:history="1">
        <w:r w:rsidRPr="00524E23">
          <w:rPr>
            <w:rStyle w:val="Hyperlink"/>
            <w:rFonts w:cs="Arial"/>
            <w:sz w:val="24"/>
            <w:szCs w:val="24"/>
          </w:rPr>
          <w:t>https://www.glasgow.gov.uk/CHttpHandler.ashx?id=45112&amp;p=0</w:t>
        </w:r>
      </w:hyperlink>
      <w:r w:rsidRPr="00524E23">
        <w:rPr>
          <w:rFonts w:cs="Arial"/>
          <w:sz w:val="24"/>
          <w:szCs w:val="24"/>
        </w:rPr>
        <w:t xml:space="preserve"> accessed 8 April 2020</w:t>
      </w:r>
    </w:p>
    <w:p w14:paraId="58AF877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Glasgow City Council, ‘Glasgow City Centre Transport Strategy 2014-2024’ (February 2015) &lt;</w:t>
      </w:r>
      <w:hyperlink r:id="rId53" w:history="1">
        <w:r w:rsidRPr="00524E23">
          <w:rPr>
            <w:rStyle w:val="Hyperlink"/>
            <w:rFonts w:cs="Arial"/>
            <w:sz w:val="24"/>
            <w:szCs w:val="24"/>
          </w:rPr>
          <w:t>www.glasgow.gov.uk/article/18276/City-Centre-Transport-Strategy</w:t>
        </w:r>
      </w:hyperlink>
      <w:r w:rsidRPr="00524E23">
        <w:rPr>
          <w:rFonts w:cs="Arial"/>
          <w:sz w:val="24"/>
          <w:szCs w:val="24"/>
        </w:rPr>
        <w:t>&gt; accessed 15 January 2020.</w:t>
      </w:r>
    </w:p>
    <w:p w14:paraId="60EBC3B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Glasgow City Council, ‘Glasgow City Council Strategic Plan 2017 to 2022’ &lt;</w:t>
      </w:r>
      <w:hyperlink r:id="rId54" w:history="1">
        <w:r w:rsidRPr="00524E23">
          <w:rPr>
            <w:rStyle w:val="Hyperlink"/>
            <w:rFonts w:cs="Arial"/>
            <w:sz w:val="24"/>
            <w:szCs w:val="24"/>
          </w:rPr>
          <w:t>www.glasgow.gov.uk/CHttpHandler.ashx?id=40052&amp;p=0</w:t>
        </w:r>
      </w:hyperlink>
      <w:r w:rsidRPr="00524E23">
        <w:rPr>
          <w:rFonts w:cs="Arial"/>
          <w:sz w:val="24"/>
          <w:szCs w:val="24"/>
        </w:rPr>
        <w:t>&gt; accessed 15 January 2020.</w:t>
      </w:r>
    </w:p>
    <w:p w14:paraId="4FBFBF6F"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Glasgow City Council, ‘Glasgow Open Space Strategy Consultative Draft (October 2018) </w:t>
      </w:r>
      <w:hyperlink r:id="rId55" w:history="1">
        <w:r w:rsidRPr="00524E23">
          <w:rPr>
            <w:rStyle w:val="Hyperlink"/>
            <w:rFonts w:cs="Arial"/>
            <w:sz w:val="24"/>
            <w:szCs w:val="24"/>
          </w:rPr>
          <w:t>&lt;www.glasgow.gov.uk/CHttpHandler.ashx?id=42948&amp;p=0&gt;</w:t>
        </w:r>
      </w:hyperlink>
      <w:r w:rsidRPr="00524E23">
        <w:rPr>
          <w:rFonts w:cs="Arial"/>
          <w:sz w:val="24"/>
          <w:szCs w:val="24"/>
        </w:rPr>
        <w:t xml:space="preserve"> accessed 15 January 2020.</w:t>
      </w:r>
    </w:p>
    <w:p w14:paraId="0A1FE683"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 xml:space="preserve">Glasgow City Council, ‘Glasgow's new road safety campaign targets pedestrians’ </w:t>
      </w:r>
      <w:r w:rsidRPr="00524E23">
        <w:rPr>
          <w:rFonts w:cs="Arial"/>
          <w:sz w:val="24"/>
          <w:szCs w:val="24"/>
          <w:lang w:val="en-US"/>
        </w:rPr>
        <w:t>&lt;</w:t>
      </w:r>
      <w:hyperlink r:id="rId56" w:history="1">
        <w:r w:rsidRPr="00524E23">
          <w:rPr>
            <w:rStyle w:val="Hyperlink"/>
            <w:rFonts w:cs="Arial"/>
            <w:sz w:val="24"/>
            <w:szCs w:val="24"/>
            <w:lang w:val="en-US"/>
          </w:rPr>
          <w:t>www.glasgow.gov.uk/article/19099/Glasgows-new-road-safety-campaign-targets-pedestrians</w:t>
        </w:r>
      </w:hyperlink>
      <w:r w:rsidRPr="00524E23">
        <w:rPr>
          <w:rFonts w:cs="Arial"/>
          <w:sz w:val="24"/>
          <w:szCs w:val="24"/>
          <w:lang w:val="en-US"/>
        </w:rPr>
        <w:t xml:space="preserve">&gt; </w:t>
      </w:r>
      <w:r w:rsidRPr="00524E23">
        <w:rPr>
          <w:rFonts w:cs="Arial"/>
          <w:sz w:val="24"/>
          <w:szCs w:val="24"/>
        </w:rPr>
        <w:t>accessed 12 May 2020</w:t>
      </w:r>
      <w:r w:rsidRPr="00524E23">
        <w:rPr>
          <w:rFonts w:cs="Arial"/>
          <w:sz w:val="24"/>
          <w:szCs w:val="24"/>
          <w:lang w:val="en-US"/>
        </w:rPr>
        <w:t>.</w:t>
      </w:r>
    </w:p>
    <w:p w14:paraId="04DAD342"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 xml:space="preserve">Glasgow City Council, ‘Traffic and Road Safety Plan 2020’ </w:t>
      </w:r>
      <w:hyperlink w:history="1">
        <w:r w:rsidRPr="00524E23">
          <w:rPr>
            <w:rStyle w:val="Hyperlink"/>
            <w:rFonts w:cs="Arial"/>
            <w:sz w:val="24"/>
            <w:szCs w:val="24"/>
          </w:rPr>
          <w:t>&lt;www.glasgow.gov.uk/CHttpHandler.ashx?id=38514&amp;p=0</w:t>
        </w:r>
      </w:hyperlink>
      <w:r w:rsidRPr="00524E23">
        <w:rPr>
          <w:rFonts w:cs="Arial"/>
          <w:sz w:val="24"/>
          <w:szCs w:val="24"/>
        </w:rPr>
        <w:t>&gt; accessed 12 May 2020.</w:t>
      </w:r>
    </w:p>
    <w:p w14:paraId="59E75022"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Go Safe Glasgow, ‘About Us’ &lt;</w:t>
      </w:r>
      <w:hyperlink r:id="rId57" w:history="1">
        <w:r w:rsidRPr="00524E23">
          <w:rPr>
            <w:rStyle w:val="Hyperlink"/>
            <w:rFonts w:cs="Arial"/>
            <w:sz w:val="24"/>
            <w:szCs w:val="24"/>
          </w:rPr>
          <w:t>www.gosafeglasgow.com/about-us</w:t>
        </w:r>
      </w:hyperlink>
      <w:r w:rsidRPr="00524E23">
        <w:rPr>
          <w:rFonts w:cs="Arial"/>
          <w:sz w:val="24"/>
          <w:szCs w:val="24"/>
        </w:rPr>
        <w:t>&gt; accessed 12 May 2020.</w:t>
      </w:r>
    </w:p>
    <w:p w14:paraId="19FA1B4B"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Go Safe Glasgow, ‘Pedestrians’ &lt;</w:t>
      </w:r>
      <w:hyperlink r:id="rId58" w:history="1">
        <w:r w:rsidRPr="00524E23">
          <w:rPr>
            <w:rStyle w:val="Hyperlink"/>
            <w:rFonts w:cs="Arial"/>
            <w:sz w:val="24"/>
            <w:szCs w:val="24"/>
          </w:rPr>
          <w:t>www.gosafeglasgow.com/drive-safe/pedestrians</w:t>
        </w:r>
      </w:hyperlink>
      <w:r w:rsidRPr="00524E23">
        <w:rPr>
          <w:rFonts w:cs="Arial"/>
          <w:sz w:val="24"/>
          <w:szCs w:val="24"/>
        </w:rPr>
        <w:t>&gt; accessed 12 May 2020.</w:t>
      </w:r>
    </w:p>
    <w:p w14:paraId="2AF5D826"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Go Safe Glasgow, ‘See Our Seniors’ &lt;</w:t>
      </w:r>
      <w:hyperlink r:id="rId59" w:history="1">
        <w:r w:rsidRPr="00524E23">
          <w:rPr>
            <w:rStyle w:val="Hyperlink"/>
            <w:rFonts w:cs="Arial"/>
            <w:sz w:val="24"/>
            <w:szCs w:val="24"/>
          </w:rPr>
          <w:t>www.gosafeglasgow.com/our-work/see-our-seniors</w:t>
        </w:r>
      </w:hyperlink>
      <w:r w:rsidRPr="00524E23">
        <w:rPr>
          <w:rFonts w:cs="Arial"/>
          <w:sz w:val="24"/>
          <w:szCs w:val="24"/>
        </w:rPr>
        <w:t>&gt; accessed 12 May 2020</w:t>
      </w:r>
      <w:r w:rsidRPr="00524E23">
        <w:rPr>
          <w:rFonts w:cs="Arial"/>
          <w:sz w:val="24"/>
          <w:szCs w:val="24"/>
          <w:lang w:val="en-US"/>
        </w:rPr>
        <w:t>.</w:t>
      </w:r>
    </w:p>
    <w:p w14:paraId="347203B8"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Government Actuary's Department, ‘Ogden tables: actuarial compensation tables for injury and death’ (published 10 October 2011, last updated 23 July 2019) </w:t>
      </w:r>
      <w:hyperlink r:id="rId60" w:history="1">
        <w:r w:rsidRPr="00524E23">
          <w:rPr>
            <w:rStyle w:val="Hyperlink"/>
            <w:rFonts w:cs="Arial"/>
            <w:sz w:val="24"/>
            <w:szCs w:val="24"/>
          </w:rPr>
          <w:t>&lt;www.gov.uk/government/publications/ogden-tables-actuarial-compensation-tables-for-injury-and-death&gt;</w:t>
        </w:r>
      </w:hyperlink>
      <w:r w:rsidRPr="00524E23">
        <w:rPr>
          <w:rStyle w:val="Hyperlink"/>
          <w:rFonts w:cs="Arial"/>
          <w:sz w:val="24"/>
          <w:szCs w:val="24"/>
        </w:rPr>
        <w:t xml:space="preserve"> </w:t>
      </w:r>
      <w:r w:rsidRPr="00524E23">
        <w:rPr>
          <w:rFonts w:cs="Arial"/>
          <w:sz w:val="24"/>
          <w:szCs w:val="24"/>
        </w:rPr>
        <w:t>accessed 15 December 2019.</w:t>
      </w:r>
    </w:p>
    <w:p w14:paraId="1505827D"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Government Actuary’s Department, ‘Actuarial Tables for use in Personal Injury and Fatal Accident Cases’ (7th edn, 2011).</w:t>
      </w:r>
    </w:p>
    <w:p w14:paraId="0F6BA452"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Government Office for Science, ‘Foresight Report: Future of an Ageing Population’ (7 July 2016, last updated 11 July 2019) </w:t>
      </w:r>
      <w:r w:rsidRPr="00524E23">
        <w:rPr>
          <w:rStyle w:val="Hyperlink"/>
          <w:rFonts w:cs="Arial"/>
          <w:sz w:val="24"/>
          <w:szCs w:val="24"/>
        </w:rPr>
        <w:t>&lt;</w:t>
      </w:r>
      <w:hyperlink r:id="rId61" w:history="1">
        <w:r w:rsidRPr="00524E23">
          <w:rPr>
            <w:rStyle w:val="Hyperlink"/>
            <w:rFonts w:cs="Arial"/>
            <w:sz w:val="24"/>
            <w:szCs w:val="24"/>
          </w:rPr>
          <w:t>www.gov.uk/government/publications/future-of-an-ageing-population</w:t>
        </w:r>
      </w:hyperlink>
      <w:r w:rsidRPr="00524E23">
        <w:rPr>
          <w:rStyle w:val="Hyperlink"/>
          <w:rFonts w:cs="Arial"/>
          <w:sz w:val="24"/>
          <w:szCs w:val="24"/>
        </w:rPr>
        <w:t>&gt;</w:t>
      </w:r>
      <w:r w:rsidRPr="00524E23">
        <w:rPr>
          <w:rFonts w:cs="Arial"/>
          <w:sz w:val="24"/>
          <w:szCs w:val="24"/>
        </w:rPr>
        <w:t xml:space="preserve"> accessed 12 April 2020.</w:t>
      </w:r>
    </w:p>
    <w:p w14:paraId="2F8B8607"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Government Office for Science, ‘Future of an Ageing – Collection’ (last updated 22 June 2017) </w:t>
      </w:r>
      <w:r w:rsidRPr="00524E23">
        <w:rPr>
          <w:rStyle w:val="Hyperlink"/>
          <w:rFonts w:cs="Arial"/>
          <w:sz w:val="24"/>
          <w:szCs w:val="24"/>
        </w:rPr>
        <w:t>&lt;</w:t>
      </w:r>
      <w:hyperlink r:id="rId62" w:history="1">
        <w:r w:rsidRPr="00524E23">
          <w:rPr>
            <w:rStyle w:val="Hyperlink"/>
            <w:rFonts w:cs="Arial"/>
            <w:sz w:val="24"/>
            <w:szCs w:val="24"/>
          </w:rPr>
          <w:t>http://www.gov.uk/government/collections/future-of-ageing</w:t>
        </w:r>
      </w:hyperlink>
      <w:r w:rsidRPr="00524E23">
        <w:rPr>
          <w:rStyle w:val="Hyperlink"/>
          <w:rFonts w:cs="Arial"/>
          <w:sz w:val="24"/>
          <w:szCs w:val="24"/>
        </w:rPr>
        <w:t>&gt;</w:t>
      </w:r>
      <w:r w:rsidRPr="00524E23">
        <w:rPr>
          <w:rFonts w:cs="Arial"/>
          <w:sz w:val="24"/>
          <w:szCs w:val="24"/>
        </w:rPr>
        <w:t xml:space="preserve"> accessed 12 April 2020.</w:t>
      </w:r>
    </w:p>
    <w:p w14:paraId="16A182C7" w14:textId="77777777" w:rsidR="0019789C" w:rsidRPr="00524E23" w:rsidRDefault="0019789C" w:rsidP="006D3C26">
      <w:pPr>
        <w:pStyle w:val="fntxt"/>
        <w:spacing w:before="120" w:after="0" w:line="240" w:lineRule="auto"/>
        <w:ind w:left="0" w:firstLine="0"/>
        <w:rPr>
          <w:rFonts w:cs="Arial"/>
          <w:sz w:val="24"/>
          <w:szCs w:val="24"/>
          <w:lang w:eastAsia="en-US"/>
        </w:rPr>
      </w:pPr>
      <w:r w:rsidRPr="00524E23">
        <w:rPr>
          <w:rFonts w:cs="Arial"/>
          <w:sz w:val="24"/>
          <w:szCs w:val="24"/>
        </w:rPr>
        <w:t>Hambleton M, ‘</w:t>
      </w:r>
      <w:r w:rsidRPr="00524E23">
        <w:rPr>
          <w:rFonts w:eastAsia="Times New Roman" w:cs="Arial"/>
          <w:sz w:val="24"/>
          <w:szCs w:val="24"/>
          <w:lang w:val="en-US" w:eastAsia="en-US"/>
        </w:rPr>
        <w:t>Cycling and the Law: why a cyclist being successfully sued for colliding with a pedestrian is actually good for cyclists’ (25 July 2019) &lt;</w:t>
      </w:r>
      <w:hyperlink r:id="rId63" w:history="1">
        <w:r w:rsidRPr="00524E23">
          <w:rPr>
            <w:rStyle w:val="Hyperlink"/>
            <w:rFonts w:cs="Arial"/>
            <w:sz w:val="24"/>
            <w:szCs w:val="24"/>
          </w:rPr>
          <w:t>https://road.cc/content/blog/264304-cycling-and-law-why-cyclist-being-successfully-sued-colliding-pedestrian</w:t>
        </w:r>
      </w:hyperlink>
      <w:r w:rsidRPr="00524E23">
        <w:rPr>
          <w:rFonts w:cs="Arial"/>
          <w:sz w:val="24"/>
          <w:szCs w:val="24"/>
        </w:rPr>
        <w:t>&gt; accessed 18 May 2020.</w:t>
      </w:r>
    </w:p>
    <w:p w14:paraId="4D22C3A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Harris D, ‘The Collective Complaints Procedure’ in Council of Europe (ed), </w:t>
      </w:r>
      <w:r w:rsidRPr="00524E23">
        <w:rPr>
          <w:rStyle w:val="fnbookChar"/>
          <w:rFonts w:cs="Arial"/>
          <w:sz w:val="24"/>
          <w:szCs w:val="24"/>
        </w:rPr>
        <w:t>The Social Charter of the 21st Century</w:t>
      </w:r>
      <w:r w:rsidRPr="00524E23">
        <w:rPr>
          <w:rFonts w:cs="Arial"/>
          <w:sz w:val="24"/>
          <w:szCs w:val="24"/>
        </w:rPr>
        <w:t xml:space="preserve"> (Council of Europe Publishing 1997). </w:t>
      </w:r>
    </w:p>
    <w:p w14:paraId="49B9338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HC Deb 17 June 1998, vol 314, col 433.</w:t>
      </w:r>
    </w:p>
    <w:p w14:paraId="60FA11DD"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lastRenderedPageBreak/>
        <w:t>Hepple B, ‘The New Single Equality Act in Britain’ (2010) 5 Equal Rights Review 11.</w:t>
      </w:r>
    </w:p>
    <w:p w14:paraId="748C2CFD"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Highways Reporter, ‘Test case on risk-based approach to go to appeal’ (1 June 2017) </w:t>
      </w:r>
      <w:hyperlink r:id="rId64" w:history="1">
        <w:r w:rsidRPr="00524E23">
          <w:rPr>
            <w:rStyle w:val="Hyperlink"/>
            <w:rFonts w:cs="Arial"/>
            <w:sz w:val="24"/>
            <w:szCs w:val="24"/>
          </w:rPr>
          <w:t>&lt;www.highwaysmagazine.co.uk/article/detail/3454&gt;</w:t>
        </w:r>
      </w:hyperlink>
      <w:r w:rsidRPr="00524E23">
        <w:rPr>
          <w:rFonts w:cs="Arial"/>
          <w:sz w:val="24"/>
          <w:szCs w:val="24"/>
        </w:rPr>
        <w:t xml:space="preserve"> accessed 12 May 2019.</w:t>
      </w:r>
    </w:p>
    <w:p w14:paraId="40A6E0B8"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Honoré T, ‘Necessary and Sufficient Conditions’ in D Owen (ed), </w:t>
      </w:r>
      <w:r w:rsidRPr="00524E23">
        <w:rPr>
          <w:rFonts w:cs="Arial"/>
          <w:i/>
          <w:sz w:val="24"/>
          <w:szCs w:val="24"/>
        </w:rPr>
        <w:t xml:space="preserve">Philosophical Foundations of of Tort Law </w:t>
      </w:r>
      <w:r w:rsidRPr="00524E23">
        <w:rPr>
          <w:rFonts w:cs="Arial"/>
          <w:sz w:val="24"/>
          <w:szCs w:val="24"/>
        </w:rPr>
        <w:t>(OUP 1995).</w:t>
      </w:r>
    </w:p>
    <w:p w14:paraId="5D07C198"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House of Commons Joint Committee on Human Rights, ‘The Meaning of Public Authority under the Human Rights Act’ (Ninth Report of Session 2006–07, HL Paper 77, March 2007).</w:t>
      </w:r>
    </w:p>
    <w:p w14:paraId="0D9ABA6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House of Commons Transport Committee, ‘Active Travel: Increasing Levels of Walking and Cycling in England’ HC 1487 (House of Commons, 23 July 2019). </w:t>
      </w:r>
    </w:p>
    <w:p w14:paraId="03ED3D7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House of Commons Transport Committee, ‘Pavement Parking’ HC 1982 (9 September 2019).</w:t>
      </w:r>
    </w:p>
    <w:p w14:paraId="3F5B9502"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House of Commons Women and Equalities Committee, ‘Building for Equality: Disability and the Built Environment’ HC 631 (House of Commons, 2017).</w:t>
      </w:r>
    </w:p>
    <w:p w14:paraId="37704FF5"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House of Commons Women and Equalities Committee, ‘Enforcing the Equality Act: the law and the role of the Equality and Human Rights Commission’ (Tenth Report of Session 2017-19).</w:t>
      </w:r>
    </w:p>
    <w:p w14:paraId="6AB848D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House of Commons Women and Equalities Committee, ‘Ensuring Strong Equalities Legislation after the EU Exit’ HC 799 (House of Commons, 2017).</w:t>
      </w:r>
    </w:p>
    <w:p w14:paraId="3AD01E7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House of Lords Select Committee on the Equality Act 2010 and Disability, ‘The Equality Act 2010: The Impact on Disabled People’ HL Paper 17 (2015-2016).</w:t>
      </w:r>
    </w:p>
    <w:p w14:paraId="5D2E002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Housing and Social Justice Directorate, ‘Fairer Scotland Action Plan’ (Scottish Government, 2016) </w:t>
      </w:r>
      <w:hyperlink r:id="rId65" w:history="1">
        <w:r w:rsidRPr="00524E23">
          <w:rPr>
            <w:rStyle w:val="Hyperlink"/>
            <w:rFonts w:cs="Arial"/>
            <w:sz w:val="24"/>
            <w:szCs w:val="24"/>
          </w:rPr>
          <w:t>&lt;www.gov.scot/publications/fairer-scotland-action-plan/</w:t>
        </w:r>
      </w:hyperlink>
      <w:r w:rsidRPr="00524E23">
        <w:rPr>
          <w:rStyle w:val="Hyperlink"/>
          <w:rFonts w:cs="Arial"/>
          <w:sz w:val="24"/>
          <w:szCs w:val="24"/>
        </w:rPr>
        <w:t>&gt;</w:t>
      </w:r>
      <w:r w:rsidRPr="00524E23">
        <w:rPr>
          <w:rFonts w:cs="Arial"/>
          <w:sz w:val="24"/>
          <w:szCs w:val="24"/>
        </w:rPr>
        <w:t xml:space="preserve"> accessed 16 April 2020.</w:t>
      </w:r>
    </w:p>
    <w:p w14:paraId="48C84C67"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Institute of Highway Engineers (IHE), ‘Well Managed Highway Liability Risk’ (2017).</w:t>
      </w:r>
    </w:p>
    <w:p w14:paraId="4727F7C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Jackson R Sir, ‘Review of Civil Litigation Costs: Final Report’ (December 2009).</w:t>
      </w:r>
    </w:p>
    <w:p w14:paraId="6358E6B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Jones M and others, ‘Accessible Public Realm: Updating Guidance and Further Research’ (Department for Transport, 25 February 2020).</w:t>
      </w:r>
    </w:p>
    <w:p w14:paraId="649772B0"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lang w:val="en-US"/>
        </w:rPr>
        <w:t xml:space="preserve">Judicial College, </w:t>
      </w:r>
      <w:r w:rsidRPr="00524E23">
        <w:rPr>
          <w:rStyle w:val="fnbookChar"/>
          <w:rFonts w:cs="Arial"/>
          <w:sz w:val="24"/>
          <w:szCs w:val="24"/>
        </w:rPr>
        <w:t>Guidelines for the Assessment of General Damages in Personal Injury Cases</w:t>
      </w:r>
      <w:r w:rsidRPr="00524E23">
        <w:rPr>
          <w:rFonts w:cs="Arial"/>
          <w:sz w:val="24"/>
          <w:szCs w:val="24"/>
        </w:rPr>
        <w:t xml:space="preserve"> (15</w:t>
      </w:r>
      <w:r w:rsidRPr="00524E23">
        <w:rPr>
          <w:rFonts w:cs="Arial"/>
          <w:sz w:val="24"/>
          <w:szCs w:val="24"/>
          <w:vertAlign w:val="superscript"/>
        </w:rPr>
        <w:t>th</w:t>
      </w:r>
      <w:r w:rsidRPr="00524E23">
        <w:rPr>
          <w:rFonts w:cs="Arial"/>
          <w:sz w:val="24"/>
          <w:szCs w:val="24"/>
        </w:rPr>
        <w:t xml:space="preserve"> edn, OUP 2020).</w:t>
      </w:r>
    </w:p>
    <w:p w14:paraId="2117A7F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Law Commission, ‘Damages for Personal Injury: Non-Pecuniary Loss’ (Consultation Paper No 140, 1995).</w:t>
      </w:r>
    </w:p>
    <w:p w14:paraId="2393D3B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Law Commission, ‘Simplification of Criminal Law: Public Nuisance and Outraging Public Decency Law’ (Com No 358, July 2015) </w:t>
      </w:r>
    </w:p>
    <w:p w14:paraId="792E38FE"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Lawson A and Casserley C, ‘First Group v Paulley: Towards Accessible and Inclusive Public Transport?’ Oxford Human Rights Hub Blog (3 March 2017) </w:t>
      </w:r>
      <w:hyperlink r:id="rId66" w:history="1">
        <w:r w:rsidRPr="00524E23">
          <w:rPr>
            <w:rStyle w:val="Hyperlink"/>
            <w:rFonts w:cs="Arial"/>
            <w:sz w:val="24"/>
            <w:szCs w:val="24"/>
          </w:rPr>
          <w:t>&lt;http://ohrh.law.ox.ac.uk/first-group-v-paulley-towards-accessible-and-inclusive-public-transport&gt;</w:t>
        </w:r>
      </w:hyperlink>
      <w:r w:rsidRPr="00524E23">
        <w:rPr>
          <w:rFonts w:cs="Arial"/>
          <w:sz w:val="24"/>
          <w:szCs w:val="24"/>
        </w:rPr>
        <w:t xml:space="preserve"> accessed 15 January 2020.</w:t>
      </w:r>
    </w:p>
    <w:p w14:paraId="7D4D71D7"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Lawson A and Series L, ‘The United Kingdom’ in L Waddington and A Lawson (eds), </w:t>
      </w:r>
      <w:r w:rsidRPr="00524E23">
        <w:rPr>
          <w:rStyle w:val="fnbookChar"/>
          <w:rFonts w:cs="Arial"/>
          <w:sz w:val="24"/>
          <w:szCs w:val="24"/>
        </w:rPr>
        <w:t>The UN Convention on the Rights of Persons with Disabilities: A Comparative Analysis of the Role of Courts</w:t>
      </w:r>
      <w:r w:rsidRPr="00524E23">
        <w:rPr>
          <w:rFonts w:cs="Arial"/>
          <w:sz w:val="24"/>
          <w:szCs w:val="24"/>
        </w:rPr>
        <w:t xml:space="preserve"> (OUP 2018).</w:t>
      </w:r>
    </w:p>
    <w:p w14:paraId="1F1531D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Lawson A, ‘Reasonable Accommodation and Accessibility Obligations: Towards a More Unified European Approach’ (2010) 11 European Anti-Discrimination Law Review</w:t>
      </w:r>
      <w:r w:rsidRPr="00524E23">
        <w:rPr>
          <w:rStyle w:val="fnbookChar"/>
          <w:rFonts w:cs="Arial"/>
          <w:sz w:val="24"/>
          <w:szCs w:val="24"/>
        </w:rPr>
        <w:t xml:space="preserve"> </w:t>
      </w:r>
      <w:r w:rsidRPr="00524E23">
        <w:rPr>
          <w:rFonts w:cs="Arial"/>
          <w:sz w:val="24"/>
          <w:szCs w:val="24"/>
        </w:rPr>
        <w:t>11.</w:t>
      </w:r>
    </w:p>
    <w:p w14:paraId="0B255B1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lastRenderedPageBreak/>
        <w:t xml:space="preserve">Lawson A, ‘The UN Convention on the Rights of Persons with Disabilities and European Disability Law: A Catalyst for Cohesion?’ in O M Arnardóttir and G Quinn (eds), </w:t>
      </w:r>
      <w:r w:rsidRPr="00524E23">
        <w:rPr>
          <w:rStyle w:val="fnbookChar"/>
          <w:rFonts w:cs="Arial"/>
          <w:sz w:val="24"/>
          <w:szCs w:val="24"/>
        </w:rPr>
        <w:t>The UN Convention on the Rights of Persons with Disabilities: European and Scandinavian Perspectives</w:t>
      </w:r>
      <w:r w:rsidRPr="00524E23">
        <w:rPr>
          <w:rFonts w:cs="Arial"/>
          <w:sz w:val="24"/>
          <w:szCs w:val="24"/>
        </w:rPr>
        <w:t xml:space="preserve"> (Martinus Nijhoff 2019).</w:t>
      </w:r>
    </w:p>
    <w:p w14:paraId="33239F3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Lawson A, </w:t>
      </w:r>
      <w:r w:rsidRPr="00524E23">
        <w:rPr>
          <w:rStyle w:val="fnbookChar"/>
          <w:rFonts w:cs="Arial"/>
          <w:sz w:val="24"/>
          <w:szCs w:val="24"/>
        </w:rPr>
        <w:t>Disability and Equality Law in Britain: The Role of Reasonable Adjustments</w:t>
      </w:r>
      <w:r w:rsidRPr="00524E23">
        <w:rPr>
          <w:rFonts w:cs="Arial"/>
          <w:sz w:val="24"/>
          <w:szCs w:val="24"/>
        </w:rPr>
        <w:t xml:space="preserve"> (Hart Publishing 2008).</w:t>
      </w:r>
    </w:p>
    <w:p w14:paraId="789F4350"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Leeds City Council, ‘Access and Inclusion Policy’ &lt;</w:t>
      </w:r>
      <w:hyperlink r:id="rId67" w:history="1">
        <w:r w:rsidRPr="00524E23">
          <w:rPr>
            <w:rStyle w:val="Hyperlink"/>
            <w:rFonts w:cs="Arial"/>
            <w:sz w:val="24"/>
            <w:szCs w:val="24"/>
          </w:rPr>
          <w:t>www.leeds.gov.uk/docs/Access%20and%20Inclusion%20Policy%20V2.pdf</w:t>
        </w:r>
      </w:hyperlink>
      <w:r w:rsidRPr="00524E23">
        <w:rPr>
          <w:rFonts w:cs="Arial"/>
          <w:sz w:val="24"/>
          <w:szCs w:val="24"/>
        </w:rPr>
        <w:t>&gt;</w:t>
      </w:r>
      <w:r w:rsidRPr="00524E23">
        <w:rPr>
          <w:rStyle w:val="Hyperlink"/>
          <w:rFonts w:cs="Arial"/>
          <w:sz w:val="24"/>
          <w:szCs w:val="24"/>
        </w:rPr>
        <w:t xml:space="preserve"> </w:t>
      </w:r>
      <w:r w:rsidRPr="00524E23">
        <w:rPr>
          <w:rFonts w:cs="Arial"/>
          <w:sz w:val="24"/>
          <w:szCs w:val="24"/>
        </w:rPr>
        <w:t>accessed 22 April 2020.</w:t>
      </w:r>
    </w:p>
    <w:p w14:paraId="10E6417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Leeds City Council, ‘</w:t>
      </w:r>
      <w:r w:rsidRPr="00524E23">
        <w:rPr>
          <w:rFonts w:eastAsia="Times New Roman" w:cs="Arial"/>
          <w:sz w:val="24"/>
          <w:szCs w:val="24"/>
          <w:lang w:eastAsia="en-GB"/>
        </w:rPr>
        <w:t>Accessible Leeds, Supplementary Planning Document: Leeds Local Development Framework Development Plan Document’ (November 2016)</w:t>
      </w:r>
      <w:r w:rsidRPr="00524E23">
        <w:rPr>
          <w:rFonts w:cs="Arial"/>
          <w:sz w:val="24"/>
          <w:szCs w:val="24"/>
        </w:rPr>
        <w:t xml:space="preserve"> </w:t>
      </w:r>
      <w:r w:rsidRPr="00524E23">
        <w:rPr>
          <w:rStyle w:val="Hyperlink"/>
          <w:rFonts w:cs="Arial"/>
          <w:sz w:val="24"/>
          <w:szCs w:val="24"/>
        </w:rPr>
        <w:t>&lt;</w:t>
      </w:r>
      <w:hyperlink r:id="rId68" w:history="1">
        <w:r w:rsidRPr="00524E23">
          <w:rPr>
            <w:rStyle w:val="Hyperlink"/>
            <w:rFonts w:cs="Arial"/>
            <w:sz w:val="24"/>
            <w:szCs w:val="24"/>
          </w:rPr>
          <w:t>www.leeds.gov.uk/docs/Accessible%20Leeds%20SPD.pdf</w:t>
        </w:r>
      </w:hyperlink>
      <w:r w:rsidRPr="00524E23">
        <w:rPr>
          <w:rStyle w:val="Hyperlink"/>
          <w:rFonts w:cs="Arial"/>
          <w:sz w:val="24"/>
          <w:szCs w:val="24"/>
        </w:rPr>
        <w:t>&gt;</w:t>
      </w:r>
      <w:r w:rsidRPr="00524E23">
        <w:rPr>
          <w:rStyle w:val="Hyperlink"/>
          <w:rFonts w:cs="Arial"/>
          <w:color w:val="000000" w:themeColor="text1"/>
          <w:sz w:val="24"/>
          <w:szCs w:val="24"/>
        </w:rPr>
        <w:t xml:space="preserve"> </w:t>
      </w:r>
      <w:r w:rsidRPr="00524E23">
        <w:rPr>
          <w:rFonts w:cs="Arial"/>
          <w:bCs/>
          <w:sz w:val="24"/>
          <w:szCs w:val="24"/>
        </w:rPr>
        <w:t>accessed 24 April 2020.</w:t>
      </w:r>
    </w:p>
    <w:p w14:paraId="6C6A06D5"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Leeds City Council, ‘Adopted Local Plan’ </w:t>
      </w:r>
      <w:r w:rsidRPr="00524E23">
        <w:rPr>
          <w:rStyle w:val="Hyperlink"/>
          <w:rFonts w:cs="Arial"/>
          <w:sz w:val="24"/>
          <w:szCs w:val="24"/>
        </w:rPr>
        <w:t>&lt;</w:t>
      </w:r>
      <w:hyperlink r:id="rId69" w:history="1">
        <w:r w:rsidRPr="00524E23">
          <w:rPr>
            <w:rStyle w:val="Hyperlink"/>
            <w:rFonts w:cs="Arial"/>
            <w:sz w:val="24"/>
            <w:szCs w:val="24"/>
          </w:rPr>
          <w:t>www.leeds.gov.uk/planning/planning-policy/adopted-local-plan</w:t>
        </w:r>
      </w:hyperlink>
      <w:r w:rsidRPr="00524E23">
        <w:rPr>
          <w:rStyle w:val="Hyperlink"/>
          <w:rFonts w:cs="Arial"/>
          <w:sz w:val="24"/>
          <w:szCs w:val="24"/>
        </w:rPr>
        <w:t>&gt;</w:t>
      </w:r>
      <w:r w:rsidRPr="00524E23">
        <w:rPr>
          <w:rFonts w:cs="Arial"/>
          <w:sz w:val="24"/>
          <w:szCs w:val="24"/>
        </w:rPr>
        <w:t xml:space="preserve"> accessed 24 April 2020.</w:t>
      </w:r>
    </w:p>
    <w:p w14:paraId="3A9517B5"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lang w:val="en-US"/>
        </w:rPr>
        <w:t>Leeds City Council, ‘</w:t>
      </w:r>
      <w:r w:rsidRPr="00524E23">
        <w:rPr>
          <w:rFonts w:cs="Arial"/>
          <w:sz w:val="24"/>
          <w:szCs w:val="24"/>
        </w:rPr>
        <w:t xml:space="preserve">Adopted Supplementary Planning Documents’ </w:t>
      </w:r>
      <w:r w:rsidRPr="00524E23">
        <w:rPr>
          <w:rStyle w:val="Hyperlink"/>
          <w:rFonts w:cs="Arial"/>
          <w:sz w:val="24"/>
          <w:szCs w:val="24"/>
        </w:rPr>
        <w:t>&lt;</w:t>
      </w:r>
      <w:hyperlink r:id="rId70" w:history="1">
        <w:r w:rsidRPr="00524E23">
          <w:rPr>
            <w:rStyle w:val="Hyperlink"/>
            <w:rFonts w:cs="Arial"/>
            <w:sz w:val="24"/>
            <w:szCs w:val="24"/>
          </w:rPr>
          <w:t>www.leeds.gov.uk/planning/planning-policy/supplementary-planning-documents-and-guidance/adopted-supplementary-planning-documents</w:t>
        </w:r>
      </w:hyperlink>
      <w:r w:rsidRPr="00524E23">
        <w:rPr>
          <w:rStyle w:val="Hyperlink"/>
          <w:rFonts w:cs="Arial"/>
          <w:sz w:val="24"/>
          <w:szCs w:val="24"/>
        </w:rPr>
        <w:t>&gt;</w:t>
      </w:r>
      <w:r w:rsidRPr="00524E23">
        <w:rPr>
          <w:rStyle w:val="Hyperlink"/>
          <w:rFonts w:cs="Arial"/>
          <w:color w:val="000000" w:themeColor="text1"/>
          <w:sz w:val="24"/>
          <w:szCs w:val="24"/>
        </w:rPr>
        <w:t xml:space="preserve"> </w:t>
      </w:r>
      <w:r w:rsidRPr="00524E23">
        <w:rPr>
          <w:rFonts w:cs="Arial"/>
          <w:bCs/>
          <w:sz w:val="24"/>
          <w:szCs w:val="24"/>
        </w:rPr>
        <w:t>accessed 24 April 2020</w:t>
      </w:r>
      <w:r w:rsidRPr="00524E23">
        <w:rPr>
          <w:rFonts w:cs="Arial"/>
          <w:sz w:val="24"/>
          <w:szCs w:val="24"/>
          <w:lang w:val="en-US"/>
        </w:rPr>
        <w:t>.</w:t>
      </w:r>
    </w:p>
    <w:p w14:paraId="04BB5E30" w14:textId="77777777" w:rsidR="0019789C" w:rsidRPr="00524E23" w:rsidRDefault="0019789C" w:rsidP="006D3C26">
      <w:pPr>
        <w:pStyle w:val="fntxt"/>
        <w:spacing w:before="120" w:after="0" w:line="240" w:lineRule="auto"/>
        <w:ind w:left="0" w:firstLine="0"/>
        <w:rPr>
          <w:rFonts w:cs="Arial"/>
          <w:color w:val="263238"/>
          <w:sz w:val="24"/>
          <w:szCs w:val="24"/>
        </w:rPr>
      </w:pPr>
      <w:r w:rsidRPr="00524E23">
        <w:rPr>
          <w:rStyle w:val="FootnoteTextChar"/>
          <w:rFonts w:cs="Arial"/>
          <w:sz w:val="24"/>
          <w:szCs w:val="24"/>
        </w:rPr>
        <w:t xml:space="preserve">Leeds City Council, ‘Age Friendly Leeds - Strategy and action plan 2019 – 2022’ (2018) </w:t>
      </w:r>
      <w:r w:rsidRPr="00524E23">
        <w:rPr>
          <w:rStyle w:val="Hyperlink"/>
          <w:rFonts w:cs="Arial"/>
          <w:sz w:val="24"/>
          <w:szCs w:val="24"/>
        </w:rPr>
        <w:t>&lt;</w:t>
      </w:r>
      <w:hyperlink r:id="rId71" w:history="1">
        <w:r w:rsidRPr="00524E23">
          <w:rPr>
            <w:rStyle w:val="Hyperlink"/>
            <w:rFonts w:cs="Arial"/>
            <w:sz w:val="24"/>
            <w:szCs w:val="24"/>
          </w:rPr>
          <w:t>https://extranet.who.int/agefriendlyworld/wp-content/uploads/2019/05/AgeFriendlyLeeds-strategy-and-action-plan-2019-2022.pdf</w:t>
        </w:r>
      </w:hyperlink>
      <w:r w:rsidRPr="00524E23">
        <w:rPr>
          <w:rStyle w:val="Hyperlink"/>
          <w:rFonts w:cs="Arial"/>
          <w:sz w:val="24"/>
          <w:szCs w:val="24"/>
        </w:rPr>
        <w:t>&gt;</w:t>
      </w:r>
      <w:r w:rsidRPr="00524E23">
        <w:rPr>
          <w:rFonts w:cs="Arial"/>
          <w:sz w:val="24"/>
          <w:szCs w:val="24"/>
        </w:rPr>
        <w:t xml:space="preserve"> accessed 22 April 2020.</w:t>
      </w:r>
    </w:p>
    <w:p w14:paraId="23190C57"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lang w:val="en-US"/>
        </w:rPr>
        <w:t xml:space="preserve">Leeds City Council, ‘Best Council Plan </w:t>
      </w:r>
      <w:r w:rsidRPr="00524E23">
        <w:rPr>
          <w:rFonts w:eastAsia="Times New Roman" w:cs="Arial"/>
          <w:sz w:val="24"/>
          <w:szCs w:val="24"/>
          <w:lang w:val="en-US" w:eastAsia="en-US"/>
        </w:rPr>
        <w:t xml:space="preserve">2019/20 – 2020/21 - </w:t>
      </w:r>
      <w:r w:rsidRPr="00524E23">
        <w:rPr>
          <w:rFonts w:cs="Arial"/>
          <w:sz w:val="24"/>
          <w:szCs w:val="24"/>
        </w:rPr>
        <w:t xml:space="preserve">Tackling poverty and reducing inequalities’ (February 2019) </w:t>
      </w:r>
      <w:r w:rsidRPr="00524E23">
        <w:rPr>
          <w:rStyle w:val="Hyperlink"/>
          <w:rFonts w:cs="Arial"/>
          <w:sz w:val="24"/>
          <w:szCs w:val="24"/>
        </w:rPr>
        <w:t>&lt;</w:t>
      </w:r>
      <w:hyperlink r:id="rId72" w:history="1">
        <w:r w:rsidRPr="00524E23">
          <w:rPr>
            <w:rStyle w:val="Hyperlink"/>
            <w:rFonts w:cs="Arial"/>
            <w:sz w:val="24"/>
            <w:szCs w:val="24"/>
          </w:rPr>
          <w:t>www.leeds.gov.uk/docs/Best%20council%20plan%20-%20in%20full.pdf</w:t>
        </w:r>
      </w:hyperlink>
      <w:r w:rsidRPr="00524E23">
        <w:rPr>
          <w:rStyle w:val="Hyperlink"/>
          <w:rFonts w:cs="Arial"/>
          <w:sz w:val="24"/>
          <w:szCs w:val="24"/>
        </w:rPr>
        <w:t xml:space="preserve">&gt; </w:t>
      </w:r>
      <w:r w:rsidRPr="00524E23">
        <w:rPr>
          <w:rFonts w:cs="Arial"/>
          <w:sz w:val="24"/>
          <w:szCs w:val="24"/>
        </w:rPr>
        <w:t>accessed 5 April 2020.</w:t>
      </w:r>
    </w:p>
    <w:p w14:paraId="12FB223A"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lang w:val="en-US"/>
        </w:rPr>
        <w:t xml:space="preserve">Leeds City Council, ‘Best Council Plan’ </w:t>
      </w:r>
      <w:r w:rsidRPr="00524E23">
        <w:rPr>
          <w:rStyle w:val="Hyperlink"/>
          <w:rFonts w:cs="Arial"/>
          <w:sz w:val="24"/>
          <w:szCs w:val="24"/>
        </w:rPr>
        <w:t>&lt;</w:t>
      </w:r>
      <w:hyperlink r:id="rId73" w:history="1">
        <w:r w:rsidRPr="00524E23">
          <w:rPr>
            <w:rStyle w:val="Hyperlink"/>
            <w:rFonts w:cs="Arial"/>
            <w:sz w:val="24"/>
            <w:szCs w:val="24"/>
            <w:lang w:val="en-US"/>
          </w:rPr>
          <w:t>www.leeds.gov.uk/your-council/plans-and-strategies/council-plans</w:t>
        </w:r>
      </w:hyperlink>
      <w:r w:rsidRPr="00524E23">
        <w:rPr>
          <w:rStyle w:val="Hyperlink"/>
          <w:rFonts w:cs="Arial"/>
          <w:sz w:val="24"/>
          <w:szCs w:val="24"/>
        </w:rPr>
        <w:t>&gt;</w:t>
      </w:r>
      <w:r w:rsidRPr="00524E23">
        <w:rPr>
          <w:rFonts w:cs="Arial"/>
          <w:sz w:val="24"/>
          <w:szCs w:val="24"/>
          <w:lang w:val="en-US"/>
        </w:rPr>
        <w:t xml:space="preserve"> accessed 5 April 2020.</w:t>
      </w:r>
    </w:p>
    <w:p w14:paraId="475CBC8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Leeds City Council, ‘Connecting Leeds’ </w:t>
      </w:r>
      <w:r w:rsidRPr="00524E23">
        <w:rPr>
          <w:rStyle w:val="Hyperlink"/>
          <w:rFonts w:cs="Arial"/>
          <w:sz w:val="24"/>
          <w:szCs w:val="24"/>
        </w:rPr>
        <w:t>&lt;</w:t>
      </w:r>
      <w:hyperlink r:id="rId74" w:history="1">
        <w:r w:rsidRPr="00524E23">
          <w:rPr>
            <w:rStyle w:val="Hyperlink"/>
            <w:rFonts w:cs="Arial"/>
            <w:sz w:val="24"/>
            <w:szCs w:val="24"/>
          </w:rPr>
          <w:t>www.leeds.gov.uk/parking-roads-and-travel/road-improvement-schemes/connecting-leeds</w:t>
        </w:r>
      </w:hyperlink>
      <w:r w:rsidRPr="00524E23">
        <w:rPr>
          <w:rStyle w:val="Hyperlink"/>
          <w:rFonts w:cs="Arial"/>
          <w:sz w:val="24"/>
          <w:szCs w:val="24"/>
        </w:rPr>
        <w:t>&gt;</w:t>
      </w:r>
      <w:r w:rsidRPr="00524E23">
        <w:rPr>
          <w:rFonts w:cs="Arial"/>
          <w:sz w:val="24"/>
          <w:szCs w:val="24"/>
        </w:rPr>
        <w:t xml:space="preserve"> accessed 19 April 2020.</w:t>
      </w:r>
    </w:p>
    <w:p w14:paraId="4BB93606" w14:textId="77777777" w:rsidR="0019789C" w:rsidRPr="00524E23" w:rsidRDefault="0019789C" w:rsidP="006D3C26">
      <w:pPr>
        <w:pStyle w:val="fntxt"/>
        <w:spacing w:before="120" w:after="0" w:line="240" w:lineRule="auto"/>
        <w:ind w:left="0" w:firstLine="0"/>
        <w:rPr>
          <w:rFonts w:eastAsia="Times New Roman" w:cs="Arial"/>
          <w:sz w:val="24"/>
          <w:szCs w:val="24"/>
          <w:lang w:val="en-US" w:eastAsia="en-GB"/>
        </w:rPr>
      </w:pPr>
      <w:r w:rsidRPr="00524E23">
        <w:rPr>
          <w:rFonts w:cs="Arial"/>
          <w:sz w:val="24"/>
          <w:szCs w:val="24"/>
        </w:rPr>
        <w:t>Leeds City Council, ‘</w:t>
      </w:r>
      <w:r w:rsidRPr="00524E23">
        <w:rPr>
          <w:rFonts w:eastAsia="Times New Roman" w:cs="Arial"/>
          <w:sz w:val="24"/>
          <w:szCs w:val="24"/>
          <w:lang w:val="en-US" w:eastAsia="en-GB"/>
        </w:rPr>
        <w:t xml:space="preserve">Designing for Community Safety: A Residential Design Guide. Leeds Local Development Framework’ (May 2007) </w:t>
      </w:r>
      <w:hyperlink r:id="rId75" w:history="1">
        <w:r w:rsidRPr="00524E23">
          <w:rPr>
            <w:rStyle w:val="Hyperlink"/>
            <w:rFonts w:eastAsia="Times New Roman" w:cs="Arial"/>
            <w:sz w:val="24"/>
            <w:szCs w:val="24"/>
            <w:lang w:val="en-US" w:eastAsia="en-GB"/>
          </w:rPr>
          <w:t>&lt;www.leeds.gov.uk/docs/FPI_DCS_001%20Community%20Safety%20SPD.pdf</w:t>
        </w:r>
      </w:hyperlink>
      <w:r w:rsidRPr="00524E23">
        <w:rPr>
          <w:rStyle w:val="Hyperlink"/>
          <w:rFonts w:eastAsia="Times New Roman" w:cs="Arial"/>
          <w:sz w:val="24"/>
          <w:szCs w:val="24"/>
          <w:lang w:val="en-US" w:eastAsia="en-GB"/>
        </w:rPr>
        <w:t xml:space="preserve">&gt; </w:t>
      </w:r>
      <w:r w:rsidRPr="00524E23">
        <w:rPr>
          <w:rFonts w:cs="Arial"/>
          <w:sz w:val="24"/>
          <w:szCs w:val="24"/>
        </w:rPr>
        <w:t>accessed 27 April 2020.</w:t>
      </w:r>
    </w:p>
    <w:p w14:paraId="1B5A59C0" w14:textId="77777777" w:rsidR="0019789C" w:rsidRPr="00524E23" w:rsidRDefault="0019789C" w:rsidP="006D3C26">
      <w:pPr>
        <w:pStyle w:val="fntxt"/>
        <w:spacing w:before="120" w:after="0" w:line="240" w:lineRule="auto"/>
        <w:ind w:left="0" w:firstLine="0"/>
        <w:rPr>
          <w:rFonts w:eastAsia="Times New Roman" w:cs="Arial"/>
          <w:sz w:val="24"/>
          <w:szCs w:val="24"/>
          <w:lang w:eastAsia="en-GB"/>
        </w:rPr>
      </w:pPr>
      <w:r w:rsidRPr="00524E23">
        <w:rPr>
          <w:rFonts w:cs="Arial"/>
          <w:sz w:val="24"/>
          <w:szCs w:val="24"/>
        </w:rPr>
        <w:t xml:space="preserve">Leeds City Council, ‘Equalities Assembly’ </w:t>
      </w:r>
      <w:hyperlink r:id="rId76" w:history="1">
        <w:r w:rsidRPr="00524E23">
          <w:rPr>
            <w:rStyle w:val="Hyperlink"/>
            <w:rFonts w:eastAsiaTheme="majorEastAsia" w:cs="Arial"/>
            <w:sz w:val="24"/>
            <w:szCs w:val="24"/>
          </w:rPr>
          <w:t>&lt;</w:t>
        </w:r>
        <w:r w:rsidRPr="00524E23">
          <w:rPr>
            <w:rStyle w:val="Hyperlink"/>
            <w:rFonts w:cs="Arial"/>
            <w:sz w:val="24"/>
            <w:szCs w:val="24"/>
          </w:rPr>
          <w:t>www.leeds.gov.uk/your-council/equality-and-diversity/equalities-assembly</w:t>
        </w:r>
      </w:hyperlink>
      <w:r w:rsidRPr="00524E23">
        <w:rPr>
          <w:rStyle w:val="Hyperlink"/>
          <w:rFonts w:cs="Arial"/>
          <w:sz w:val="24"/>
          <w:szCs w:val="24"/>
        </w:rPr>
        <w:t xml:space="preserve">&gt; </w:t>
      </w:r>
      <w:r w:rsidRPr="00524E23">
        <w:rPr>
          <w:rFonts w:cs="Arial"/>
          <w:sz w:val="24"/>
          <w:szCs w:val="24"/>
        </w:rPr>
        <w:t>accessed 24 April 2020.</w:t>
      </w:r>
    </w:p>
    <w:p w14:paraId="7431DEDB" w14:textId="77777777" w:rsidR="0019789C" w:rsidRPr="00524E23" w:rsidRDefault="0019789C" w:rsidP="006D3C26">
      <w:pPr>
        <w:pStyle w:val="fntxt"/>
        <w:spacing w:before="120" w:after="0" w:line="240" w:lineRule="auto"/>
        <w:ind w:left="0" w:firstLine="0"/>
        <w:rPr>
          <w:rFonts w:cs="Arial"/>
          <w:sz w:val="24"/>
          <w:szCs w:val="24"/>
        </w:rPr>
      </w:pPr>
      <w:r w:rsidRPr="00524E23">
        <w:rPr>
          <w:rStyle w:val="FootnoteTextChar"/>
          <w:rFonts w:cs="Arial"/>
          <w:sz w:val="24"/>
          <w:szCs w:val="24"/>
        </w:rPr>
        <w:t xml:space="preserve">Leeds City Council, ‘Equality and Diversity Policy’ (October 2016) </w:t>
      </w:r>
      <w:r w:rsidRPr="00524E23">
        <w:rPr>
          <w:rStyle w:val="Hyperlink"/>
          <w:rFonts w:cs="Arial"/>
          <w:sz w:val="24"/>
          <w:szCs w:val="24"/>
        </w:rPr>
        <w:t>&lt;</w:t>
      </w:r>
      <w:hyperlink r:id="rId77" w:history="1">
        <w:r w:rsidRPr="00524E23">
          <w:rPr>
            <w:rStyle w:val="Hyperlink"/>
            <w:rFonts w:cs="Arial"/>
            <w:sz w:val="24"/>
            <w:szCs w:val="24"/>
          </w:rPr>
          <w:t>www.leeds.gov.uk/docs/Equality%20and%20Diversity%20Policy%202016.pdf</w:t>
        </w:r>
      </w:hyperlink>
      <w:r w:rsidRPr="00524E23">
        <w:rPr>
          <w:rStyle w:val="Hyperlink"/>
          <w:rFonts w:cs="Arial"/>
          <w:sz w:val="24"/>
          <w:szCs w:val="24"/>
        </w:rPr>
        <w:t>&gt;</w:t>
      </w:r>
      <w:r w:rsidRPr="00524E23">
        <w:rPr>
          <w:rStyle w:val="FootnoteTextChar"/>
          <w:rFonts w:cs="Arial"/>
          <w:sz w:val="24"/>
          <w:szCs w:val="24"/>
        </w:rPr>
        <w:t xml:space="preserve"> accessed 5 April 2020.</w:t>
      </w:r>
    </w:p>
    <w:p w14:paraId="383F7C08"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 xml:space="preserve">Leeds City Council, ‘Equality Improvement Priorities and Measures 2018-2022 </w:t>
      </w:r>
      <w:r w:rsidRPr="00524E23">
        <w:rPr>
          <w:rFonts w:eastAsia="Times New Roman" w:cs="Arial"/>
          <w:sz w:val="24"/>
          <w:szCs w:val="24"/>
          <w:lang w:val="en-US" w:eastAsia="en-GB"/>
        </w:rPr>
        <w:t xml:space="preserve">- Full list of priorities and performance indicators/measures’ (last updated August 2019) </w:t>
      </w:r>
      <w:r w:rsidRPr="00524E23">
        <w:rPr>
          <w:rStyle w:val="Hyperlink"/>
          <w:rFonts w:cs="Arial"/>
          <w:sz w:val="24"/>
          <w:szCs w:val="24"/>
        </w:rPr>
        <w:t>&lt;</w:t>
      </w:r>
      <w:hyperlink r:id="rId78" w:history="1">
        <w:r w:rsidRPr="00524E23">
          <w:rPr>
            <w:rStyle w:val="Hyperlink"/>
            <w:rFonts w:cs="Arial"/>
            <w:sz w:val="24"/>
            <w:szCs w:val="24"/>
          </w:rPr>
          <w:t>www.leeds.gov.uk/your-council/equality-and-diversity/equality-improvement-priorities</w:t>
        </w:r>
      </w:hyperlink>
      <w:r w:rsidRPr="00524E23">
        <w:rPr>
          <w:rStyle w:val="Hyperlink"/>
          <w:rFonts w:cs="Arial"/>
          <w:sz w:val="24"/>
          <w:szCs w:val="24"/>
        </w:rPr>
        <w:t>&gt;</w:t>
      </w:r>
      <w:r w:rsidRPr="00524E23">
        <w:rPr>
          <w:rFonts w:cs="Arial"/>
          <w:sz w:val="24"/>
          <w:szCs w:val="24"/>
        </w:rPr>
        <w:t xml:space="preserve"> accessed 5 April 2020.</w:t>
      </w:r>
    </w:p>
    <w:p w14:paraId="76861E23"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lang w:val="en-US"/>
        </w:rPr>
        <w:t xml:space="preserve">Leeds City Council, ‘Equality Progress 2018-2019’ </w:t>
      </w:r>
      <w:r w:rsidRPr="00524E23">
        <w:rPr>
          <w:rStyle w:val="Hyperlink"/>
          <w:rFonts w:cs="Arial"/>
          <w:sz w:val="24"/>
          <w:szCs w:val="24"/>
        </w:rPr>
        <w:t>&lt;</w:t>
      </w:r>
      <w:hyperlink r:id="rId79" w:history="1">
        <w:r w:rsidRPr="00524E23">
          <w:rPr>
            <w:rStyle w:val="Hyperlink"/>
            <w:rFonts w:cs="Arial"/>
            <w:sz w:val="24"/>
            <w:szCs w:val="24"/>
          </w:rPr>
          <w:t>www.leeds.gov.uk/docs/Annual%20Report%202019%20online%20version.pdf</w:t>
        </w:r>
      </w:hyperlink>
      <w:r w:rsidRPr="00524E23">
        <w:rPr>
          <w:rStyle w:val="Hyperlink"/>
          <w:rFonts w:cs="Arial"/>
          <w:sz w:val="24"/>
          <w:szCs w:val="24"/>
        </w:rPr>
        <w:t>&gt;</w:t>
      </w:r>
      <w:r w:rsidRPr="00524E23">
        <w:rPr>
          <w:rFonts w:cs="Arial"/>
          <w:sz w:val="24"/>
          <w:szCs w:val="24"/>
          <w:lang w:val="en-US"/>
        </w:rPr>
        <w:t xml:space="preserve"> accessed 5 April 2020.</w:t>
      </w:r>
    </w:p>
    <w:p w14:paraId="123F1FC0" w14:textId="77777777" w:rsidR="0019789C" w:rsidRPr="00524E23" w:rsidRDefault="0019789C" w:rsidP="006D3C26">
      <w:pPr>
        <w:pStyle w:val="fntxt"/>
        <w:spacing w:before="120" w:after="0" w:line="240" w:lineRule="auto"/>
        <w:ind w:left="0" w:firstLine="0"/>
        <w:rPr>
          <w:rFonts w:cs="Arial"/>
          <w:color w:val="263238"/>
          <w:sz w:val="24"/>
          <w:szCs w:val="24"/>
        </w:rPr>
      </w:pPr>
      <w:r w:rsidRPr="00524E23">
        <w:rPr>
          <w:rFonts w:cs="Arial"/>
          <w:sz w:val="24"/>
          <w:szCs w:val="24"/>
          <w:lang w:val="en-US"/>
        </w:rPr>
        <w:lastRenderedPageBreak/>
        <w:t>Leeds City Council, ‘</w:t>
      </w:r>
      <w:r w:rsidRPr="00524E23">
        <w:rPr>
          <w:rStyle w:val="eop"/>
          <w:rFonts w:cs="Arial"/>
          <w:sz w:val="24"/>
          <w:szCs w:val="24"/>
          <w:lang w:val="en-US"/>
        </w:rPr>
        <w:t xml:space="preserve">Leeds Children and Young People’s Plan 2018-2023’ </w:t>
      </w:r>
      <w:r w:rsidRPr="00524E23">
        <w:rPr>
          <w:rStyle w:val="Hyperlink"/>
          <w:rFonts w:cs="Arial"/>
          <w:sz w:val="24"/>
          <w:szCs w:val="24"/>
        </w:rPr>
        <w:t>&lt;</w:t>
      </w:r>
      <w:hyperlink r:id="rId80" w:history="1">
        <w:r w:rsidRPr="00524E23">
          <w:rPr>
            <w:rStyle w:val="Hyperlink"/>
            <w:rFonts w:cs="Arial"/>
            <w:sz w:val="24"/>
            <w:szCs w:val="24"/>
            <w:lang w:val="en-US"/>
          </w:rPr>
          <w:t>www.leeds.gov.uk/childfriendlyleeds/Documents/CMT18-022%20Childrens%20and%20YP%20Plan%2018-23.pdf</w:t>
        </w:r>
      </w:hyperlink>
      <w:r w:rsidRPr="00524E23">
        <w:rPr>
          <w:rStyle w:val="Hyperlink"/>
          <w:rFonts w:cs="Arial"/>
          <w:sz w:val="24"/>
          <w:szCs w:val="24"/>
        </w:rPr>
        <w:t>&gt;</w:t>
      </w:r>
      <w:r w:rsidRPr="00524E23">
        <w:rPr>
          <w:rStyle w:val="eop"/>
          <w:rFonts w:cs="Arial"/>
          <w:sz w:val="24"/>
          <w:szCs w:val="24"/>
          <w:lang w:val="en-US"/>
        </w:rPr>
        <w:t xml:space="preserve"> </w:t>
      </w:r>
      <w:r w:rsidRPr="00524E23">
        <w:rPr>
          <w:rFonts w:cs="Arial"/>
          <w:sz w:val="24"/>
          <w:szCs w:val="24"/>
        </w:rPr>
        <w:t>accessed 22 April 2020.</w:t>
      </w:r>
    </w:p>
    <w:p w14:paraId="1AB1C61E" w14:textId="77777777" w:rsidR="0019789C" w:rsidRPr="00524E23" w:rsidRDefault="0019789C" w:rsidP="006D3C26">
      <w:pPr>
        <w:pStyle w:val="fntxt"/>
        <w:spacing w:before="120" w:after="0" w:line="240" w:lineRule="auto"/>
        <w:ind w:left="0" w:firstLine="0"/>
        <w:rPr>
          <w:rFonts w:eastAsia="Times New Roman" w:cs="Arial"/>
          <w:sz w:val="24"/>
          <w:szCs w:val="24"/>
          <w:lang w:val="en-US" w:eastAsia="en-US"/>
        </w:rPr>
      </w:pPr>
      <w:r w:rsidRPr="00524E23">
        <w:rPr>
          <w:rFonts w:cs="Arial"/>
          <w:sz w:val="24"/>
          <w:szCs w:val="24"/>
        </w:rPr>
        <w:t>Leeds City Council, ‘</w:t>
      </w:r>
      <w:r w:rsidRPr="00524E23">
        <w:rPr>
          <w:rFonts w:eastAsia="Times New Roman" w:cs="Arial"/>
          <w:sz w:val="24"/>
          <w:szCs w:val="24"/>
          <w:lang w:val="en-US" w:eastAsia="en-US"/>
        </w:rPr>
        <w:t xml:space="preserve">Leeds Local Offer: Special Educational Needs and Disability’ </w:t>
      </w:r>
      <w:r w:rsidRPr="00524E23">
        <w:rPr>
          <w:rStyle w:val="Hyperlink"/>
          <w:rFonts w:cs="Arial"/>
          <w:sz w:val="24"/>
          <w:szCs w:val="24"/>
        </w:rPr>
        <w:t>&lt;</w:t>
      </w:r>
      <w:hyperlink r:id="rId81" w:history="1">
        <w:r w:rsidRPr="00524E23">
          <w:rPr>
            <w:rStyle w:val="Hyperlink"/>
            <w:rFonts w:cs="Arial"/>
            <w:sz w:val="24"/>
            <w:szCs w:val="24"/>
          </w:rPr>
          <w:t>www.leeds.gov.uk/residents/children-families-and-carers/local-offer/leeds-local-offer/special-educational-needs-disability</w:t>
        </w:r>
      </w:hyperlink>
      <w:r w:rsidRPr="00524E23">
        <w:rPr>
          <w:rStyle w:val="Hyperlink"/>
          <w:rFonts w:cs="Arial"/>
          <w:sz w:val="24"/>
          <w:szCs w:val="24"/>
        </w:rPr>
        <w:t xml:space="preserve">&gt; </w:t>
      </w:r>
      <w:r w:rsidRPr="00524E23">
        <w:rPr>
          <w:rFonts w:cs="Arial"/>
          <w:sz w:val="24"/>
          <w:szCs w:val="24"/>
        </w:rPr>
        <w:t>accessed 22 April 2020.</w:t>
      </w:r>
    </w:p>
    <w:p w14:paraId="310A3DA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Leeds City Council, ‘Leeds Transport Strategy - Interim December 2016’ </w:t>
      </w:r>
      <w:r w:rsidRPr="00524E23">
        <w:rPr>
          <w:rStyle w:val="Hyperlink"/>
          <w:rFonts w:cs="Arial"/>
          <w:sz w:val="24"/>
          <w:szCs w:val="24"/>
        </w:rPr>
        <w:t>&lt;</w:t>
      </w:r>
      <w:hyperlink r:id="rId82" w:history="1">
        <w:r w:rsidRPr="00524E23">
          <w:rPr>
            <w:rStyle w:val="Hyperlink"/>
            <w:rFonts w:cs="Arial"/>
            <w:sz w:val="24"/>
            <w:szCs w:val="24"/>
          </w:rPr>
          <w:t>www.leeds.gov.uk/docs/Leeds%20Transport%20Strategy.pdf</w:t>
        </w:r>
      </w:hyperlink>
      <w:r w:rsidRPr="00524E23">
        <w:rPr>
          <w:rStyle w:val="Hyperlink"/>
          <w:rFonts w:cs="Arial"/>
          <w:sz w:val="24"/>
          <w:szCs w:val="24"/>
        </w:rPr>
        <w:t>&gt;</w:t>
      </w:r>
      <w:r w:rsidRPr="00524E23">
        <w:rPr>
          <w:rFonts w:cs="Arial"/>
          <w:sz w:val="24"/>
          <w:szCs w:val="24"/>
        </w:rPr>
        <w:t xml:space="preserve"> accessed 27 April 2020.</w:t>
      </w:r>
    </w:p>
    <w:p w14:paraId="3B9ED191" w14:textId="77777777" w:rsidR="0019789C" w:rsidRPr="00524E23" w:rsidRDefault="0019789C" w:rsidP="00007715">
      <w:pPr>
        <w:pStyle w:val="fntxt"/>
        <w:spacing w:before="120" w:after="0" w:line="240" w:lineRule="auto"/>
        <w:ind w:left="0" w:firstLine="0"/>
        <w:rPr>
          <w:rStyle w:val="FootnoteTextChar"/>
          <w:rFonts w:cs="Arial"/>
          <w:sz w:val="24"/>
          <w:szCs w:val="24"/>
        </w:rPr>
      </w:pPr>
      <w:r w:rsidRPr="00524E23">
        <w:rPr>
          <w:rFonts w:cs="Arial"/>
          <w:sz w:val="24"/>
          <w:szCs w:val="24"/>
        </w:rPr>
        <w:t xml:space="preserve">Leeds City Council, ‘Roads and Pavements’ </w:t>
      </w:r>
      <w:r w:rsidRPr="00524E23">
        <w:rPr>
          <w:rStyle w:val="Hyperlink"/>
          <w:rFonts w:cs="Arial"/>
          <w:sz w:val="24"/>
          <w:szCs w:val="24"/>
        </w:rPr>
        <w:t>&lt;</w:t>
      </w:r>
      <w:hyperlink r:id="rId83" w:history="1">
        <w:r w:rsidRPr="00524E23">
          <w:rPr>
            <w:rStyle w:val="Hyperlink"/>
            <w:rFonts w:cs="Arial"/>
            <w:sz w:val="24"/>
            <w:szCs w:val="24"/>
          </w:rPr>
          <w:t>https://my.leeds.gov.uk/Pages/KnowledgeBase/RoadsAndPavements.aspx</w:t>
        </w:r>
      </w:hyperlink>
      <w:r w:rsidRPr="00524E23">
        <w:rPr>
          <w:rStyle w:val="Hyperlink"/>
          <w:rFonts w:cs="Arial"/>
          <w:sz w:val="24"/>
          <w:szCs w:val="24"/>
        </w:rPr>
        <w:t>&gt;</w:t>
      </w:r>
      <w:r w:rsidRPr="00524E23">
        <w:rPr>
          <w:rStyle w:val="FootnoteTextChar"/>
          <w:rFonts w:cs="Arial"/>
          <w:sz w:val="24"/>
          <w:szCs w:val="24"/>
        </w:rPr>
        <w:t xml:space="preserve"> accessed 29 April 2020.</w:t>
      </w:r>
    </w:p>
    <w:p w14:paraId="70ECC1FA" w14:textId="77777777" w:rsidR="0019789C" w:rsidRPr="00524E23" w:rsidRDefault="0019789C" w:rsidP="006D3C26">
      <w:pPr>
        <w:pStyle w:val="fntxt"/>
        <w:spacing w:before="120" w:after="0" w:line="240" w:lineRule="auto"/>
        <w:ind w:left="0" w:firstLine="0"/>
        <w:rPr>
          <w:rStyle w:val="FootnoteTextChar"/>
          <w:rFonts w:cs="Arial"/>
          <w:sz w:val="24"/>
          <w:szCs w:val="24"/>
          <w:lang w:val="en-US" w:eastAsia="en-US"/>
        </w:rPr>
      </w:pPr>
      <w:r w:rsidRPr="00524E23">
        <w:rPr>
          <w:rStyle w:val="FootnoteTextChar"/>
          <w:rFonts w:cs="Arial"/>
          <w:sz w:val="24"/>
          <w:szCs w:val="24"/>
        </w:rPr>
        <w:t xml:space="preserve">Leeds City Council, ‘Public Spaces Protection Orders (PSPOs)’ </w:t>
      </w:r>
      <w:r w:rsidRPr="00524E23">
        <w:rPr>
          <w:rStyle w:val="Hyperlink"/>
          <w:rFonts w:cs="Arial"/>
          <w:sz w:val="24"/>
          <w:szCs w:val="24"/>
        </w:rPr>
        <w:t>&lt;</w:t>
      </w:r>
      <w:hyperlink r:id="rId84" w:history="1">
        <w:r w:rsidRPr="00524E23">
          <w:rPr>
            <w:rStyle w:val="Hyperlink"/>
            <w:rFonts w:cs="Arial"/>
            <w:sz w:val="24"/>
            <w:szCs w:val="24"/>
          </w:rPr>
          <w:t>www.leeds.gov.uk/residents/environmental-health/public-spaces-protection-orders-consultation</w:t>
        </w:r>
      </w:hyperlink>
      <w:r w:rsidRPr="00524E23">
        <w:rPr>
          <w:rStyle w:val="Hyperlink"/>
          <w:rFonts w:cs="Arial"/>
          <w:sz w:val="24"/>
          <w:szCs w:val="24"/>
        </w:rPr>
        <w:t>&gt;</w:t>
      </w:r>
      <w:r w:rsidRPr="00524E23">
        <w:rPr>
          <w:rStyle w:val="FootnoteTextChar"/>
          <w:rFonts w:cs="Arial"/>
          <w:sz w:val="24"/>
          <w:szCs w:val="24"/>
        </w:rPr>
        <w:t xml:space="preserve"> accessed 19 April 2020.</w:t>
      </w:r>
    </w:p>
    <w:p w14:paraId="45DA938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Leeds City Council, ‘</w:t>
      </w:r>
      <w:r w:rsidRPr="00524E23">
        <w:rPr>
          <w:rFonts w:eastAsia="Times New Roman" w:cs="Arial"/>
          <w:sz w:val="24"/>
          <w:szCs w:val="24"/>
          <w:lang w:val="en-US" w:eastAsia="en-US"/>
        </w:rPr>
        <w:t xml:space="preserve">Street Design Guide - </w:t>
      </w:r>
      <w:r w:rsidRPr="00524E23">
        <w:rPr>
          <w:rFonts w:cs="Arial"/>
          <w:sz w:val="24"/>
          <w:szCs w:val="24"/>
        </w:rPr>
        <w:t xml:space="preserve">Leeds Local Development Framework’ (Supplementary Planning Document, Main Report, August 2009) </w:t>
      </w:r>
      <w:r w:rsidRPr="00524E23">
        <w:rPr>
          <w:rStyle w:val="Hyperlink"/>
          <w:rFonts w:cs="Arial"/>
          <w:sz w:val="24"/>
          <w:szCs w:val="24"/>
        </w:rPr>
        <w:t>&lt;</w:t>
      </w:r>
      <w:hyperlink r:id="rId85" w:history="1">
        <w:r w:rsidRPr="00524E23">
          <w:rPr>
            <w:rStyle w:val="Hyperlink"/>
            <w:rFonts w:cs="Arial"/>
            <w:sz w:val="24"/>
            <w:szCs w:val="24"/>
          </w:rPr>
          <w:t>www.leeds.gov.uk/docs/Street%20Design%20Guide%20-%20main%20report.pdf</w:t>
        </w:r>
      </w:hyperlink>
      <w:r w:rsidRPr="00524E23">
        <w:rPr>
          <w:rStyle w:val="Hyperlink"/>
          <w:rFonts w:cs="Arial"/>
          <w:sz w:val="24"/>
          <w:szCs w:val="24"/>
        </w:rPr>
        <w:t xml:space="preserve">&gt; </w:t>
      </w:r>
      <w:r w:rsidRPr="00524E23">
        <w:rPr>
          <w:rFonts w:cs="Arial"/>
          <w:bCs/>
          <w:sz w:val="24"/>
          <w:szCs w:val="24"/>
        </w:rPr>
        <w:t>accessed 24 April 2020</w:t>
      </w:r>
      <w:r w:rsidRPr="00524E23">
        <w:rPr>
          <w:rFonts w:cs="Arial"/>
          <w:sz w:val="24"/>
          <w:szCs w:val="24"/>
        </w:rPr>
        <w:t>.</w:t>
      </w:r>
    </w:p>
    <w:p w14:paraId="6D595CC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Leeds City Council, ‘Support for adults with learning disabilities’ </w:t>
      </w:r>
      <w:r w:rsidRPr="00524E23">
        <w:rPr>
          <w:rStyle w:val="Hyperlink"/>
          <w:rFonts w:cs="Arial"/>
          <w:sz w:val="24"/>
          <w:szCs w:val="24"/>
        </w:rPr>
        <w:t>&lt;</w:t>
      </w:r>
      <w:hyperlink r:id="rId86" w:history="1">
        <w:r w:rsidRPr="00524E23">
          <w:rPr>
            <w:rStyle w:val="Hyperlink"/>
            <w:rFonts w:cs="Arial"/>
            <w:sz w:val="24"/>
            <w:szCs w:val="24"/>
          </w:rPr>
          <w:t>www.leeds.gov.uk/residents/health-and-social-care/adult-social-care/learning-disability-community-support-service</w:t>
        </w:r>
      </w:hyperlink>
      <w:r w:rsidRPr="00524E23">
        <w:rPr>
          <w:rStyle w:val="Hyperlink"/>
          <w:rFonts w:cs="Arial"/>
          <w:sz w:val="24"/>
          <w:szCs w:val="24"/>
        </w:rPr>
        <w:t>&gt;</w:t>
      </w:r>
      <w:r w:rsidRPr="00524E23">
        <w:rPr>
          <w:rFonts w:cs="Arial"/>
          <w:sz w:val="24"/>
          <w:szCs w:val="24"/>
        </w:rPr>
        <w:t xml:space="preserve"> accessed 22 April 2020. </w:t>
      </w:r>
    </w:p>
    <w:p w14:paraId="18484E5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Leeds City Council, ‘Travel Plans. Supplementary planning document – Leeds Local Development Framework’ (February 2015</w:t>
      </w:r>
      <w:r w:rsidRPr="00524E23">
        <w:rPr>
          <w:rFonts w:eastAsia="Times New Roman" w:cs="Arial"/>
          <w:sz w:val="24"/>
          <w:szCs w:val="24"/>
          <w:lang w:eastAsia="en-GB"/>
        </w:rPr>
        <w:t xml:space="preserve">) </w:t>
      </w:r>
      <w:r w:rsidRPr="00524E23">
        <w:rPr>
          <w:rStyle w:val="Hyperlink"/>
          <w:rFonts w:cs="Arial"/>
          <w:sz w:val="24"/>
          <w:szCs w:val="24"/>
        </w:rPr>
        <w:t>&lt;</w:t>
      </w:r>
      <w:hyperlink r:id="rId87" w:history="1">
        <w:r w:rsidRPr="00524E23">
          <w:rPr>
            <w:rStyle w:val="Hyperlink"/>
            <w:rFonts w:cs="Arial"/>
            <w:sz w:val="24"/>
            <w:szCs w:val="24"/>
          </w:rPr>
          <w:t>www.leeds.gov.uk/docs/Adopted%20Travel%20Plan%20SPD%20Jan%202015.pdf</w:t>
        </w:r>
      </w:hyperlink>
      <w:r w:rsidRPr="00524E23">
        <w:rPr>
          <w:rStyle w:val="Hyperlink"/>
          <w:rFonts w:cs="Arial"/>
          <w:sz w:val="24"/>
          <w:szCs w:val="24"/>
        </w:rPr>
        <w:t>&gt;</w:t>
      </w:r>
      <w:r w:rsidRPr="00524E23">
        <w:rPr>
          <w:rFonts w:cs="Arial"/>
          <w:sz w:val="24"/>
          <w:szCs w:val="24"/>
        </w:rPr>
        <w:t> accessed 24 April 2020.</w:t>
      </w:r>
    </w:p>
    <w:p w14:paraId="7EB56DC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Legal Action Group, ‘No access to legal advice, means no access to goods and services’ (March 2015) </w:t>
      </w:r>
      <w:hyperlink r:id="rId88" w:history="1">
        <w:r w:rsidRPr="00524E23">
          <w:rPr>
            <w:rStyle w:val="Hyperlink"/>
            <w:rFonts w:cs="Arial"/>
            <w:sz w:val="24"/>
            <w:szCs w:val="24"/>
          </w:rPr>
          <w:t>&lt;www.lag.org.uk/article/202707/no-access-to-legal-advice--means-no-access-to-goods-and-services&gt;</w:t>
        </w:r>
      </w:hyperlink>
      <w:r w:rsidRPr="00524E23">
        <w:rPr>
          <w:rFonts w:cs="Arial"/>
          <w:sz w:val="24"/>
          <w:szCs w:val="24"/>
        </w:rPr>
        <w:t xml:space="preserve"> accessed 21 January 2020.</w:t>
      </w:r>
    </w:p>
    <w:p w14:paraId="1140660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lang w:val="en-US"/>
        </w:rPr>
        <w:t>Living Streets, ‘</w:t>
      </w:r>
      <w:r w:rsidRPr="00524E23">
        <w:rPr>
          <w:rFonts w:cs="Arial"/>
          <w:sz w:val="24"/>
          <w:szCs w:val="24"/>
        </w:rPr>
        <w:t>Pavement parking ban approved in Scotland’ (2019) &lt;</w:t>
      </w:r>
      <w:hyperlink r:id="rId89" w:history="1">
        <w:r w:rsidRPr="00524E23">
          <w:rPr>
            <w:rStyle w:val="Hyperlink"/>
            <w:rFonts w:cs="Arial"/>
            <w:sz w:val="24"/>
            <w:szCs w:val="24"/>
          </w:rPr>
          <w:t>www.livingstreets.org.uk/get-involved/campaign-with-us/ban-pavement-parking-in-scotland</w:t>
        </w:r>
      </w:hyperlink>
      <w:r w:rsidRPr="00524E23">
        <w:rPr>
          <w:rFonts w:cs="Arial"/>
          <w:sz w:val="24"/>
          <w:szCs w:val="24"/>
        </w:rPr>
        <w:t>&gt;</w:t>
      </w:r>
      <w:r w:rsidRPr="00524E23">
        <w:rPr>
          <w:rStyle w:val="Hyperlink"/>
          <w:rFonts w:cs="Arial"/>
          <w:sz w:val="24"/>
          <w:szCs w:val="24"/>
        </w:rPr>
        <w:t xml:space="preserve"> </w:t>
      </w:r>
      <w:r w:rsidRPr="00524E23">
        <w:rPr>
          <w:rFonts w:cs="Arial"/>
          <w:sz w:val="24"/>
          <w:szCs w:val="24"/>
        </w:rPr>
        <w:t>accessed 24 April 2020</w:t>
      </w:r>
      <w:r w:rsidRPr="00524E23">
        <w:rPr>
          <w:rFonts w:cs="Arial"/>
          <w:sz w:val="24"/>
          <w:szCs w:val="24"/>
          <w:lang w:val="en-US"/>
        </w:rPr>
        <w:t>.</w:t>
      </w:r>
    </w:p>
    <w:p w14:paraId="6E95BC3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Local Government and Communities Directorate, ‘A Fairer Scotland for Disabled People: Delivery Plan’ (2016) </w:t>
      </w:r>
      <w:r w:rsidRPr="00524E23">
        <w:rPr>
          <w:rStyle w:val="Hyperlink"/>
          <w:rFonts w:cs="Arial"/>
          <w:sz w:val="24"/>
          <w:szCs w:val="24"/>
        </w:rPr>
        <w:t>&lt;</w:t>
      </w:r>
      <w:hyperlink r:id="rId90" w:history="1">
        <w:r w:rsidRPr="00524E23">
          <w:rPr>
            <w:rStyle w:val="Hyperlink"/>
            <w:rFonts w:cs="Arial"/>
            <w:sz w:val="24"/>
            <w:szCs w:val="24"/>
          </w:rPr>
          <w:t>www.gov.scot/publications/fairer-scotland-disabled-people-delivery-plan-2021-united-nations-convention/pages/12/</w:t>
        </w:r>
      </w:hyperlink>
      <w:r w:rsidRPr="00524E23">
        <w:rPr>
          <w:rStyle w:val="Hyperlink"/>
          <w:rFonts w:cs="Arial"/>
          <w:sz w:val="24"/>
          <w:szCs w:val="24"/>
        </w:rPr>
        <w:t>&gt;</w:t>
      </w:r>
      <w:r w:rsidRPr="00524E23">
        <w:rPr>
          <w:rFonts w:cs="Arial"/>
          <w:sz w:val="24"/>
          <w:szCs w:val="24"/>
        </w:rPr>
        <w:t xml:space="preserve"> accessed 18 April 2020.</w:t>
      </w:r>
    </w:p>
    <w:p w14:paraId="0163000D"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Local Government and Communities Directorate, ‘A Fairer Scotland for Older People: A Framework for Action’ (2019) </w:t>
      </w:r>
      <w:r w:rsidRPr="00524E23">
        <w:rPr>
          <w:rStyle w:val="Hyperlink"/>
          <w:rFonts w:cs="Arial"/>
          <w:sz w:val="24"/>
          <w:szCs w:val="24"/>
        </w:rPr>
        <w:t>&lt;</w:t>
      </w:r>
      <w:hyperlink r:id="rId91" w:history="1">
        <w:r w:rsidRPr="00524E23">
          <w:rPr>
            <w:rStyle w:val="Hyperlink"/>
            <w:rFonts w:cs="Arial"/>
            <w:sz w:val="24"/>
            <w:szCs w:val="24"/>
          </w:rPr>
          <w:t>www.gov.scot/publications/fairer-scotland-older-people-framework-action/</w:t>
        </w:r>
      </w:hyperlink>
      <w:r w:rsidRPr="00524E23">
        <w:rPr>
          <w:rStyle w:val="Hyperlink"/>
          <w:rFonts w:cs="Arial"/>
          <w:sz w:val="24"/>
          <w:szCs w:val="24"/>
        </w:rPr>
        <w:t>&gt;</w:t>
      </w:r>
      <w:r w:rsidRPr="00524E23">
        <w:rPr>
          <w:rFonts w:cs="Arial"/>
          <w:sz w:val="24"/>
          <w:szCs w:val="24"/>
        </w:rPr>
        <w:t xml:space="preserve"> accessed 18 April 2020.</w:t>
      </w:r>
    </w:p>
    <w:p w14:paraId="35B480EF"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Style w:val="FootnoteTextChar"/>
          <w:rFonts w:cs="Arial"/>
          <w:sz w:val="24"/>
          <w:szCs w:val="24"/>
        </w:rPr>
        <w:t>Local Government and Communities Directorate, ‘PAN 78: Planning and Building Standards Advice Note: Inclusive Design’ (Scottish Government, 2006).</w:t>
      </w:r>
    </w:p>
    <w:p w14:paraId="68C32BB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Local Government and Communities Directorate, ‘Scottish Planning Policy’ (2014).</w:t>
      </w:r>
    </w:p>
    <w:p w14:paraId="2270CB9F"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Lord Holmes of Richmond MBE, ‘Accidents by Design: The Holmes Report on “shared space” in the United Kingdom’ (July 2015) </w:t>
      </w:r>
      <w:hyperlink r:id="rId92" w:history="1">
        <w:r w:rsidRPr="00524E23">
          <w:rPr>
            <w:rStyle w:val="Hyperlink"/>
            <w:rFonts w:cs="Arial"/>
            <w:sz w:val="24"/>
            <w:szCs w:val="24"/>
          </w:rPr>
          <w:t>&lt;http://chrisholmes.co.uk/wp-content/uploads/2015/07/Holmes-Report-on-Shared-Space-.pdf&gt;</w:t>
        </w:r>
      </w:hyperlink>
      <w:r w:rsidRPr="00524E23">
        <w:rPr>
          <w:rStyle w:val="Hyperlink"/>
          <w:rFonts w:cs="Arial"/>
          <w:sz w:val="24"/>
          <w:szCs w:val="24"/>
        </w:rPr>
        <w:t xml:space="preserve"> </w:t>
      </w:r>
      <w:r w:rsidRPr="00524E23">
        <w:rPr>
          <w:rFonts w:cs="Arial"/>
          <w:sz w:val="24"/>
          <w:szCs w:val="24"/>
        </w:rPr>
        <w:t xml:space="preserve">accessed 2 November 2019. </w:t>
      </w:r>
    </w:p>
    <w:p w14:paraId="5C4058D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lastRenderedPageBreak/>
        <w:t>Lum J, ‘Sustainable Development Goals: How is the UK Performing?’ (House of Commons Library, 4 July 2019).</w:t>
      </w:r>
    </w:p>
    <w:p w14:paraId="2B9C43C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Manfredi S, Vickers L and Clayton-Hathway K, ‘The Public Sector Equality Duty: Enforcing Equality Rights Through Second-Generation Regulation’ (2018) 47(3) Industrial Law Journal 365.</w:t>
      </w:r>
    </w:p>
    <w:p w14:paraId="24E050A8"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Mercer D, ‘Electric scooters: Criminal damage and traffic collisions among hundreds of police incidents’ (Sky News, 23 September 2019) </w:t>
      </w:r>
      <w:hyperlink r:id="rId93" w:history="1">
        <w:r w:rsidRPr="00524E23">
          <w:rPr>
            <w:rStyle w:val="Hyperlink"/>
            <w:rFonts w:cs="Arial"/>
            <w:sz w:val="24"/>
            <w:szCs w:val="24"/>
          </w:rPr>
          <w:t>&lt;https://news.sky.com/story/electric-scooters-criminal-damage-and-traffic-collisions-among-hundreds-of-police-incidents-11790527&gt;</w:t>
        </w:r>
      </w:hyperlink>
      <w:r w:rsidRPr="00524E23">
        <w:rPr>
          <w:rFonts w:cs="Arial"/>
          <w:sz w:val="24"/>
          <w:szCs w:val="24"/>
        </w:rPr>
        <w:t xml:space="preserve"> accessed 31 January 2020.</w:t>
      </w:r>
    </w:p>
    <w:p w14:paraId="4C82F514"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Minister for Women and Equalities, ‘Government Response to the House of Lords Select Committee Report on The Equality Act 2010: The impact on disabled people’, Cm 9283 (July 2016). </w:t>
      </w:r>
    </w:p>
    <w:p w14:paraId="5700D502"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Ministry of Housing, Communities &amp; Local Government, ‘Design: process and tools’ (last updated 1 October 2019) </w:t>
      </w:r>
      <w:hyperlink r:id="rId94" w:history="1">
        <w:r w:rsidRPr="00524E23">
          <w:rPr>
            <w:rStyle w:val="Hyperlink"/>
            <w:rFonts w:cs="Arial"/>
            <w:sz w:val="24"/>
            <w:szCs w:val="24"/>
          </w:rPr>
          <w:t>&lt;www.gov.uk/guidance/design&gt;</w:t>
        </w:r>
      </w:hyperlink>
      <w:r w:rsidRPr="00524E23">
        <w:rPr>
          <w:rFonts w:cs="Arial"/>
          <w:sz w:val="24"/>
          <w:szCs w:val="24"/>
        </w:rPr>
        <w:t xml:space="preserve"> accessed 2 November 2019.</w:t>
      </w:r>
    </w:p>
    <w:p w14:paraId="55F8984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Ministry of Housing, Communities &amp; Local Government, ‘</w:t>
      </w:r>
      <w:r w:rsidRPr="00524E23">
        <w:rPr>
          <w:rFonts w:cs="Arial"/>
          <w:iCs/>
          <w:sz w:val="24"/>
          <w:szCs w:val="24"/>
        </w:rPr>
        <w:t>National Planning Policy Framework’</w:t>
      </w:r>
      <w:r w:rsidRPr="00524E23">
        <w:rPr>
          <w:rFonts w:cs="Arial"/>
          <w:sz w:val="24"/>
          <w:szCs w:val="24"/>
        </w:rPr>
        <w:t xml:space="preserve"> (last updated 19 June 2019) </w:t>
      </w:r>
      <w:hyperlink r:id="rId95" w:history="1">
        <w:r w:rsidRPr="00524E23">
          <w:rPr>
            <w:rStyle w:val="Hyperlink"/>
            <w:rFonts w:cs="Arial"/>
            <w:sz w:val="24"/>
            <w:szCs w:val="24"/>
          </w:rPr>
          <w:t>&lt;www.gov.uk/government/publications/national-planning-policy-framework--2&gt;</w:t>
        </w:r>
      </w:hyperlink>
      <w:r w:rsidRPr="00524E23">
        <w:rPr>
          <w:rFonts w:cs="Arial"/>
          <w:sz w:val="24"/>
          <w:szCs w:val="24"/>
        </w:rPr>
        <w:t xml:space="preserve"> accessed 2 November 2019. </w:t>
      </w:r>
    </w:p>
    <w:p w14:paraId="3CF69A82"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Ministry of Justice, ‘Reform of Judicial Review: Proposals for the provision and use of financial information’ (July 2015). </w:t>
      </w:r>
    </w:p>
    <w:p w14:paraId="5B924857" w14:textId="77777777" w:rsidR="0019789C" w:rsidRPr="00524E23" w:rsidRDefault="0019789C" w:rsidP="006D3C26">
      <w:pPr>
        <w:pStyle w:val="fntxt"/>
        <w:spacing w:before="120" w:after="0" w:line="240" w:lineRule="auto"/>
        <w:ind w:left="0" w:firstLine="0"/>
        <w:rPr>
          <w:rFonts w:eastAsia="Times New Roman" w:cs="Arial"/>
          <w:sz w:val="24"/>
          <w:szCs w:val="24"/>
          <w:lang w:eastAsia="en-US"/>
        </w:rPr>
      </w:pPr>
      <w:r w:rsidRPr="00524E23">
        <w:rPr>
          <w:rFonts w:eastAsia="Times New Roman" w:cs="Arial"/>
          <w:sz w:val="24"/>
          <w:szCs w:val="24"/>
          <w:shd w:val="clear" w:color="auto" w:fill="FFFFFF"/>
          <w:lang w:val="en-US" w:eastAsia="en-US"/>
        </w:rPr>
        <w:t>Moloney A, ‘</w:t>
      </w:r>
      <w:r w:rsidRPr="00524E23">
        <w:rPr>
          <w:rStyle w:val="fncaseChar"/>
          <w:rFonts w:cs="Arial"/>
          <w:sz w:val="24"/>
          <w:szCs w:val="24"/>
        </w:rPr>
        <w:t>Brushett v Hazeldean</w:t>
      </w:r>
      <w:r w:rsidRPr="00524E23">
        <w:rPr>
          <w:rFonts w:cs="Arial"/>
          <w:sz w:val="24"/>
          <w:szCs w:val="24"/>
        </w:rPr>
        <w:t xml:space="preserve"> - Note of Judgment’ (24 June 2019) &lt;</w:t>
      </w:r>
      <w:hyperlink r:id="rId96" w:history="1">
        <w:r w:rsidRPr="00524E23">
          <w:rPr>
            <w:rStyle w:val="Hyperlink"/>
            <w:rFonts w:cs="Arial"/>
            <w:sz w:val="24"/>
            <w:szCs w:val="24"/>
          </w:rPr>
          <w:t>https://clinicalnegligencebarrister.wordpress.com/2019/06/24/brushett-v-hazeldean-note-of-judgment/</w:t>
        </w:r>
      </w:hyperlink>
      <w:r w:rsidRPr="00524E23">
        <w:rPr>
          <w:rFonts w:cs="Arial"/>
          <w:sz w:val="24"/>
          <w:szCs w:val="24"/>
        </w:rPr>
        <w:t>&gt; accessed 18 May 2020.</w:t>
      </w:r>
    </w:p>
    <w:p w14:paraId="15EE06A7" w14:textId="77777777" w:rsidR="0019789C" w:rsidRPr="00524E23" w:rsidRDefault="0019789C" w:rsidP="006D3C26">
      <w:pPr>
        <w:pStyle w:val="fntxt"/>
        <w:spacing w:before="120" w:after="0" w:line="240" w:lineRule="auto"/>
        <w:ind w:left="0" w:firstLine="0"/>
        <w:rPr>
          <w:rFonts w:cs="Arial"/>
          <w:sz w:val="24"/>
          <w:szCs w:val="24"/>
        </w:rPr>
      </w:pPr>
      <w:r w:rsidRPr="00524E23">
        <w:rPr>
          <w:rFonts w:eastAsia="Times New Roman" w:cs="Arial"/>
          <w:sz w:val="24"/>
          <w:szCs w:val="24"/>
          <w:shd w:val="clear" w:color="auto" w:fill="FFFFFF"/>
          <w:lang w:val="en-US" w:eastAsia="en-US"/>
        </w:rPr>
        <w:t>Moloney A, ‘</w:t>
      </w:r>
      <w:r w:rsidRPr="00524E23">
        <w:rPr>
          <w:rStyle w:val="fncaseChar"/>
          <w:rFonts w:cs="Arial"/>
          <w:sz w:val="24"/>
          <w:szCs w:val="24"/>
        </w:rPr>
        <w:t>Brushett v Hazeldean</w:t>
      </w:r>
      <w:r w:rsidRPr="00524E23">
        <w:rPr>
          <w:rFonts w:cs="Arial"/>
          <w:sz w:val="24"/>
          <w:szCs w:val="24"/>
        </w:rPr>
        <w:t xml:space="preserve"> – The Facts’ (24 June 2019) &lt;</w:t>
      </w:r>
      <w:hyperlink r:id="rId97" w:history="1">
        <w:r w:rsidRPr="00524E23">
          <w:rPr>
            <w:rStyle w:val="Hyperlink"/>
            <w:rFonts w:cs="Arial"/>
            <w:sz w:val="24"/>
            <w:szCs w:val="24"/>
          </w:rPr>
          <w:t>https://clinicalnegligencebarrister.wordpress.com/2019/06/24/brushett-v-hazeldean-the-facts/</w:t>
        </w:r>
      </w:hyperlink>
      <w:r w:rsidRPr="00524E23">
        <w:rPr>
          <w:rFonts w:cs="Arial"/>
          <w:sz w:val="24"/>
          <w:szCs w:val="24"/>
        </w:rPr>
        <w:t>&gt; accessed 18 May 2020.</w:t>
      </w:r>
    </w:p>
    <w:p w14:paraId="6781EE5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Mullis A, ‘Tort’ [1996] All England Annual Review.</w:t>
      </w:r>
    </w:p>
    <w:p w14:paraId="7EA23A6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National Audit Office, ‘Implementing reforms to civil legal aid’ (HC 784, Session 2014–15) </w:t>
      </w:r>
      <w:hyperlink r:id="rId98" w:history="1">
        <w:r w:rsidRPr="00524E23">
          <w:rPr>
            <w:rStyle w:val="Hyperlink"/>
            <w:rFonts w:cs="Arial"/>
            <w:sz w:val="24"/>
            <w:szCs w:val="24"/>
          </w:rPr>
          <w:t>&lt;www.nao.org.uk/wp-content/uploads/2014/11/Implementing-reforms-to-civil-legal-aid1.pdf&gt;</w:t>
        </w:r>
      </w:hyperlink>
      <w:r w:rsidRPr="00524E23">
        <w:rPr>
          <w:rFonts w:cs="Arial"/>
          <w:sz w:val="24"/>
          <w:szCs w:val="24"/>
        </w:rPr>
        <w:t xml:space="preserve"> accessed 11 December 2019.</w:t>
      </w:r>
    </w:p>
    <w:p w14:paraId="30A677D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O’Donoghue D, ‘Design and Cost Report for the Pedestrian Crossing Review’ (April 2019) </w:t>
      </w:r>
      <w:r w:rsidRPr="00524E23">
        <w:rPr>
          <w:rStyle w:val="Hyperlink"/>
          <w:rFonts w:cs="Arial"/>
          <w:sz w:val="24"/>
          <w:szCs w:val="24"/>
        </w:rPr>
        <w:t>&lt;</w:t>
      </w:r>
      <w:hyperlink r:id="rId99" w:history="1">
        <w:r w:rsidRPr="00524E23">
          <w:rPr>
            <w:rStyle w:val="Hyperlink"/>
            <w:rFonts w:cs="Arial"/>
            <w:sz w:val="24"/>
            <w:szCs w:val="24"/>
          </w:rPr>
          <w:t>https://democracy.leeds.gov.uk/documents/s191712/Appendix%20B%20-%20Proposed%20Pedestrian%20Crossing%20Review%202019.pdf</w:t>
        </w:r>
      </w:hyperlink>
      <w:r w:rsidRPr="00524E23">
        <w:rPr>
          <w:rStyle w:val="Hyperlink"/>
          <w:rFonts w:cs="Arial"/>
          <w:sz w:val="24"/>
          <w:szCs w:val="24"/>
        </w:rPr>
        <w:t>&gt;</w:t>
      </w:r>
      <w:r w:rsidRPr="00524E23">
        <w:rPr>
          <w:rFonts w:cs="Arial"/>
          <w:sz w:val="24"/>
          <w:szCs w:val="24"/>
        </w:rPr>
        <w:t xml:space="preserve"> accessed 24 April 2020.</w:t>
      </w:r>
    </w:p>
    <w:p w14:paraId="7D50AD2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Office for Disability Issues, ‘Equality Act 2010: Guidance on Matters to be taken into account in determining questions relating to the definition of disability’ (last updated 8 March 2013) </w:t>
      </w:r>
      <w:hyperlink r:id="rId100" w:history="1">
        <w:r w:rsidRPr="00524E23">
          <w:rPr>
            <w:rStyle w:val="Hyperlink"/>
            <w:rFonts w:cs="Arial"/>
            <w:sz w:val="24"/>
            <w:szCs w:val="24"/>
          </w:rPr>
          <w:t>&lt;https://assets.publishing.service.gov.uk/government/uploads/system/uploads/attachment_data/file/570382/Equality_Act_2010-disability_definition.pdf&gt;</w:t>
        </w:r>
      </w:hyperlink>
      <w:r w:rsidRPr="00524E23">
        <w:rPr>
          <w:rFonts w:cs="Arial"/>
          <w:sz w:val="24"/>
          <w:szCs w:val="24"/>
        </w:rPr>
        <w:t xml:space="preserve"> accessed 12 September 2019.</w:t>
      </w:r>
    </w:p>
    <w:p w14:paraId="1B0F8B89"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Office for Disability Issues, ‘Fulfilling Potential: Making it Happen’ (Department for Work and Pensions, 2011-2015) </w:t>
      </w:r>
      <w:r w:rsidRPr="00524E23">
        <w:rPr>
          <w:rStyle w:val="Hyperlink"/>
          <w:rFonts w:cs="Arial"/>
          <w:sz w:val="24"/>
          <w:szCs w:val="24"/>
        </w:rPr>
        <w:t>&lt;</w:t>
      </w:r>
      <w:hyperlink r:id="rId101" w:history="1">
        <w:r w:rsidRPr="00524E23">
          <w:rPr>
            <w:rStyle w:val="Hyperlink"/>
            <w:rFonts w:cs="Arial"/>
            <w:sz w:val="24"/>
            <w:szCs w:val="24"/>
          </w:rPr>
          <w:t>www.gov.uk/government/collections/fulfilling-potential-working-together-to-improve-the-lives-of-disabled-people</w:t>
        </w:r>
      </w:hyperlink>
      <w:r w:rsidRPr="00524E23">
        <w:rPr>
          <w:rStyle w:val="Hyperlink"/>
          <w:rFonts w:cs="Arial"/>
          <w:sz w:val="24"/>
          <w:szCs w:val="24"/>
        </w:rPr>
        <w:t>&gt;</w:t>
      </w:r>
      <w:r w:rsidRPr="00524E23">
        <w:rPr>
          <w:rFonts w:cs="Arial"/>
          <w:sz w:val="24"/>
          <w:szCs w:val="24"/>
        </w:rPr>
        <w:t xml:space="preserve"> accessed 11 April 2020.</w:t>
      </w:r>
    </w:p>
    <w:p w14:paraId="3E68BCA5"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Office for Disability Issues, ‘Office for Disability Issues announces its new regional stakeholder network’ (3 December 2018) </w:t>
      </w:r>
      <w:hyperlink r:id="rId102" w:history="1">
        <w:r w:rsidRPr="00524E23">
          <w:rPr>
            <w:rStyle w:val="Hyperlink"/>
            <w:rFonts w:cs="Arial"/>
            <w:sz w:val="24"/>
            <w:szCs w:val="24"/>
          </w:rPr>
          <w:t>&lt;www.gov.uk/government/news/office-for-</w:t>
        </w:r>
        <w:r w:rsidRPr="00524E23">
          <w:rPr>
            <w:rStyle w:val="Hyperlink"/>
            <w:rFonts w:cs="Arial"/>
            <w:sz w:val="24"/>
            <w:szCs w:val="24"/>
          </w:rPr>
          <w:lastRenderedPageBreak/>
          <w:t>disability-issues-announces-its-new-regional-stakeholder-network</w:t>
        </w:r>
      </w:hyperlink>
      <w:r w:rsidRPr="00524E23">
        <w:rPr>
          <w:rStyle w:val="Hyperlink"/>
          <w:rFonts w:cs="Arial"/>
          <w:sz w:val="24"/>
          <w:szCs w:val="24"/>
        </w:rPr>
        <w:t>&gt;</w:t>
      </w:r>
      <w:r w:rsidRPr="00524E23">
        <w:rPr>
          <w:rFonts w:cs="Arial"/>
          <w:sz w:val="24"/>
          <w:szCs w:val="24"/>
        </w:rPr>
        <w:t xml:space="preserve"> accessed 16 April 2020.</w:t>
      </w:r>
    </w:p>
    <w:p w14:paraId="5319D06B"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Oliphant K, ‘The liability of public authorities in England and Wales’ in K Oliphant (ed), </w:t>
      </w:r>
      <w:r w:rsidRPr="00524E23">
        <w:rPr>
          <w:rFonts w:cs="Arial"/>
          <w:i/>
          <w:sz w:val="24"/>
          <w:szCs w:val="24"/>
        </w:rPr>
        <w:t>The Liability of Public Authorities in Comparative Perspective</w:t>
      </w:r>
      <w:r w:rsidRPr="00524E23">
        <w:rPr>
          <w:rFonts w:cs="Arial"/>
          <w:sz w:val="24"/>
          <w:szCs w:val="24"/>
        </w:rPr>
        <w:t xml:space="preserve"> (Intersentia 2016).</w:t>
      </w:r>
    </w:p>
    <w:p w14:paraId="205D87D8"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Orchard M, ‘Liability in negligence of the mentally ill: A comment on </w:t>
      </w:r>
      <w:r w:rsidRPr="00524E23">
        <w:rPr>
          <w:rStyle w:val="fncaseChar"/>
          <w:rFonts w:cs="Arial"/>
          <w:sz w:val="24"/>
          <w:szCs w:val="24"/>
        </w:rPr>
        <w:t>Dunnage v Randall</w:t>
      </w:r>
      <w:r w:rsidRPr="00524E23">
        <w:rPr>
          <w:rFonts w:cs="Arial"/>
          <w:sz w:val="24"/>
          <w:szCs w:val="24"/>
        </w:rPr>
        <w:t>’ (2016) 45(4) Common Law World Review 366.</w:t>
      </w:r>
    </w:p>
    <w:p w14:paraId="3F311D52"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cs="Arial"/>
          <w:sz w:val="24"/>
          <w:szCs w:val="24"/>
        </w:rPr>
        <w:t>Page M, ‘</w:t>
      </w:r>
      <w:r w:rsidRPr="00524E23">
        <w:rPr>
          <w:rFonts w:cs="Arial"/>
          <w:sz w:val="24"/>
          <w:szCs w:val="24"/>
          <w:lang w:val="en-US" w:eastAsia="en-US"/>
        </w:rPr>
        <w:t>Pavement and on-street parking in England</w:t>
      </w:r>
      <w:r w:rsidRPr="00524E23">
        <w:rPr>
          <w:rFonts w:cs="Arial"/>
          <w:sz w:val="24"/>
          <w:szCs w:val="24"/>
        </w:rPr>
        <w:t>’ (House of Commons Briefing Paper No CBP 1170, 14 January 2020).</w:t>
      </w:r>
    </w:p>
    <w:p w14:paraId="5A3EA0F0" w14:textId="77777777" w:rsidR="0019789C" w:rsidRPr="00524E23" w:rsidRDefault="0019789C" w:rsidP="006D3C26">
      <w:pPr>
        <w:pStyle w:val="fntxt"/>
        <w:spacing w:before="120" w:after="0" w:line="240" w:lineRule="auto"/>
        <w:ind w:left="0" w:firstLine="0"/>
        <w:rPr>
          <w:rFonts w:eastAsia="Times New Roman" w:cs="Arial"/>
          <w:sz w:val="24"/>
          <w:szCs w:val="24"/>
        </w:rPr>
      </w:pPr>
      <w:r w:rsidRPr="00524E23">
        <w:rPr>
          <w:rFonts w:eastAsia="Times New Roman" w:cs="Arial"/>
          <w:sz w:val="24"/>
          <w:szCs w:val="24"/>
        </w:rPr>
        <w:t>Posner R and Sharp R, ‘Accessible Public Realm: Updating Guidance and Further Research - Technical Annex 4: Inclusion of mental health (RQ3)’ (TRL Limited, Client Project Report CPR2714 – prepared for the Department for Transport, January 2020).</w:t>
      </w:r>
    </w:p>
    <w:p w14:paraId="2FB10256"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Pyper D, ‘The Public Sector Equality Duty and Equality Impact Assessments’ (House of Commons Library, Briefing Paper No 06591, 8 March 2018). </w:t>
      </w:r>
    </w:p>
    <w:p w14:paraId="34B36D57" w14:textId="77777777" w:rsidR="0019789C" w:rsidRPr="00524E23" w:rsidRDefault="0019789C" w:rsidP="006D3C26">
      <w:pPr>
        <w:pStyle w:val="fntxt"/>
        <w:spacing w:before="120" w:after="0" w:line="240" w:lineRule="auto"/>
        <w:ind w:left="0" w:firstLine="0"/>
        <w:rPr>
          <w:rFonts w:cs="Arial"/>
          <w:sz w:val="24"/>
          <w:szCs w:val="24"/>
        </w:rPr>
      </w:pPr>
      <w:r w:rsidRPr="00524E23">
        <w:rPr>
          <w:rStyle w:val="fncaseChar"/>
          <w:rFonts w:cs="Arial"/>
          <w:sz w:val="24"/>
          <w:szCs w:val="24"/>
        </w:rPr>
        <w:t>R v Norfolk CC Ex p Thorpe</w:t>
      </w:r>
      <w:r w:rsidRPr="00524E23">
        <w:rPr>
          <w:rFonts w:cs="Arial"/>
          <w:sz w:val="24"/>
          <w:szCs w:val="24"/>
        </w:rPr>
        <w:t xml:space="preserve"> case comment [1998] Journal of Planning &amp; Environment Law B88-89.</w:t>
      </w:r>
    </w:p>
    <w:p w14:paraId="6276831D" w14:textId="77777777" w:rsidR="0019789C" w:rsidRPr="00524E23" w:rsidRDefault="0019789C" w:rsidP="006D3C26">
      <w:pPr>
        <w:pStyle w:val="fntxt"/>
        <w:spacing w:before="120" w:after="0" w:line="240" w:lineRule="auto"/>
        <w:ind w:left="0" w:firstLine="0"/>
        <w:rPr>
          <w:rFonts w:cs="Arial"/>
          <w:sz w:val="24"/>
          <w:szCs w:val="24"/>
          <w:lang w:val="en-US"/>
        </w:rPr>
      </w:pPr>
      <w:r w:rsidRPr="00524E23">
        <w:rPr>
          <w:rFonts w:eastAsia="Times New Roman" w:cs="Arial"/>
          <w:sz w:val="24"/>
          <w:szCs w:val="24"/>
          <w:lang w:val="en-US" w:eastAsia="en-US"/>
        </w:rPr>
        <w:t xml:space="preserve">Rehfisch A, ‘Transport (Scotland) Bill: Pavement Parking and Double Parking’ (Scottish Parliament, </w:t>
      </w:r>
      <w:r w:rsidRPr="00524E23">
        <w:rPr>
          <w:rFonts w:cs="Arial"/>
          <w:sz w:val="24"/>
          <w:szCs w:val="24"/>
        </w:rPr>
        <w:t xml:space="preserve">SB 18-70, </w:t>
      </w:r>
      <w:r w:rsidRPr="00524E23">
        <w:rPr>
          <w:rFonts w:eastAsia="Times New Roman" w:cs="Arial"/>
          <w:sz w:val="24"/>
          <w:szCs w:val="24"/>
          <w:lang w:val="en-US" w:eastAsia="en-US"/>
        </w:rPr>
        <w:t>30 October 2018</w:t>
      </w:r>
      <w:r w:rsidRPr="00524E23">
        <w:rPr>
          <w:rFonts w:cs="Arial"/>
          <w:sz w:val="24"/>
          <w:szCs w:val="24"/>
        </w:rPr>
        <w:t>).</w:t>
      </w:r>
    </w:p>
    <w:p w14:paraId="7790C793"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Royal National Institute of Blind People (RNIB), ‘Who put that there! The barriers to blind and partially sighted people getting out and about’ (Briefing paper, February 2015) </w:t>
      </w:r>
      <w:hyperlink r:id="rId103" w:history="1">
        <w:r w:rsidRPr="00524E23">
          <w:rPr>
            <w:rStyle w:val="Hyperlink"/>
            <w:rFonts w:cs="Arial"/>
            <w:sz w:val="24"/>
            <w:szCs w:val="24"/>
          </w:rPr>
          <w:t>&lt;www.rnib.org.uk/sites/default/files/WPTT%20Pedestrian%20Crossings%20%20%28Feb%202015%20version%201%29.doc&gt;</w:t>
        </w:r>
      </w:hyperlink>
      <w:r w:rsidRPr="00524E23">
        <w:rPr>
          <w:rFonts w:cs="Arial"/>
          <w:sz w:val="24"/>
          <w:szCs w:val="24"/>
        </w:rPr>
        <w:t xml:space="preserve"> accessed 14 January 2020. </w:t>
      </w:r>
    </w:p>
    <w:p w14:paraId="08453CA8"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Russell EJ, ‘The liability of roads authorities revisited’ (2018) 4 </w:t>
      </w:r>
      <w:r w:rsidRPr="00524E23">
        <w:rPr>
          <w:rStyle w:val="fnbookChar"/>
          <w:rFonts w:cs="Arial"/>
          <w:sz w:val="24"/>
          <w:szCs w:val="24"/>
        </w:rPr>
        <w:t>Juridical Review</w:t>
      </w:r>
      <w:r w:rsidRPr="00524E23">
        <w:rPr>
          <w:rFonts w:cs="Arial"/>
          <w:sz w:val="24"/>
          <w:szCs w:val="24"/>
        </w:rPr>
        <w:t xml:space="preserve"> 283.</w:t>
      </w:r>
    </w:p>
    <w:p w14:paraId="2BCBCF03" w14:textId="77777777" w:rsidR="0019789C" w:rsidRPr="00524E23" w:rsidRDefault="0019789C" w:rsidP="00D01E1E">
      <w:pPr>
        <w:pStyle w:val="fntxt"/>
        <w:spacing w:before="120" w:after="0" w:line="240" w:lineRule="auto"/>
        <w:ind w:left="0" w:firstLine="0"/>
        <w:rPr>
          <w:rFonts w:cs="Arial"/>
          <w:sz w:val="24"/>
          <w:szCs w:val="24"/>
        </w:rPr>
      </w:pPr>
      <w:r w:rsidRPr="00524E23">
        <w:rPr>
          <w:rFonts w:cs="Arial"/>
          <w:sz w:val="24"/>
          <w:szCs w:val="24"/>
        </w:rPr>
        <w:t xml:space="preserve">Scottish Government, ‘Designing Streets: A Policy Statement for Scotland’ (March 2010) </w:t>
      </w:r>
      <w:hyperlink r:id="rId104" w:history="1">
        <w:r w:rsidRPr="00524E23">
          <w:rPr>
            <w:rStyle w:val="Hyperlink"/>
            <w:rFonts w:cs="Arial"/>
            <w:sz w:val="24"/>
            <w:szCs w:val="24"/>
          </w:rPr>
          <w:t>&lt;www.gov.scot/publications/designing-streets-policy-statement-scotland/&gt;</w:t>
        </w:r>
      </w:hyperlink>
      <w:r w:rsidRPr="00524E23">
        <w:rPr>
          <w:rStyle w:val="Hyperlink"/>
          <w:rFonts w:cs="Arial"/>
          <w:sz w:val="24"/>
          <w:szCs w:val="24"/>
        </w:rPr>
        <w:t xml:space="preserve"> </w:t>
      </w:r>
      <w:r w:rsidRPr="00524E23">
        <w:rPr>
          <w:rFonts w:cs="Arial"/>
          <w:sz w:val="24"/>
          <w:szCs w:val="24"/>
        </w:rPr>
        <w:t>accessed 3 February 2020.</w:t>
      </w:r>
    </w:p>
    <w:p w14:paraId="44D15DD6" w14:textId="77777777" w:rsidR="0019789C" w:rsidRPr="00524E23" w:rsidRDefault="0019789C" w:rsidP="00D01E1E">
      <w:pPr>
        <w:pStyle w:val="fntxt"/>
        <w:spacing w:before="120" w:after="0" w:line="240" w:lineRule="auto"/>
        <w:ind w:left="0" w:firstLine="0"/>
        <w:rPr>
          <w:rFonts w:cs="Arial"/>
          <w:sz w:val="24"/>
          <w:szCs w:val="24"/>
        </w:rPr>
      </w:pPr>
      <w:r w:rsidRPr="00524E23">
        <w:rPr>
          <w:rFonts w:cs="Arial"/>
          <w:sz w:val="24"/>
          <w:szCs w:val="24"/>
        </w:rPr>
        <w:t>Scottish Parliament, Courts Reform (Scotland) Bill 2014 (SP Bill 46) Policy Memorandum (2014).</w:t>
      </w:r>
    </w:p>
    <w:p w14:paraId="2F09B9FA" w14:textId="77777777" w:rsidR="0019789C" w:rsidRPr="00524E23" w:rsidRDefault="0019789C" w:rsidP="00D01E1E">
      <w:pPr>
        <w:pStyle w:val="fntxt"/>
        <w:spacing w:before="120" w:after="0" w:line="240" w:lineRule="auto"/>
        <w:ind w:left="0" w:firstLine="0"/>
        <w:rPr>
          <w:rFonts w:cs="Arial"/>
          <w:sz w:val="24"/>
          <w:szCs w:val="24"/>
        </w:rPr>
      </w:pPr>
      <w:r w:rsidRPr="00524E23">
        <w:rPr>
          <w:rFonts w:cs="Arial"/>
          <w:sz w:val="24"/>
          <w:szCs w:val="24"/>
        </w:rPr>
        <w:t xml:space="preserve">Scottish Parliament, ‘Transport (Scotland) Bill’ </w:t>
      </w:r>
      <w:hyperlink r:id="rId105" w:history="1">
        <w:r w:rsidRPr="00524E23">
          <w:rPr>
            <w:rStyle w:val="Hyperlink"/>
            <w:rFonts w:cs="Arial"/>
            <w:sz w:val="24"/>
            <w:szCs w:val="24"/>
          </w:rPr>
          <w:t>&lt;www.parliament.scot/parliamentarybusiness/Bills/108683.aspx&gt;</w:t>
        </w:r>
      </w:hyperlink>
      <w:r w:rsidRPr="00524E23">
        <w:rPr>
          <w:rFonts w:cs="Arial"/>
          <w:sz w:val="24"/>
          <w:szCs w:val="24"/>
        </w:rPr>
        <w:t xml:space="preserve"> accessed 3 February 2020.</w:t>
      </w:r>
    </w:p>
    <w:p w14:paraId="63349C05"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Sentencing Council, ‘Sentencing Guidelines’ </w:t>
      </w:r>
      <w:r w:rsidRPr="00524E23">
        <w:rPr>
          <w:rStyle w:val="Hyperlink"/>
          <w:rFonts w:cs="Arial"/>
          <w:sz w:val="24"/>
          <w:szCs w:val="24"/>
        </w:rPr>
        <w:t>&lt;</w:t>
      </w:r>
      <w:hyperlink r:id="rId106" w:history="1">
        <w:r w:rsidRPr="00524E23">
          <w:rPr>
            <w:rStyle w:val="Hyperlink"/>
            <w:rFonts w:cs="Arial"/>
            <w:sz w:val="24"/>
            <w:szCs w:val="24"/>
          </w:rPr>
          <w:t>www.sentencingcouncil.org.uk</w:t>
        </w:r>
      </w:hyperlink>
      <w:r w:rsidRPr="00524E23">
        <w:rPr>
          <w:rStyle w:val="Hyperlink"/>
          <w:rFonts w:cs="Arial"/>
          <w:sz w:val="24"/>
          <w:szCs w:val="24"/>
        </w:rPr>
        <w:t>&gt;</w:t>
      </w:r>
      <w:r w:rsidRPr="00524E23">
        <w:rPr>
          <w:rFonts w:cs="Arial"/>
          <w:sz w:val="24"/>
          <w:szCs w:val="24"/>
        </w:rPr>
        <w:t xml:space="preserve"> accessed 24 April 2020.</w:t>
      </w:r>
    </w:p>
    <w:p w14:paraId="74526559"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Technopolis Group, </w:t>
      </w:r>
      <w:r w:rsidRPr="00524E23">
        <w:rPr>
          <w:rStyle w:val="fnbookChar"/>
          <w:rFonts w:cs="Arial"/>
          <w:sz w:val="24"/>
          <w:szCs w:val="24"/>
        </w:rPr>
        <w:t>‘The Silver Economy’</w:t>
      </w:r>
      <w:r w:rsidRPr="00524E23">
        <w:rPr>
          <w:rFonts w:cs="Arial"/>
          <w:sz w:val="24"/>
          <w:szCs w:val="24"/>
        </w:rPr>
        <w:t xml:space="preserve"> (European Commission, 2018).</w:t>
      </w:r>
    </w:p>
    <w:p w14:paraId="1806F900" w14:textId="77777777" w:rsidR="0019789C" w:rsidRPr="00524E23" w:rsidRDefault="0019789C" w:rsidP="006D3C26">
      <w:pPr>
        <w:pStyle w:val="fntxt"/>
        <w:spacing w:before="120" w:after="0" w:line="240" w:lineRule="auto"/>
        <w:ind w:left="0" w:firstLine="0"/>
        <w:rPr>
          <w:rFonts w:cs="Arial"/>
          <w:sz w:val="24"/>
          <w:szCs w:val="24"/>
        </w:rPr>
      </w:pPr>
      <w:r w:rsidRPr="00524E23">
        <w:rPr>
          <w:rFonts w:eastAsia="Times New Roman" w:cs="Arial"/>
          <w:sz w:val="24"/>
          <w:szCs w:val="24"/>
          <w:bdr w:val="none" w:sz="0" w:space="0" w:color="auto" w:frame="1"/>
          <w:lang w:val="en-US" w:eastAsia="en-US"/>
        </w:rPr>
        <w:t>The Independent, ‘Why was a law-abiding cyclist who was passing through a green light ordered to pay compensation to a pedestrian who was staring at her phone?’ (</w:t>
      </w:r>
      <w:r w:rsidRPr="00524E23">
        <w:rPr>
          <w:rStyle w:val="fnbookChar"/>
          <w:rFonts w:cs="Arial"/>
          <w:sz w:val="24"/>
          <w:szCs w:val="24"/>
        </w:rPr>
        <w:t>The Independent</w:t>
      </w:r>
      <w:r w:rsidRPr="00524E23">
        <w:rPr>
          <w:rFonts w:eastAsia="Times New Roman" w:cs="Arial"/>
          <w:sz w:val="24"/>
          <w:szCs w:val="24"/>
          <w:bdr w:val="none" w:sz="0" w:space="0" w:color="auto" w:frame="1"/>
          <w:lang w:val="en-US" w:eastAsia="en-US"/>
        </w:rPr>
        <w:t>, 25 June 2019) &lt;</w:t>
      </w:r>
      <w:hyperlink r:id="rId107" w:history="1">
        <w:r w:rsidRPr="00524E23">
          <w:rPr>
            <w:rStyle w:val="Hyperlink"/>
            <w:rFonts w:cs="Arial"/>
            <w:sz w:val="24"/>
            <w:szCs w:val="24"/>
          </w:rPr>
          <w:t>www.independent.co.uk/news/uk/home-news/london-cyclist-crash-robert-hazeldean-gemma-brushett-london-phone-court-a8972326.html</w:t>
        </w:r>
      </w:hyperlink>
      <w:r w:rsidRPr="00524E23">
        <w:rPr>
          <w:rFonts w:cs="Arial"/>
          <w:sz w:val="24"/>
          <w:szCs w:val="24"/>
        </w:rPr>
        <w:t>&gt; accessed 18 May 2020.</w:t>
      </w:r>
    </w:p>
    <w:p w14:paraId="5E8B3D9B" w14:textId="77777777" w:rsidR="0019789C" w:rsidRPr="00524E23" w:rsidRDefault="0019789C" w:rsidP="006D3C26">
      <w:pPr>
        <w:pStyle w:val="fntxt"/>
        <w:spacing w:before="120" w:after="0" w:line="240" w:lineRule="auto"/>
        <w:ind w:left="0" w:firstLine="0"/>
        <w:rPr>
          <w:rFonts w:cs="Arial"/>
          <w:sz w:val="24"/>
          <w:szCs w:val="24"/>
          <w:lang w:eastAsia="en-US"/>
        </w:rPr>
      </w:pPr>
      <w:r w:rsidRPr="00524E23">
        <w:rPr>
          <w:rFonts w:cs="Arial"/>
          <w:sz w:val="24"/>
          <w:szCs w:val="24"/>
        </w:rPr>
        <w:t>The Newsroom, ‘</w:t>
      </w:r>
      <w:r w:rsidRPr="00524E23">
        <w:rPr>
          <w:rStyle w:val="fntxtChar"/>
          <w:rFonts w:cs="Arial"/>
          <w:sz w:val="24"/>
          <w:szCs w:val="24"/>
        </w:rPr>
        <w:t>Woman hit by cyclist on pavement blocked from claiming damages’ (</w:t>
      </w:r>
      <w:r w:rsidRPr="00524E23">
        <w:rPr>
          <w:rStyle w:val="fnbookChar"/>
          <w:rFonts w:cs="Arial"/>
          <w:sz w:val="24"/>
          <w:szCs w:val="24"/>
        </w:rPr>
        <w:t>Edinburgh News</w:t>
      </w:r>
      <w:r w:rsidRPr="00524E23">
        <w:rPr>
          <w:rStyle w:val="fntxtChar"/>
          <w:rFonts w:cs="Arial"/>
          <w:sz w:val="24"/>
          <w:szCs w:val="24"/>
        </w:rPr>
        <w:t xml:space="preserve">, 1 May 2018) </w:t>
      </w:r>
      <w:r w:rsidRPr="00524E23">
        <w:rPr>
          <w:rFonts w:cs="Arial"/>
          <w:sz w:val="24"/>
          <w:szCs w:val="24"/>
          <w:lang w:eastAsia="en-US"/>
        </w:rPr>
        <w:t>&lt;</w:t>
      </w:r>
      <w:hyperlink r:id="rId108" w:history="1">
        <w:r w:rsidRPr="00524E23">
          <w:rPr>
            <w:rStyle w:val="Hyperlink"/>
            <w:rFonts w:cs="Arial"/>
            <w:sz w:val="24"/>
            <w:szCs w:val="24"/>
            <w:lang w:eastAsia="en-US"/>
          </w:rPr>
          <w:t>www.edinburghnews.scotsman.com/news/transport/woman-hit-cyclist-pavement-blocked-claiming-damages-586235</w:t>
        </w:r>
      </w:hyperlink>
      <w:r w:rsidRPr="00524E23">
        <w:rPr>
          <w:rFonts w:cs="Arial"/>
          <w:sz w:val="24"/>
          <w:szCs w:val="24"/>
          <w:lang w:eastAsia="en-US"/>
        </w:rPr>
        <w:t xml:space="preserve">&gt; </w:t>
      </w:r>
      <w:r w:rsidRPr="00524E23">
        <w:rPr>
          <w:rFonts w:cs="Arial"/>
          <w:sz w:val="24"/>
          <w:szCs w:val="24"/>
        </w:rPr>
        <w:t>accessed 18 May 2020.</w:t>
      </w:r>
    </w:p>
    <w:p w14:paraId="1D22AF2A"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Torrance D, </w:t>
      </w:r>
      <w:r w:rsidRPr="00524E23">
        <w:rPr>
          <w:rStyle w:val="fnbookChar"/>
          <w:rFonts w:cs="Arial"/>
          <w:sz w:val="24"/>
          <w:szCs w:val="24"/>
        </w:rPr>
        <w:t>Introduction to Devolution in the UK</w:t>
      </w:r>
      <w:r w:rsidRPr="00524E23">
        <w:rPr>
          <w:rFonts w:cs="Arial"/>
          <w:sz w:val="24"/>
          <w:szCs w:val="24"/>
        </w:rPr>
        <w:t xml:space="preserve"> (House of Commons Library - Briefing Paper, No CBP 8599, 19 June 2019). </w:t>
      </w:r>
    </w:p>
    <w:p w14:paraId="56A6AE5B"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lastRenderedPageBreak/>
        <w:t>Transport Scotland, ‘</w:t>
      </w:r>
      <w:r w:rsidRPr="00524E23">
        <w:rPr>
          <w:rFonts w:eastAsia="Times New Roman" w:cs="Arial"/>
          <w:sz w:val="24"/>
          <w:szCs w:val="24"/>
          <w:lang w:val="en-US" w:eastAsia="en-US"/>
        </w:rPr>
        <w:t xml:space="preserve">A Long-Term Vision for Active Travel in Scotland 2030’ (November 2014) </w:t>
      </w:r>
      <w:r w:rsidRPr="00524E23">
        <w:rPr>
          <w:rStyle w:val="Hyperlink"/>
          <w:rFonts w:cs="Arial"/>
          <w:sz w:val="24"/>
          <w:szCs w:val="24"/>
        </w:rPr>
        <w:t>&lt;</w:t>
      </w:r>
      <w:hyperlink r:id="rId109" w:history="1">
        <w:r w:rsidRPr="00524E23">
          <w:rPr>
            <w:rStyle w:val="Hyperlink"/>
            <w:rFonts w:cs="Arial"/>
            <w:sz w:val="24"/>
            <w:szCs w:val="24"/>
          </w:rPr>
          <w:t>www.transport.gov.scot/publication/scottish-government-s-long-term-vision-for-active-travel-in-scotland/</w:t>
        </w:r>
      </w:hyperlink>
      <w:r w:rsidRPr="00524E23">
        <w:rPr>
          <w:rStyle w:val="Hyperlink"/>
          <w:rFonts w:cs="Arial"/>
          <w:sz w:val="24"/>
          <w:szCs w:val="24"/>
        </w:rPr>
        <w:t>&gt;</w:t>
      </w:r>
      <w:r w:rsidRPr="00524E23">
        <w:rPr>
          <w:rFonts w:cs="Arial"/>
          <w:sz w:val="24"/>
          <w:szCs w:val="24"/>
        </w:rPr>
        <w:t xml:space="preserve"> accessed 16 April 2020.</w:t>
      </w:r>
    </w:p>
    <w:p w14:paraId="537BB99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Transport Scotland, ‘Active Travel Task Force Delivery Plan’ (June 2018) </w:t>
      </w:r>
      <w:hyperlink w:history="1">
        <w:r w:rsidRPr="00524E23">
          <w:rPr>
            <w:rStyle w:val="Hyperlink"/>
            <w:rFonts w:cs="Arial"/>
            <w:sz w:val="24"/>
            <w:szCs w:val="24"/>
          </w:rPr>
          <w:t>&lt;www.transport.gov.scot/publication/active-travel-taskforce-delivery-plan/&gt;</w:t>
        </w:r>
      </w:hyperlink>
      <w:r w:rsidRPr="00524E23">
        <w:rPr>
          <w:rFonts w:cs="Arial"/>
          <w:sz w:val="24"/>
          <w:szCs w:val="24"/>
        </w:rPr>
        <w:t xml:space="preserve"> accessed 3 February 2020.</w:t>
      </w:r>
    </w:p>
    <w:p w14:paraId="4C8AC7B7"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Transport Scotland, ‘Going Further: Scotland’s Accessible Travel Framework’ </w:t>
      </w:r>
      <w:hyperlink r:id="rId110" w:history="1">
        <w:r w:rsidRPr="00524E23">
          <w:rPr>
            <w:rStyle w:val="Hyperlink"/>
            <w:rFonts w:cs="Arial"/>
            <w:sz w:val="24"/>
            <w:szCs w:val="24"/>
          </w:rPr>
          <w:t>&lt;www.transport.gov.scot/publication/going-further-scotland-s-accessible-travel-framework/&gt;</w:t>
        </w:r>
      </w:hyperlink>
      <w:r w:rsidRPr="00524E23">
        <w:rPr>
          <w:rFonts w:cs="Arial"/>
          <w:sz w:val="24"/>
          <w:szCs w:val="24"/>
        </w:rPr>
        <w:t xml:space="preserve"> accessed 3 February 2020.</w:t>
      </w:r>
    </w:p>
    <w:p w14:paraId="031CA1BC"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Transport Scotland, ‘National Transport Strategy: Protecting our climate and improving lives’ (2019) </w:t>
      </w:r>
      <w:hyperlink w:history="1">
        <w:r w:rsidRPr="00524E23">
          <w:rPr>
            <w:rStyle w:val="Hyperlink"/>
            <w:rFonts w:cs="Arial"/>
            <w:sz w:val="24"/>
            <w:szCs w:val="24"/>
          </w:rPr>
          <w:t>&lt;www.transport.gov.scot/our-approach/national-transport-strategy/&gt;</w:t>
        </w:r>
      </w:hyperlink>
      <w:r w:rsidRPr="00524E23">
        <w:rPr>
          <w:rFonts w:cs="Arial"/>
          <w:sz w:val="24"/>
          <w:szCs w:val="24"/>
        </w:rPr>
        <w:t xml:space="preserve"> accessed 3 February 2020.</w:t>
      </w:r>
    </w:p>
    <w:p w14:paraId="7C754C23" w14:textId="77777777" w:rsidR="0019789C" w:rsidRPr="00524E23" w:rsidRDefault="0019789C" w:rsidP="0004390A">
      <w:pPr>
        <w:pStyle w:val="fntxt"/>
        <w:spacing w:before="120" w:after="0" w:line="240" w:lineRule="auto"/>
        <w:ind w:left="0" w:firstLine="0"/>
        <w:rPr>
          <w:rFonts w:cs="Arial"/>
          <w:sz w:val="24"/>
          <w:szCs w:val="24"/>
        </w:rPr>
      </w:pPr>
      <w:r w:rsidRPr="00524E23">
        <w:rPr>
          <w:rFonts w:cs="Arial"/>
          <w:sz w:val="24"/>
          <w:szCs w:val="24"/>
        </w:rPr>
        <w:t xml:space="preserve">Transport Scotland, </w:t>
      </w:r>
      <w:r w:rsidRPr="00524E23">
        <w:rPr>
          <w:rStyle w:val="fnbookChar"/>
          <w:rFonts w:cs="Arial"/>
          <w:sz w:val="24"/>
          <w:szCs w:val="24"/>
        </w:rPr>
        <w:t>New Roads and Street Works Act 1991: Code of Practice for the Co-ordination of Works in Roads</w:t>
      </w:r>
      <w:r w:rsidRPr="00524E23">
        <w:rPr>
          <w:rFonts w:cs="Arial"/>
          <w:sz w:val="24"/>
          <w:szCs w:val="24"/>
        </w:rPr>
        <w:t xml:space="preserve"> (Version 1, April 2013).</w:t>
      </w:r>
    </w:p>
    <w:p w14:paraId="3AF6C651" w14:textId="77777777" w:rsidR="0019789C" w:rsidRPr="00524E23" w:rsidRDefault="0019789C" w:rsidP="0004390A">
      <w:pPr>
        <w:pStyle w:val="fntxt"/>
        <w:spacing w:before="120" w:after="0" w:line="240" w:lineRule="auto"/>
        <w:ind w:left="0" w:firstLine="0"/>
        <w:rPr>
          <w:rFonts w:cs="Arial"/>
          <w:sz w:val="24"/>
          <w:szCs w:val="24"/>
        </w:rPr>
      </w:pPr>
      <w:r w:rsidRPr="00524E23">
        <w:rPr>
          <w:rFonts w:cs="Arial"/>
          <w:sz w:val="24"/>
          <w:szCs w:val="24"/>
        </w:rPr>
        <w:t>UK Roads Liaison Group (UKRLG), ‘Well-managed Highway Infrastructure - A Code of Practice’ (2016).</w:t>
      </w:r>
    </w:p>
    <w:p w14:paraId="2822D5B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URS AECOM, ‘Glasgow Open Space Strategy Consultative Draft’ (Issue No 49365601/05, prepared for Glasgow City Council) </w:t>
      </w:r>
      <w:hyperlink w:history="1">
        <w:r w:rsidRPr="00524E23">
          <w:rPr>
            <w:rStyle w:val="Hyperlink"/>
            <w:rFonts w:cs="Arial"/>
            <w:sz w:val="24"/>
            <w:szCs w:val="24"/>
          </w:rPr>
          <w:t>&lt;www.glasgowconsult.co.uk/UploadedFiles/110805_Glasgow_Open_Space_Strategy_Final.pdf&gt;</w:t>
        </w:r>
      </w:hyperlink>
      <w:r w:rsidRPr="00524E23">
        <w:rPr>
          <w:rFonts w:cs="Arial"/>
          <w:sz w:val="24"/>
          <w:szCs w:val="24"/>
        </w:rPr>
        <w:t xml:space="preserve"> accessed 15 January 2020.</w:t>
      </w:r>
    </w:p>
    <w:p w14:paraId="5B6C869F"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Weaver M, ‘Cyclist settles case for £30,000 after hitting pedestrian who was looking at phone’ (</w:t>
      </w:r>
      <w:r w:rsidRPr="00524E23">
        <w:rPr>
          <w:rStyle w:val="fnbookChar"/>
          <w:rFonts w:cs="Arial"/>
          <w:sz w:val="24"/>
          <w:szCs w:val="24"/>
        </w:rPr>
        <w:t>The Guardian</w:t>
      </w:r>
      <w:r w:rsidRPr="00524E23">
        <w:rPr>
          <w:rFonts w:cs="Arial"/>
          <w:sz w:val="24"/>
          <w:szCs w:val="24"/>
        </w:rPr>
        <w:t>, 24 February 2020) &lt;</w:t>
      </w:r>
      <w:hyperlink r:id="rId111" w:history="1">
        <w:r w:rsidRPr="00524E23">
          <w:rPr>
            <w:rStyle w:val="Hyperlink"/>
            <w:rFonts w:cs="Arial"/>
            <w:sz w:val="24"/>
            <w:szCs w:val="24"/>
          </w:rPr>
          <w:t>www.theguardian.com/law/2020/feb/24/cyclist-settles-for-30000-pounds-after-hitting-pedestrian-who-was-looking-at-phone</w:t>
        </w:r>
      </w:hyperlink>
      <w:r w:rsidRPr="00524E23">
        <w:rPr>
          <w:rFonts w:cs="Arial"/>
          <w:sz w:val="24"/>
          <w:szCs w:val="24"/>
        </w:rPr>
        <w:t>&gt; accessed 18 May 2020.</w:t>
      </w:r>
    </w:p>
    <w:p w14:paraId="6D7558C0"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West Yorkshire Combined Authority, ‘Transport Strategy 2040’ </w:t>
      </w:r>
      <w:r w:rsidRPr="00524E23">
        <w:rPr>
          <w:rStyle w:val="Hyperlink"/>
          <w:rFonts w:cs="Arial"/>
          <w:sz w:val="24"/>
          <w:szCs w:val="24"/>
        </w:rPr>
        <w:t>&lt;</w:t>
      </w:r>
      <w:hyperlink r:id="rId112" w:history="1">
        <w:r w:rsidRPr="00524E23">
          <w:rPr>
            <w:rStyle w:val="Hyperlink"/>
            <w:rFonts w:cs="Arial"/>
            <w:sz w:val="24"/>
            <w:szCs w:val="24"/>
          </w:rPr>
          <w:t>www.westyorks-ca.gov.uk/media/2379/transport-strategy-2040.pdf</w:t>
        </w:r>
      </w:hyperlink>
      <w:r w:rsidRPr="00524E23">
        <w:rPr>
          <w:rStyle w:val="Hyperlink"/>
          <w:rFonts w:cs="Arial"/>
          <w:sz w:val="24"/>
          <w:szCs w:val="24"/>
        </w:rPr>
        <w:t>&gt;</w:t>
      </w:r>
      <w:r w:rsidRPr="00524E23">
        <w:rPr>
          <w:rFonts w:cs="Arial"/>
          <w:sz w:val="24"/>
          <w:szCs w:val="24"/>
        </w:rPr>
        <w:t xml:space="preserve"> accessed 27 April 2020.</w:t>
      </w:r>
    </w:p>
    <w:p w14:paraId="49DAB988" w14:textId="77777777" w:rsidR="0019789C" w:rsidRPr="00524E23" w:rsidRDefault="0019789C" w:rsidP="006D3C26">
      <w:pPr>
        <w:pStyle w:val="fntxt"/>
        <w:spacing w:before="120" w:after="0" w:line="240" w:lineRule="auto"/>
        <w:rPr>
          <w:rFonts w:cs="Arial"/>
          <w:sz w:val="24"/>
          <w:szCs w:val="24"/>
        </w:rPr>
      </w:pPr>
      <w:r w:rsidRPr="00524E23">
        <w:rPr>
          <w:rFonts w:cs="Arial"/>
          <w:sz w:val="24"/>
          <w:szCs w:val="24"/>
        </w:rPr>
        <w:t>Winfield PH, ‘Nuisance as a Tort’ (1931) 4(2) The Cambridge Law Journal 189.</w:t>
      </w:r>
    </w:p>
    <w:p w14:paraId="670C72F1" w14:textId="77777777" w:rsidR="0019789C" w:rsidRPr="00524E23" w:rsidRDefault="0019789C" w:rsidP="006D3C26">
      <w:pPr>
        <w:pStyle w:val="fntxt"/>
        <w:spacing w:before="120" w:after="0" w:line="240" w:lineRule="auto"/>
        <w:ind w:left="0" w:firstLine="0"/>
        <w:rPr>
          <w:rFonts w:cs="Arial"/>
          <w:sz w:val="24"/>
          <w:szCs w:val="24"/>
        </w:rPr>
      </w:pPr>
      <w:r w:rsidRPr="00524E23">
        <w:rPr>
          <w:rFonts w:cs="Arial"/>
          <w:sz w:val="24"/>
          <w:szCs w:val="24"/>
        </w:rPr>
        <w:t xml:space="preserve">Wylie A and Crossan S, </w:t>
      </w:r>
      <w:r w:rsidRPr="00524E23">
        <w:rPr>
          <w:rStyle w:val="fnbookChar"/>
          <w:rFonts w:cs="Arial"/>
          <w:sz w:val="24"/>
          <w:szCs w:val="24"/>
        </w:rPr>
        <w:t xml:space="preserve">Introductory Scots Law: Theory and Practice </w:t>
      </w:r>
      <w:r w:rsidRPr="00524E23">
        <w:rPr>
          <w:rFonts w:cs="Arial"/>
          <w:sz w:val="24"/>
          <w:szCs w:val="24"/>
        </w:rPr>
        <w:t>(Hodder Gibson 2010).</w:t>
      </w:r>
    </w:p>
    <w:p w14:paraId="33AFEC62" w14:textId="77777777" w:rsidR="0019789C" w:rsidRPr="006B62A5" w:rsidRDefault="0019789C" w:rsidP="00524E23">
      <w:pPr>
        <w:ind w:firstLine="0"/>
      </w:pPr>
    </w:p>
    <w:p w14:paraId="1616888B" w14:textId="7E6E7CFF" w:rsidR="0019789C" w:rsidRDefault="0019789C" w:rsidP="00284CD6">
      <w:pPr>
        <w:pStyle w:val="Heading2"/>
      </w:pPr>
      <w:r>
        <w:t xml:space="preserve">R2 </w:t>
      </w:r>
      <w:r w:rsidRPr="002A65B0">
        <w:t>Table of Legislation</w:t>
      </w:r>
    </w:p>
    <w:p w14:paraId="3D9F3709"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Access to Justice Act 1999</w:t>
      </w:r>
    </w:p>
    <w:p w14:paraId="200F28F1"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Additional Protocol to the European Social Charter Providing for a System of Collective Complaints (1995) ETS No 158</w:t>
      </w:r>
    </w:p>
    <w:p w14:paraId="00A262C5"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Chronically Sick and Disabled Persons Act 1970</w:t>
      </w:r>
    </w:p>
    <w:p w14:paraId="70B3E266"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Civil Procedure Rules</w:t>
      </w:r>
    </w:p>
    <w:p w14:paraId="40016428" w14:textId="77777777" w:rsidR="0019789C" w:rsidRPr="00524E23" w:rsidRDefault="0019789C" w:rsidP="006D3C26">
      <w:pPr>
        <w:spacing w:before="120" w:line="240" w:lineRule="auto"/>
        <w:ind w:firstLine="0"/>
        <w:rPr>
          <w:rFonts w:cs="Arial"/>
          <w:szCs w:val="24"/>
        </w:rPr>
      </w:pPr>
      <w:r w:rsidRPr="00524E23">
        <w:rPr>
          <w:rFonts w:cs="Arial"/>
          <w:szCs w:val="24"/>
        </w:rPr>
        <w:t>Compensation Act 2006</w:t>
      </w:r>
    </w:p>
    <w:p w14:paraId="106C36B7" w14:textId="77777777" w:rsidR="0019789C" w:rsidRPr="00524E23" w:rsidRDefault="0019789C" w:rsidP="006D3C26">
      <w:pPr>
        <w:spacing w:before="120" w:line="240" w:lineRule="auto"/>
        <w:ind w:firstLine="0"/>
        <w:rPr>
          <w:rFonts w:cs="Arial"/>
          <w:szCs w:val="24"/>
        </w:rPr>
      </w:pPr>
      <w:r w:rsidRPr="00524E23">
        <w:rPr>
          <w:rFonts w:cs="Arial"/>
          <w:szCs w:val="24"/>
        </w:rPr>
        <w:t>Consolidated version of the Treaty on the Functioning of the European Union - PROTOCOLS - Protocol (No 30) on the application of the Charter of Fundamental Rights of the European Union to Poland and to the United Kingdom Article 1(1) of Protocol No 30 [2008] OJ C115/313</w:t>
      </w:r>
    </w:p>
    <w:p w14:paraId="367AE52F" w14:textId="3F003F53" w:rsidR="0019789C" w:rsidRPr="00524E23" w:rsidRDefault="0019789C" w:rsidP="00CB4C29">
      <w:pPr>
        <w:pStyle w:val="fntxt"/>
        <w:spacing w:before="120" w:after="0" w:line="240" w:lineRule="auto"/>
        <w:ind w:left="0" w:firstLine="0"/>
        <w:rPr>
          <w:rFonts w:cs="Arial"/>
          <w:sz w:val="24"/>
          <w:szCs w:val="24"/>
        </w:rPr>
      </w:pPr>
      <w:r w:rsidRPr="00524E23">
        <w:rPr>
          <w:rFonts w:cs="Arial"/>
          <w:sz w:val="24"/>
          <w:szCs w:val="24"/>
        </w:rPr>
        <w:t>Council Directive 2000/78/EC of 27 November 2000 establishing a general framework for equal treatment in employment and occupation [2000] OJ L303/16</w:t>
      </w:r>
    </w:p>
    <w:p w14:paraId="227BB857" w14:textId="77777777" w:rsidR="0019789C" w:rsidRPr="00524E23" w:rsidRDefault="0019789C" w:rsidP="006D3C26">
      <w:pPr>
        <w:pStyle w:val="fntxt"/>
        <w:spacing w:before="120" w:after="0" w:line="240" w:lineRule="auto"/>
        <w:rPr>
          <w:rFonts w:cs="Arial"/>
          <w:sz w:val="24"/>
          <w:szCs w:val="24"/>
        </w:rPr>
      </w:pPr>
      <w:r w:rsidRPr="00524E23">
        <w:rPr>
          <w:rFonts w:cs="Arial"/>
          <w:sz w:val="24"/>
          <w:szCs w:val="24"/>
        </w:rPr>
        <w:t>Court of Session Act 1988, as amended by the Courts Reform (Scotland) Act 2014</w:t>
      </w:r>
    </w:p>
    <w:p w14:paraId="7F5B9B5F" w14:textId="77777777" w:rsidR="0019789C" w:rsidRPr="00524E23" w:rsidRDefault="0019789C" w:rsidP="006D3C26">
      <w:pPr>
        <w:spacing w:before="120" w:line="240" w:lineRule="auto"/>
        <w:ind w:firstLine="0"/>
        <w:rPr>
          <w:rFonts w:cs="Arial"/>
          <w:szCs w:val="24"/>
        </w:rPr>
      </w:pPr>
      <w:r w:rsidRPr="00524E23">
        <w:rPr>
          <w:rFonts w:cs="Arial"/>
          <w:szCs w:val="24"/>
        </w:rPr>
        <w:t>Courts and Legal Services Act 1990</w:t>
      </w:r>
    </w:p>
    <w:p w14:paraId="78648D6F" w14:textId="77777777" w:rsidR="0019789C" w:rsidRPr="00524E23" w:rsidRDefault="0019789C" w:rsidP="006D3C26">
      <w:pPr>
        <w:pStyle w:val="fntxt"/>
        <w:spacing w:before="120" w:after="0" w:line="240" w:lineRule="auto"/>
        <w:rPr>
          <w:rFonts w:cs="Arial"/>
          <w:sz w:val="24"/>
          <w:szCs w:val="24"/>
        </w:rPr>
      </w:pPr>
      <w:r w:rsidRPr="00524E23">
        <w:rPr>
          <w:rFonts w:cs="Arial"/>
          <w:sz w:val="24"/>
          <w:szCs w:val="24"/>
        </w:rPr>
        <w:lastRenderedPageBreak/>
        <w:t>Criminal Justice Act 1982</w:t>
      </w:r>
    </w:p>
    <w:p w14:paraId="4492DA54" w14:textId="77777777" w:rsidR="0019789C" w:rsidRPr="001E415B" w:rsidRDefault="0019789C" w:rsidP="006D3C26">
      <w:pPr>
        <w:spacing w:before="120" w:line="240" w:lineRule="auto"/>
        <w:ind w:firstLine="0"/>
        <w:rPr>
          <w:rFonts w:cs="Arial"/>
        </w:rPr>
      </w:pPr>
      <w:r w:rsidRPr="001E415B">
        <w:rPr>
          <w:rFonts w:cs="Arial"/>
        </w:rPr>
        <w:t>Criminal Justice Act 2003</w:t>
      </w:r>
    </w:p>
    <w:p w14:paraId="50CE9DDC" w14:textId="77777777" w:rsidR="0019789C" w:rsidRPr="001E415B" w:rsidRDefault="0019789C" w:rsidP="006D3C26">
      <w:pPr>
        <w:pStyle w:val="fntxt"/>
        <w:spacing w:before="120" w:after="0" w:line="240" w:lineRule="auto"/>
        <w:rPr>
          <w:rFonts w:cs="Arial"/>
          <w:sz w:val="24"/>
          <w:szCs w:val="24"/>
          <w:lang w:val="en-US"/>
        </w:rPr>
      </w:pPr>
      <w:r w:rsidRPr="001E415B">
        <w:rPr>
          <w:rFonts w:cs="Arial"/>
          <w:sz w:val="24"/>
          <w:szCs w:val="24"/>
        </w:rPr>
        <w:t>Criminal Procedure (Scotland) Act 1995</w:t>
      </w:r>
    </w:p>
    <w:p w14:paraId="218AD67E"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Deregulation Act 2015</w:t>
      </w:r>
    </w:p>
    <w:p w14:paraId="665363E2"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Disability Discrimination Act 1995</w:t>
      </w:r>
    </w:p>
    <w:p w14:paraId="282BB337"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Environmental Protection Act 1990</w:t>
      </w:r>
    </w:p>
    <w:p w14:paraId="2F86FDDA" w14:textId="77777777" w:rsidR="0019789C" w:rsidRPr="001E415B" w:rsidRDefault="0019789C" w:rsidP="006D3C26">
      <w:pPr>
        <w:spacing w:before="120" w:line="240" w:lineRule="auto"/>
        <w:ind w:firstLine="0"/>
        <w:rPr>
          <w:rFonts w:cs="Arial"/>
        </w:rPr>
      </w:pPr>
      <w:r w:rsidRPr="001E415B">
        <w:rPr>
          <w:rFonts w:cs="Arial"/>
        </w:rPr>
        <w:t>Equality Act 2006</w:t>
      </w:r>
    </w:p>
    <w:p w14:paraId="68C568DD"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Equality Act 2010</w:t>
      </w:r>
    </w:p>
    <w:p w14:paraId="7854C9DD"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Equality Act 2010 (Disability) Regulations SI 2010 No 2128</w:t>
      </w:r>
    </w:p>
    <w:p w14:paraId="67D10C7B"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Greater London Council (General Powers) Act 1974</w:t>
      </w:r>
    </w:p>
    <w:p w14:paraId="59D8CBC9"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Highways Act 1835</w:t>
      </w:r>
    </w:p>
    <w:p w14:paraId="6D0EB695" w14:textId="77777777" w:rsidR="0019789C" w:rsidRPr="001E415B" w:rsidRDefault="0019789C" w:rsidP="006D3C26">
      <w:pPr>
        <w:spacing w:before="120" w:line="240" w:lineRule="auto"/>
        <w:ind w:firstLine="0"/>
        <w:rPr>
          <w:rFonts w:cs="Arial"/>
        </w:rPr>
      </w:pPr>
      <w:r w:rsidRPr="001E415B">
        <w:rPr>
          <w:rFonts w:cs="Arial"/>
        </w:rPr>
        <w:t>Highways Act 1980</w:t>
      </w:r>
    </w:p>
    <w:p w14:paraId="687F66CA" w14:textId="77777777" w:rsidR="0019789C" w:rsidRPr="001E415B" w:rsidRDefault="0019789C" w:rsidP="006D3C26">
      <w:pPr>
        <w:spacing w:before="120" w:line="240" w:lineRule="auto"/>
        <w:ind w:firstLine="0"/>
        <w:rPr>
          <w:rFonts w:cs="Arial"/>
        </w:rPr>
      </w:pPr>
      <w:r w:rsidRPr="001E415B">
        <w:rPr>
          <w:rFonts w:cs="Arial"/>
        </w:rPr>
        <w:t>Human Rights Act 1998</w:t>
      </w:r>
    </w:p>
    <w:p w14:paraId="7A974C8A"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Interpretation Act 1978</w:t>
      </w:r>
    </w:p>
    <w:p w14:paraId="19603F53"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Law Reform (Contributory Negligence) Act 1945</w:t>
      </w:r>
    </w:p>
    <w:p w14:paraId="1C6A09ED" w14:textId="77777777" w:rsidR="0019789C" w:rsidRPr="001E415B" w:rsidRDefault="0019789C" w:rsidP="006D3C26">
      <w:pPr>
        <w:spacing w:before="120" w:line="240" w:lineRule="auto"/>
        <w:ind w:firstLine="0"/>
        <w:rPr>
          <w:rFonts w:cs="Arial"/>
        </w:rPr>
      </w:pPr>
      <w:r w:rsidRPr="001E415B">
        <w:rPr>
          <w:rFonts w:cs="Arial"/>
        </w:rPr>
        <w:t>Legal Aid, Sentencing and Punishment of Offenders Act 2012</w:t>
      </w:r>
    </w:p>
    <w:p w14:paraId="2B0B9A79"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Limitations Act 1980</w:t>
      </w:r>
    </w:p>
    <w:p w14:paraId="7731D178"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Local Government Act 1972</w:t>
      </w:r>
    </w:p>
    <w:p w14:paraId="4D3DEDAA" w14:textId="77777777" w:rsidR="0019789C" w:rsidRPr="001E415B" w:rsidRDefault="0019789C" w:rsidP="006D3C26">
      <w:pPr>
        <w:spacing w:before="120" w:line="240" w:lineRule="auto"/>
        <w:ind w:firstLine="0"/>
        <w:rPr>
          <w:rFonts w:cs="Arial"/>
        </w:rPr>
      </w:pPr>
      <w:r w:rsidRPr="001E415B">
        <w:rPr>
          <w:rFonts w:cs="Arial"/>
        </w:rPr>
        <w:t>Localism Act 2011</w:t>
      </w:r>
    </w:p>
    <w:p w14:paraId="5BD38360" w14:textId="77777777" w:rsidR="0019789C" w:rsidRPr="001E415B" w:rsidRDefault="0019789C" w:rsidP="006D3C26">
      <w:pPr>
        <w:spacing w:before="120" w:line="240" w:lineRule="auto"/>
        <w:ind w:firstLine="0"/>
        <w:rPr>
          <w:rFonts w:cs="Arial"/>
        </w:rPr>
      </w:pPr>
      <w:r w:rsidRPr="001E415B">
        <w:rPr>
          <w:rFonts w:cs="Arial"/>
        </w:rPr>
        <w:t>New Roads and Street Works Act 1991</w:t>
      </w:r>
    </w:p>
    <w:p w14:paraId="5C63D3F0" w14:textId="738AD733" w:rsidR="0019789C" w:rsidRPr="001E415B" w:rsidRDefault="0019789C" w:rsidP="006D3C26">
      <w:pPr>
        <w:pStyle w:val="fntxt"/>
        <w:spacing w:before="120" w:after="0" w:line="240" w:lineRule="auto"/>
        <w:rPr>
          <w:rFonts w:cs="Arial"/>
          <w:sz w:val="24"/>
          <w:szCs w:val="24"/>
        </w:rPr>
      </w:pPr>
      <w:r w:rsidRPr="001E415B">
        <w:rPr>
          <w:rFonts w:cs="Arial"/>
          <w:sz w:val="24"/>
          <w:szCs w:val="24"/>
        </w:rPr>
        <w:t>Occupiers</w:t>
      </w:r>
      <w:r>
        <w:rPr>
          <w:rFonts w:cs="Arial"/>
          <w:sz w:val="24"/>
          <w:szCs w:val="24"/>
        </w:rPr>
        <w:t>’</w:t>
      </w:r>
      <w:r w:rsidRPr="001E415B">
        <w:rPr>
          <w:rFonts w:cs="Arial"/>
          <w:sz w:val="24"/>
          <w:szCs w:val="24"/>
        </w:rPr>
        <w:t xml:space="preserve"> Liability Act 1957</w:t>
      </w:r>
    </w:p>
    <w:p w14:paraId="7CC684C3" w14:textId="7BFBA588" w:rsidR="0019789C" w:rsidRPr="001E415B" w:rsidRDefault="0019789C" w:rsidP="006D3C26">
      <w:pPr>
        <w:pStyle w:val="fntxt"/>
        <w:spacing w:before="120" w:after="0" w:line="240" w:lineRule="auto"/>
        <w:rPr>
          <w:rFonts w:cs="Arial"/>
          <w:sz w:val="24"/>
          <w:szCs w:val="24"/>
        </w:rPr>
      </w:pPr>
      <w:r w:rsidRPr="001E415B">
        <w:rPr>
          <w:rFonts w:cs="Arial"/>
          <w:sz w:val="24"/>
          <w:szCs w:val="24"/>
        </w:rPr>
        <w:t>Occupiers</w:t>
      </w:r>
      <w:r>
        <w:rPr>
          <w:rFonts w:cs="Arial"/>
          <w:sz w:val="24"/>
          <w:szCs w:val="24"/>
        </w:rPr>
        <w:t>’</w:t>
      </w:r>
      <w:r w:rsidRPr="001E415B">
        <w:rPr>
          <w:rFonts w:cs="Arial"/>
          <w:sz w:val="24"/>
          <w:szCs w:val="24"/>
        </w:rPr>
        <w:t xml:space="preserve"> Liability Act 1984</w:t>
      </w:r>
    </w:p>
    <w:p w14:paraId="66E0203A" w14:textId="77777777" w:rsidR="0019789C" w:rsidRPr="001E415B" w:rsidRDefault="0019789C" w:rsidP="006D3C26">
      <w:pPr>
        <w:spacing w:before="120" w:line="240" w:lineRule="auto"/>
        <w:ind w:firstLine="0"/>
        <w:rPr>
          <w:rFonts w:cs="Arial"/>
        </w:rPr>
      </w:pPr>
      <w:r w:rsidRPr="001E415B">
        <w:rPr>
          <w:rFonts w:cs="Arial"/>
        </w:rPr>
        <w:t>Powers of Criminal Courts (Sentencing) Act 2000</w:t>
      </w:r>
    </w:p>
    <w:p w14:paraId="3F4146C8" w14:textId="77777777" w:rsidR="0019789C" w:rsidRPr="001E415B" w:rsidRDefault="0019789C" w:rsidP="006D3C26">
      <w:pPr>
        <w:spacing w:before="120" w:line="240" w:lineRule="auto"/>
        <w:ind w:firstLine="0"/>
        <w:rPr>
          <w:rStyle w:val="apple-converted-space"/>
          <w:rFonts w:cs="Arial"/>
          <w:shd w:val="clear" w:color="auto" w:fill="FFFFFF"/>
        </w:rPr>
      </w:pPr>
      <w:r w:rsidRPr="001E415B">
        <w:rPr>
          <w:rFonts w:cs="Arial"/>
        </w:rPr>
        <w:t>Removal of Obstructions from Highways (Notices etc.) (England) Regulations 2004 (SI 2004/370)</w:t>
      </w:r>
    </w:p>
    <w:p w14:paraId="46454E35" w14:textId="77777777" w:rsidR="0019789C" w:rsidRPr="001E415B" w:rsidRDefault="0019789C" w:rsidP="006D3C26">
      <w:pPr>
        <w:spacing w:before="120" w:line="240" w:lineRule="auto"/>
        <w:ind w:firstLine="0"/>
        <w:rPr>
          <w:rFonts w:cs="Arial"/>
          <w:shd w:val="clear" w:color="auto" w:fill="FFFFFF"/>
        </w:rPr>
      </w:pPr>
      <w:r w:rsidRPr="001E415B">
        <w:rPr>
          <w:rFonts w:cs="Arial"/>
        </w:rPr>
        <w:t>Removal of Obstructions from Highways (Wales) Regulations 2004 (SI 2004/317)</w:t>
      </w:r>
    </w:p>
    <w:p w14:paraId="6BD62224"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Road Traffic Act 1988</w:t>
      </w:r>
    </w:p>
    <w:p w14:paraId="10E8A595"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Road Traffic Offenders Act 1988</w:t>
      </w:r>
    </w:p>
    <w:p w14:paraId="48250B30" w14:textId="77777777" w:rsidR="0019789C" w:rsidRPr="001E415B" w:rsidRDefault="0019789C" w:rsidP="006D3C26">
      <w:pPr>
        <w:spacing w:before="120" w:line="240" w:lineRule="auto"/>
        <w:ind w:firstLine="0"/>
        <w:rPr>
          <w:rFonts w:cs="Arial"/>
          <w:shd w:val="clear" w:color="auto" w:fill="FFFFFF"/>
        </w:rPr>
      </w:pPr>
      <w:r w:rsidRPr="001E415B">
        <w:rPr>
          <w:rFonts w:cs="Arial"/>
        </w:rPr>
        <w:t>Road Traffic Regulation Act 1984</w:t>
      </w:r>
    </w:p>
    <w:p w14:paraId="502B03E8"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Road Vehicles (Construction and Use) Regulations 1986</w:t>
      </w:r>
    </w:p>
    <w:p w14:paraId="1D41C276" w14:textId="77777777" w:rsidR="0019789C" w:rsidRPr="001E415B" w:rsidRDefault="0019789C" w:rsidP="006D3C26">
      <w:pPr>
        <w:spacing w:before="120" w:line="240" w:lineRule="auto"/>
        <w:ind w:firstLine="0"/>
        <w:rPr>
          <w:rFonts w:cs="Arial"/>
        </w:rPr>
      </w:pPr>
      <w:r w:rsidRPr="001E415B">
        <w:rPr>
          <w:rFonts w:cs="Arial"/>
        </w:rPr>
        <w:t>Roads (Scotland) Act 1984</w:t>
      </w:r>
    </w:p>
    <w:p w14:paraId="7ECDE0E9"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Scottish Road Works Commissioner (Imposition of Penalties) Regulations 2007 (SSI 2007/411)</w:t>
      </w:r>
    </w:p>
    <w:p w14:paraId="3B3A45C1" w14:textId="77777777" w:rsidR="0019789C" w:rsidRPr="001E415B" w:rsidRDefault="0019789C" w:rsidP="006D3C26">
      <w:pPr>
        <w:pStyle w:val="fntxt"/>
        <w:spacing w:before="120" w:after="0" w:line="240" w:lineRule="auto"/>
        <w:ind w:left="0" w:firstLine="0"/>
        <w:rPr>
          <w:rFonts w:eastAsia="Times New Roman" w:cs="Arial"/>
          <w:sz w:val="24"/>
          <w:szCs w:val="24"/>
          <w:lang w:val="en-US" w:eastAsia="en-US"/>
        </w:rPr>
      </w:pPr>
      <w:r w:rsidRPr="001E415B">
        <w:rPr>
          <w:rFonts w:cs="Arial"/>
          <w:sz w:val="24"/>
          <w:szCs w:val="24"/>
          <w:shd w:val="clear" w:color="auto" w:fill="FFFFFF"/>
        </w:rPr>
        <w:t>Sexual Offences Act 2003</w:t>
      </w:r>
    </w:p>
    <w:p w14:paraId="4592C15F"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Social Action, Responsibility and Heroism Act 2015</w:t>
      </w:r>
    </w:p>
    <w:p w14:paraId="2A11458F" w14:textId="77777777" w:rsidR="0019789C" w:rsidRPr="001E415B" w:rsidRDefault="0019789C" w:rsidP="006D3C26">
      <w:pPr>
        <w:pStyle w:val="fntxt"/>
        <w:spacing w:before="120" w:after="0" w:line="240" w:lineRule="auto"/>
        <w:ind w:left="0" w:firstLine="0"/>
        <w:rPr>
          <w:rFonts w:eastAsia="Times New Roman" w:cs="Arial"/>
          <w:sz w:val="24"/>
          <w:szCs w:val="24"/>
          <w:shd w:val="clear" w:color="auto" w:fill="FFFFFF"/>
          <w:lang w:val="en-US" w:eastAsia="en-US"/>
        </w:rPr>
      </w:pPr>
      <w:r w:rsidRPr="001E415B">
        <w:rPr>
          <w:rFonts w:eastAsia="Times New Roman" w:cs="Arial"/>
          <w:sz w:val="24"/>
          <w:szCs w:val="24"/>
          <w:shd w:val="clear" w:color="auto" w:fill="FFFFFF"/>
          <w:lang w:val="en-US" w:eastAsia="en-US"/>
        </w:rPr>
        <w:t>Street Offences Act 1959</w:t>
      </w:r>
    </w:p>
    <w:p w14:paraId="73A655F0" w14:textId="77777777" w:rsidR="0019789C" w:rsidRPr="001E415B" w:rsidRDefault="0019789C" w:rsidP="006D3C26">
      <w:pPr>
        <w:pStyle w:val="fntxt"/>
        <w:spacing w:before="120" w:after="0" w:line="240" w:lineRule="auto"/>
        <w:ind w:left="0" w:firstLine="0"/>
        <w:rPr>
          <w:rFonts w:cs="Arial"/>
          <w:iCs/>
          <w:sz w:val="24"/>
          <w:szCs w:val="24"/>
        </w:rPr>
      </w:pPr>
      <w:r w:rsidRPr="001E415B">
        <w:rPr>
          <w:rFonts w:cs="Arial"/>
          <w:iCs/>
          <w:sz w:val="24"/>
          <w:szCs w:val="24"/>
        </w:rPr>
        <w:t>Supreme Court Act</w:t>
      </w:r>
      <w:r w:rsidRPr="001E415B">
        <w:rPr>
          <w:rFonts w:cs="Arial"/>
          <w:sz w:val="24"/>
          <w:szCs w:val="24"/>
        </w:rPr>
        <w:t xml:space="preserve"> </w:t>
      </w:r>
      <w:r w:rsidRPr="001E415B">
        <w:rPr>
          <w:rFonts w:cs="Arial"/>
          <w:iCs/>
          <w:sz w:val="24"/>
          <w:szCs w:val="24"/>
        </w:rPr>
        <w:t xml:space="preserve">1981 </w:t>
      </w:r>
    </w:p>
    <w:p w14:paraId="4F3BD3F8"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The Equality Act 2010 (Specific Duties) (Scotland) Amendment Regulations 2015</w:t>
      </w:r>
    </w:p>
    <w:p w14:paraId="453FADA1"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lastRenderedPageBreak/>
        <w:t>The Equality Act 2010 (Specific Duties) (Scotland) Amendment Regulations 2016</w:t>
      </w:r>
    </w:p>
    <w:p w14:paraId="36F4DFD7" w14:textId="77777777" w:rsidR="0019789C" w:rsidRPr="001E415B" w:rsidRDefault="0019789C" w:rsidP="006D3C26">
      <w:pPr>
        <w:pStyle w:val="fntxt"/>
        <w:spacing w:before="120" w:after="0" w:line="240" w:lineRule="auto"/>
        <w:rPr>
          <w:rFonts w:cs="Arial"/>
          <w:sz w:val="24"/>
          <w:szCs w:val="24"/>
        </w:rPr>
      </w:pPr>
      <w:r w:rsidRPr="001E415B">
        <w:rPr>
          <w:rFonts w:cs="Arial"/>
          <w:sz w:val="24"/>
          <w:szCs w:val="24"/>
        </w:rPr>
        <w:t>The Equality Act 2010 (Specific Duties) (Scotland) Regulations 2012</w:t>
      </w:r>
    </w:p>
    <w:p w14:paraId="6B3C1996" w14:textId="6A70A451" w:rsidR="0019789C" w:rsidRPr="001E415B" w:rsidRDefault="0019789C" w:rsidP="006D3C26">
      <w:pPr>
        <w:pStyle w:val="fntxt"/>
        <w:spacing w:before="120" w:after="0" w:line="240" w:lineRule="auto"/>
        <w:rPr>
          <w:rFonts w:cs="Arial"/>
          <w:sz w:val="24"/>
          <w:szCs w:val="24"/>
        </w:rPr>
      </w:pPr>
      <w:r w:rsidRPr="001E415B">
        <w:rPr>
          <w:rFonts w:cs="Arial"/>
          <w:sz w:val="24"/>
          <w:szCs w:val="24"/>
        </w:rPr>
        <w:t xml:space="preserve">The Equality Act 2010 (Specific </w:t>
      </w:r>
      <w:r>
        <w:rPr>
          <w:rFonts w:cs="Arial"/>
          <w:sz w:val="24"/>
          <w:szCs w:val="24"/>
        </w:rPr>
        <w:t>Duties) (Wales) Regulations 2011</w:t>
      </w:r>
    </w:p>
    <w:p w14:paraId="7BAE9190"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The Equality Act 2010 (Specific Duties) Regulations 2011</w:t>
      </w:r>
    </w:p>
    <w:p w14:paraId="73134E1A" w14:textId="77777777" w:rsidR="0019789C" w:rsidRPr="001E415B" w:rsidRDefault="0019789C" w:rsidP="006D3C26">
      <w:pPr>
        <w:tabs>
          <w:tab w:val="left" w:pos="1020"/>
        </w:tabs>
        <w:spacing w:before="120" w:line="240" w:lineRule="auto"/>
        <w:ind w:firstLine="0"/>
        <w:rPr>
          <w:rFonts w:cs="Arial"/>
        </w:rPr>
      </w:pPr>
      <w:r w:rsidRPr="001E415B">
        <w:rPr>
          <w:rFonts w:cs="Arial"/>
        </w:rPr>
        <w:t>The Roads (Northern Ireland) Order 1993</w:t>
      </w:r>
    </w:p>
    <w:p w14:paraId="46A820F9"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The Town and Country Planning (Development Management Procedure) (Scotland) Regulations 2008</w:t>
      </w:r>
    </w:p>
    <w:p w14:paraId="3B05CF18" w14:textId="77777777" w:rsidR="0019789C" w:rsidRPr="001E415B" w:rsidRDefault="0019789C" w:rsidP="006D3C26">
      <w:pPr>
        <w:pStyle w:val="fntxt"/>
        <w:spacing w:before="120" w:after="0" w:line="240" w:lineRule="auto"/>
        <w:ind w:left="0" w:firstLine="0"/>
        <w:rPr>
          <w:rFonts w:cs="Arial"/>
          <w:sz w:val="24"/>
          <w:szCs w:val="24"/>
        </w:rPr>
      </w:pPr>
      <w:r w:rsidRPr="001E415B">
        <w:rPr>
          <w:rFonts w:cs="Arial"/>
          <w:sz w:val="24"/>
          <w:szCs w:val="24"/>
        </w:rPr>
        <w:t>Town and Country Planning Act 1990</w:t>
      </w:r>
    </w:p>
    <w:p w14:paraId="68E68F01" w14:textId="77777777" w:rsidR="0019789C" w:rsidRPr="001E415B" w:rsidRDefault="0019789C" w:rsidP="006D3C26">
      <w:pPr>
        <w:spacing w:before="120" w:line="240" w:lineRule="auto"/>
        <w:ind w:firstLine="0"/>
        <w:rPr>
          <w:rFonts w:cs="Arial"/>
        </w:rPr>
      </w:pPr>
      <w:r w:rsidRPr="001E415B">
        <w:rPr>
          <w:rFonts w:cs="Arial"/>
        </w:rPr>
        <w:t>Traffic Management Act 2004</w:t>
      </w:r>
    </w:p>
    <w:p w14:paraId="7008F78C" w14:textId="77777777" w:rsidR="0019789C" w:rsidRPr="001E415B" w:rsidRDefault="0019789C" w:rsidP="006D3C26">
      <w:pPr>
        <w:spacing w:before="120" w:line="240" w:lineRule="auto"/>
        <w:ind w:firstLine="0"/>
        <w:rPr>
          <w:rFonts w:cs="Arial"/>
        </w:rPr>
      </w:pPr>
      <w:r w:rsidRPr="001E415B">
        <w:rPr>
          <w:rFonts w:cs="Arial"/>
        </w:rPr>
        <w:t>Transport (Scotland) Bill 2019</w:t>
      </w:r>
    </w:p>
    <w:p w14:paraId="3988B89B" w14:textId="77777777" w:rsidR="0019789C" w:rsidRDefault="0019789C" w:rsidP="00524E23">
      <w:pPr>
        <w:ind w:firstLine="0"/>
      </w:pPr>
    </w:p>
    <w:p w14:paraId="7B0958BA" w14:textId="41D0AAB1" w:rsidR="0019789C" w:rsidRPr="002A65B0" w:rsidRDefault="0019789C" w:rsidP="006D3C26">
      <w:pPr>
        <w:pStyle w:val="Heading2"/>
      </w:pPr>
      <w:r>
        <w:t xml:space="preserve">R3 </w:t>
      </w:r>
      <w:r w:rsidRPr="002A65B0">
        <w:t>Table of Cases</w:t>
      </w:r>
    </w:p>
    <w:p w14:paraId="7B514D81"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A C Billings &amp; Sons Ltd v Riden </w:t>
      </w:r>
      <w:r w:rsidRPr="00A67372">
        <w:rPr>
          <w:rFonts w:cs="Arial"/>
          <w:sz w:val="24"/>
          <w:szCs w:val="24"/>
        </w:rPr>
        <w:t>[1957] 3 All ER 1 (HL).</w:t>
      </w:r>
    </w:p>
    <w:p w14:paraId="7917594D"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A M F International Ltd v Magnet Bowling Ltd and Another</w:t>
      </w:r>
      <w:r w:rsidRPr="00A67372">
        <w:rPr>
          <w:rFonts w:cs="Arial"/>
          <w:sz w:val="24"/>
          <w:szCs w:val="24"/>
        </w:rPr>
        <w:t xml:space="preserve"> [1968] 2 All ER 789.</w:t>
      </w:r>
    </w:p>
    <w:p w14:paraId="0FC9E087" w14:textId="77777777" w:rsidR="0019789C" w:rsidRPr="00A67372" w:rsidRDefault="0019789C" w:rsidP="006D3C26">
      <w:pPr>
        <w:pStyle w:val="fntxt"/>
        <w:spacing w:before="120" w:after="0" w:line="240" w:lineRule="auto"/>
        <w:rPr>
          <w:rStyle w:val="fncaseChar"/>
          <w:rFonts w:cs="Arial"/>
          <w:i w:val="0"/>
          <w:color w:val="000000"/>
          <w:sz w:val="24"/>
          <w:szCs w:val="24"/>
        </w:rPr>
      </w:pPr>
      <w:r w:rsidRPr="00A67372">
        <w:rPr>
          <w:rFonts w:cs="Arial"/>
          <w:i/>
          <w:sz w:val="24"/>
          <w:szCs w:val="24"/>
        </w:rPr>
        <w:t>Abertawe Bro Morgannwg University Local Health Board v Morgan</w:t>
      </w:r>
      <w:r w:rsidRPr="00A67372">
        <w:rPr>
          <w:rFonts w:cs="Arial"/>
          <w:sz w:val="24"/>
          <w:szCs w:val="24"/>
        </w:rPr>
        <w:t xml:space="preserve"> [2018] ICR 1194.</w:t>
      </w:r>
    </w:p>
    <w:p w14:paraId="4EB750C4"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Aderemi v London and South Eastern Railway Ltd</w:t>
      </w:r>
      <w:r w:rsidRPr="00A67372">
        <w:rPr>
          <w:rFonts w:cs="Arial"/>
          <w:sz w:val="24"/>
          <w:szCs w:val="24"/>
        </w:rPr>
        <w:t xml:space="preserve"> [2013] All ER (D) 201 (Feb).</w:t>
      </w:r>
    </w:p>
    <w:p w14:paraId="69A2521B"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Ahanonu v South East London and Kent Bus Co Ltd </w:t>
      </w:r>
      <w:r w:rsidRPr="00A67372">
        <w:rPr>
          <w:rFonts w:cs="Arial"/>
          <w:sz w:val="24"/>
          <w:szCs w:val="24"/>
        </w:rPr>
        <w:t>[2008] EWCA Civ 274.</w:t>
      </w:r>
    </w:p>
    <w:p w14:paraId="1334CD06"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Ali v Bradford Metropolitan District Council</w:t>
      </w:r>
      <w:r w:rsidRPr="00A67372">
        <w:rPr>
          <w:rFonts w:cs="Arial"/>
          <w:sz w:val="24"/>
          <w:szCs w:val="24"/>
        </w:rPr>
        <w:t xml:space="preserve"> [2010] EWCA Civ 1282, [2012] 1 WLR 161.</w:t>
      </w:r>
    </w:p>
    <w:p w14:paraId="6BAA1247" w14:textId="5B19156B" w:rsidR="0019789C" w:rsidRPr="00A67372" w:rsidRDefault="0019789C" w:rsidP="006D3C26">
      <w:pPr>
        <w:pStyle w:val="fntxt"/>
        <w:spacing w:before="120" w:after="0" w:line="240" w:lineRule="auto"/>
        <w:ind w:left="0" w:firstLine="0"/>
        <w:rPr>
          <w:rStyle w:val="FootnoteTextChar"/>
          <w:rFonts w:cs="Arial"/>
          <w:sz w:val="24"/>
          <w:szCs w:val="24"/>
        </w:rPr>
      </w:pPr>
      <w:r w:rsidRPr="00A67372">
        <w:rPr>
          <w:rStyle w:val="fncaseChar"/>
          <w:rFonts w:cs="Arial"/>
          <w:sz w:val="24"/>
          <w:szCs w:val="24"/>
        </w:rPr>
        <w:t>Ananyev and others v Russia</w:t>
      </w:r>
      <w:r w:rsidRPr="00A67372">
        <w:rPr>
          <w:rFonts w:cs="Arial"/>
          <w:sz w:val="24"/>
          <w:szCs w:val="24"/>
        </w:rPr>
        <w:t xml:space="preserve"> App Nos 42525/07 and 60800/08 (ECtHR, 10 January 2012).</w:t>
      </w:r>
    </w:p>
    <w:p w14:paraId="768C2959" w14:textId="77777777" w:rsidR="0019789C" w:rsidRPr="00A67372" w:rsidRDefault="0019789C" w:rsidP="006D3C26">
      <w:pPr>
        <w:spacing w:before="120" w:line="240" w:lineRule="auto"/>
        <w:ind w:firstLine="0"/>
        <w:jc w:val="left"/>
        <w:rPr>
          <w:rStyle w:val="FootnoteTextChar"/>
          <w:rFonts w:cs="Arial"/>
          <w:sz w:val="24"/>
          <w:szCs w:val="24"/>
        </w:rPr>
      </w:pPr>
      <w:r w:rsidRPr="00A67372">
        <w:rPr>
          <w:rStyle w:val="fncaseChar"/>
          <w:rFonts w:cs="Arial"/>
          <w:sz w:val="24"/>
          <w:szCs w:val="24"/>
        </w:rPr>
        <w:t>Archibald v Fife Council</w:t>
      </w:r>
      <w:r w:rsidRPr="00A67372">
        <w:rPr>
          <w:rFonts w:cs="Arial"/>
          <w:i/>
          <w:szCs w:val="24"/>
        </w:rPr>
        <w:t xml:space="preserve"> </w:t>
      </w:r>
      <w:r w:rsidRPr="00A67372">
        <w:rPr>
          <w:rFonts w:cs="Arial"/>
          <w:szCs w:val="24"/>
        </w:rPr>
        <w:t>[2004]</w:t>
      </w:r>
      <w:r w:rsidRPr="00A67372">
        <w:rPr>
          <w:rFonts w:cs="Arial"/>
          <w:i/>
          <w:szCs w:val="24"/>
        </w:rPr>
        <w:t xml:space="preserve"> </w:t>
      </w:r>
      <w:r w:rsidRPr="00A67372">
        <w:rPr>
          <w:rFonts w:cs="Arial"/>
          <w:szCs w:val="24"/>
        </w:rPr>
        <w:t>UKHL 32.</w:t>
      </w:r>
    </w:p>
    <w:p w14:paraId="7A1B2966"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Attorney General v Bastow</w:t>
      </w:r>
      <w:r w:rsidRPr="00A67372">
        <w:rPr>
          <w:rFonts w:cs="Arial"/>
          <w:sz w:val="24"/>
          <w:szCs w:val="24"/>
        </w:rPr>
        <w:t xml:space="preserve"> [1957] 1 QB 514.</w:t>
      </w:r>
    </w:p>
    <w:p w14:paraId="7F1027CF" w14:textId="77777777" w:rsidR="0019789C" w:rsidRPr="00A67372" w:rsidRDefault="0019789C" w:rsidP="006D3C26">
      <w:pPr>
        <w:spacing w:before="120" w:line="240" w:lineRule="auto"/>
        <w:ind w:firstLine="0"/>
        <w:jc w:val="left"/>
        <w:rPr>
          <w:rFonts w:cs="Arial"/>
          <w:szCs w:val="24"/>
        </w:rPr>
      </w:pPr>
      <w:r w:rsidRPr="00A67372">
        <w:rPr>
          <w:rStyle w:val="fncaseChar"/>
          <w:rFonts w:cs="Arial"/>
          <w:sz w:val="24"/>
          <w:szCs w:val="24"/>
        </w:rPr>
        <w:t>Attorney General v Denby</w:t>
      </w:r>
      <w:r w:rsidRPr="00A67372">
        <w:rPr>
          <w:rStyle w:val="FootnoteTextChar"/>
          <w:rFonts w:cs="Arial"/>
          <w:sz w:val="24"/>
          <w:szCs w:val="24"/>
        </w:rPr>
        <w:t xml:space="preserve"> [1925] Ch 596.</w:t>
      </w:r>
    </w:p>
    <w:p w14:paraId="29D436D9" w14:textId="77777777" w:rsidR="0019789C" w:rsidRPr="00A67372" w:rsidRDefault="0019789C" w:rsidP="006D3C26">
      <w:pPr>
        <w:spacing w:before="120" w:line="240" w:lineRule="auto"/>
        <w:ind w:firstLine="0"/>
        <w:jc w:val="left"/>
        <w:rPr>
          <w:rFonts w:cs="Arial"/>
          <w:szCs w:val="24"/>
          <w:shd w:val="clear" w:color="auto" w:fill="FFFFFF"/>
        </w:rPr>
      </w:pPr>
      <w:r w:rsidRPr="00A67372">
        <w:rPr>
          <w:rStyle w:val="fncaseChar"/>
          <w:rFonts w:cs="Arial"/>
          <w:sz w:val="24"/>
          <w:szCs w:val="24"/>
        </w:rPr>
        <w:t xml:space="preserve">Attorney General v PYA Quarries Ltd (No.1) </w:t>
      </w:r>
      <w:r w:rsidRPr="00A67372">
        <w:rPr>
          <w:rFonts w:cs="Arial"/>
          <w:szCs w:val="24"/>
        </w:rPr>
        <w:t>[1957] 2 QB 169.</w:t>
      </w:r>
    </w:p>
    <w:p w14:paraId="4D48E60B"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Barnett v Chelsea and Kensington Hospital Management</w:t>
      </w:r>
      <w:r w:rsidRPr="00A67372">
        <w:rPr>
          <w:rFonts w:cs="Arial"/>
          <w:sz w:val="24"/>
          <w:szCs w:val="24"/>
        </w:rPr>
        <w:t xml:space="preserve"> [1969] 1 QB 428.</w:t>
      </w:r>
    </w:p>
    <w:p w14:paraId="00AE0B38"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Barwood Strategic Land II LLP v East Staffordshire BC, Secretary of State for Communities and Local Government</w:t>
      </w:r>
      <w:r w:rsidRPr="00A67372">
        <w:rPr>
          <w:rFonts w:cs="Arial"/>
          <w:sz w:val="24"/>
          <w:szCs w:val="24"/>
        </w:rPr>
        <w:t xml:space="preserve"> [2017] EWCA Civ 893.</w:t>
      </w:r>
    </w:p>
    <w:p w14:paraId="2FF100F1"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Beckett v Newalls Insulation Co Ltd </w:t>
      </w:r>
      <w:r w:rsidRPr="00A67372">
        <w:rPr>
          <w:rFonts w:cs="Arial"/>
          <w:sz w:val="24"/>
          <w:szCs w:val="24"/>
        </w:rPr>
        <w:t>[1953] 1 All ER 250.</w:t>
      </w:r>
    </w:p>
    <w:p w14:paraId="4BBDEDBA" w14:textId="77777777" w:rsidR="0019789C" w:rsidRPr="00A67372" w:rsidRDefault="0019789C" w:rsidP="006D3C26">
      <w:pPr>
        <w:spacing w:before="120" w:line="240" w:lineRule="auto"/>
        <w:ind w:firstLine="0"/>
        <w:jc w:val="left"/>
        <w:rPr>
          <w:rFonts w:cs="Arial"/>
          <w:szCs w:val="24"/>
        </w:rPr>
      </w:pPr>
      <w:r w:rsidRPr="00A67372">
        <w:rPr>
          <w:rStyle w:val="fncaseChar"/>
          <w:rFonts w:cs="Arial"/>
          <w:sz w:val="24"/>
          <w:szCs w:val="24"/>
        </w:rPr>
        <w:t>Bennett v J Lamont &amp; Sons</w:t>
      </w:r>
      <w:r w:rsidRPr="00A67372">
        <w:rPr>
          <w:rFonts w:cs="Arial"/>
          <w:szCs w:val="24"/>
        </w:rPr>
        <w:t xml:space="preserve"> (1999) 2000 SLT 17.</w:t>
      </w:r>
    </w:p>
    <w:p w14:paraId="5055C52F"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Billington v Maguire and another</w:t>
      </w:r>
      <w:r w:rsidRPr="00A67372">
        <w:rPr>
          <w:rFonts w:cs="Arial"/>
          <w:sz w:val="24"/>
          <w:szCs w:val="24"/>
        </w:rPr>
        <w:t xml:space="preserve"> [2001] EWCA Civ 273.</w:t>
      </w:r>
    </w:p>
    <w:p w14:paraId="057A7EAF"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Birmingham City Council v Sharif</w:t>
      </w:r>
      <w:r w:rsidRPr="00A67372">
        <w:rPr>
          <w:rFonts w:cs="Arial"/>
          <w:iCs/>
          <w:sz w:val="24"/>
          <w:szCs w:val="24"/>
        </w:rPr>
        <w:t xml:space="preserve"> </w:t>
      </w:r>
      <w:r w:rsidRPr="00A67372">
        <w:rPr>
          <w:rFonts w:eastAsia="Times New Roman" w:cs="Arial"/>
          <w:sz w:val="24"/>
          <w:szCs w:val="24"/>
          <w:lang w:val="en-US" w:eastAsia="en-US"/>
        </w:rPr>
        <w:t>[2019] EWHC 1268 (QB).</w:t>
      </w:r>
    </w:p>
    <w:p w14:paraId="475AB48C"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Blyth v Birmingham Waterworks Co</w:t>
      </w:r>
      <w:r w:rsidRPr="00A67372">
        <w:rPr>
          <w:rFonts w:cs="Arial"/>
          <w:sz w:val="24"/>
          <w:szCs w:val="24"/>
        </w:rPr>
        <w:t xml:space="preserve"> [1843-60] All ER Rep 478.</w:t>
      </w:r>
    </w:p>
    <w:p w14:paraId="7DCD48CE"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Bolton v Stone </w:t>
      </w:r>
      <w:r w:rsidRPr="00A67372">
        <w:rPr>
          <w:rFonts w:cs="Arial"/>
          <w:sz w:val="24"/>
          <w:szCs w:val="24"/>
        </w:rPr>
        <w:t>[1951] AC 850.</w:t>
      </w:r>
    </w:p>
    <w:p w14:paraId="476F00E5"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Botta v Italy</w:t>
      </w:r>
      <w:r w:rsidRPr="00A67372">
        <w:rPr>
          <w:rFonts w:cs="Arial"/>
          <w:sz w:val="24"/>
          <w:szCs w:val="24"/>
        </w:rPr>
        <w:t xml:space="preserve"> App No 21439/93 (1998) 26 EHRR 24.</w:t>
      </w:r>
    </w:p>
    <w:p w14:paraId="088226FD"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t>Bourhill v Young</w:t>
      </w:r>
      <w:r w:rsidRPr="00A67372">
        <w:rPr>
          <w:rFonts w:cs="Arial"/>
          <w:sz w:val="24"/>
          <w:szCs w:val="24"/>
        </w:rPr>
        <w:t xml:space="preserve"> [1943] AC 92.</w:t>
      </w:r>
    </w:p>
    <w:p w14:paraId="041E6A91"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Boyce v Paddington Borough Council</w:t>
      </w:r>
      <w:r w:rsidRPr="00A67372">
        <w:rPr>
          <w:rFonts w:cs="Arial"/>
          <w:sz w:val="24"/>
          <w:szCs w:val="24"/>
        </w:rPr>
        <w:t xml:space="preserve"> [1903] 1 Ch 109.</w:t>
      </w:r>
    </w:p>
    <w:p w14:paraId="1DEAE810"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 xml:space="preserve">Broome v Cassell &amp; Co Ltd </w:t>
      </w:r>
      <w:r w:rsidRPr="00A67372">
        <w:rPr>
          <w:rFonts w:cs="Arial"/>
          <w:sz w:val="24"/>
          <w:szCs w:val="24"/>
        </w:rPr>
        <w:t>[1972] AC 1027.</w:t>
      </w:r>
    </w:p>
    <w:p w14:paraId="57D567CE"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Buchanan v CPS</w:t>
      </w:r>
      <w:r w:rsidRPr="00A67372">
        <w:rPr>
          <w:rFonts w:cs="Arial"/>
          <w:sz w:val="24"/>
          <w:szCs w:val="24"/>
        </w:rPr>
        <w:t xml:space="preserve"> [2018] EWHC 1773.</w:t>
      </w:r>
    </w:p>
    <w:p w14:paraId="30FC3A4E"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lastRenderedPageBreak/>
        <w:t>Bunker v Charles Brand &amp; Son Ltd</w:t>
      </w:r>
      <w:r w:rsidRPr="00A67372">
        <w:rPr>
          <w:rFonts w:cs="Arial"/>
          <w:i/>
          <w:sz w:val="24"/>
          <w:szCs w:val="24"/>
        </w:rPr>
        <w:t xml:space="preserve"> </w:t>
      </w:r>
      <w:r w:rsidRPr="00A67372">
        <w:rPr>
          <w:rFonts w:cs="Arial"/>
          <w:sz w:val="24"/>
          <w:szCs w:val="24"/>
        </w:rPr>
        <w:t>[1969] 2 All ER 59 (QB).</w:t>
      </w:r>
    </w:p>
    <w:p w14:paraId="57558E76" w14:textId="77777777" w:rsidR="0019789C" w:rsidRPr="00A67372" w:rsidRDefault="0019789C" w:rsidP="006D3C26">
      <w:pPr>
        <w:pStyle w:val="fntxt"/>
        <w:spacing w:before="120" w:after="0" w:line="240" w:lineRule="auto"/>
        <w:rPr>
          <w:rFonts w:cs="Arial"/>
          <w:sz w:val="24"/>
          <w:szCs w:val="24"/>
          <w:lang w:val="en-US"/>
        </w:rPr>
      </w:pPr>
      <w:r w:rsidRPr="00A67372">
        <w:rPr>
          <w:rStyle w:val="case"/>
          <w:rFonts w:cs="Arial"/>
          <w:szCs w:val="24"/>
        </w:rPr>
        <w:t>Caparo Industries v Dickman</w:t>
      </w:r>
      <w:r w:rsidRPr="00A67372">
        <w:rPr>
          <w:rFonts w:cs="Arial"/>
          <w:sz w:val="24"/>
          <w:szCs w:val="24"/>
        </w:rPr>
        <w:t xml:space="preserve"> [1990] 2 AC 605.</w:t>
      </w:r>
    </w:p>
    <w:p w14:paraId="084733B1" w14:textId="77777777" w:rsidR="0019789C" w:rsidRPr="00A67372" w:rsidRDefault="0019789C" w:rsidP="006D3C26">
      <w:pPr>
        <w:pStyle w:val="fntxt"/>
        <w:spacing w:before="120" w:after="0" w:line="240" w:lineRule="auto"/>
        <w:ind w:left="0" w:firstLine="0"/>
        <w:rPr>
          <w:rFonts w:cs="Arial"/>
          <w:sz w:val="24"/>
          <w:szCs w:val="24"/>
        </w:rPr>
      </w:pPr>
      <w:r w:rsidRPr="00A67372">
        <w:rPr>
          <w:rFonts w:cs="Arial"/>
          <w:sz w:val="24"/>
          <w:szCs w:val="24"/>
        </w:rPr>
        <w:t xml:space="preserve">Case C-363/12 </w:t>
      </w:r>
      <w:r w:rsidRPr="00A67372">
        <w:rPr>
          <w:rStyle w:val="fncaseChar"/>
          <w:rFonts w:cs="Arial"/>
          <w:sz w:val="24"/>
          <w:szCs w:val="24"/>
        </w:rPr>
        <w:t>Z v A Government department and The Board of management of a community schoo</w:t>
      </w:r>
      <w:r w:rsidRPr="00A67372">
        <w:rPr>
          <w:rFonts w:cs="Arial"/>
          <w:sz w:val="24"/>
          <w:szCs w:val="24"/>
        </w:rPr>
        <w:t>l [2014] IRLR 570.</w:t>
      </w:r>
    </w:p>
    <w:p w14:paraId="2E96B337" w14:textId="77777777" w:rsidR="0019789C" w:rsidRPr="00A67372" w:rsidRDefault="0019789C" w:rsidP="006D3C26">
      <w:pPr>
        <w:spacing w:before="120" w:line="240" w:lineRule="auto"/>
        <w:ind w:firstLine="0"/>
        <w:jc w:val="left"/>
        <w:rPr>
          <w:rFonts w:cs="Arial"/>
          <w:szCs w:val="24"/>
        </w:rPr>
      </w:pPr>
      <w:r w:rsidRPr="00A67372">
        <w:rPr>
          <w:rFonts w:cs="Arial"/>
          <w:szCs w:val="24"/>
        </w:rPr>
        <w:t>Case C-411/10,</w:t>
      </w:r>
      <w:r w:rsidRPr="00A67372">
        <w:rPr>
          <w:rStyle w:val="fncaseChar"/>
          <w:rFonts w:cs="Arial"/>
          <w:sz w:val="24"/>
          <w:szCs w:val="24"/>
        </w:rPr>
        <w:t xml:space="preserve"> R 5 (NS (Afghanistan)) v Secretary of State for the Home Department </w:t>
      </w:r>
      <w:r w:rsidRPr="00A67372">
        <w:rPr>
          <w:rFonts w:cs="Arial"/>
          <w:szCs w:val="24"/>
        </w:rPr>
        <w:t>[2013] QB 102).</w:t>
      </w:r>
    </w:p>
    <w:p w14:paraId="66661B5F"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t>Cenet v Wirral Metropolitan Borough Council</w:t>
      </w:r>
      <w:r w:rsidRPr="00A67372">
        <w:rPr>
          <w:rFonts w:cs="Arial"/>
          <w:sz w:val="24"/>
          <w:szCs w:val="24"/>
        </w:rPr>
        <w:t xml:space="preserve"> [2008] EWHC 1407 (QB), [2008] WL 2465669.</w:t>
      </w:r>
    </w:p>
    <w:p w14:paraId="7634F5E8"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Chapman v Post Office</w:t>
      </w:r>
      <w:r w:rsidRPr="00A67372">
        <w:rPr>
          <w:rFonts w:cs="Arial"/>
          <w:sz w:val="24"/>
          <w:szCs w:val="24"/>
        </w:rPr>
        <w:t xml:space="preserve"> [1982] RTR 165.</w:t>
      </w:r>
    </w:p>
    <w:p w14:paraId="68CAC2C9" w14:textId="77777777" w:rsidR="0019789C" w:rsidRPr="00A67372" w:rsidRDefault="0019789C" w:rsidP="006D3C26">
      <w:pPr>
        <w:pStyle w:val="fntxt"/>
        <w:spacing w:before="120" w:after="0" w:line="240" w:lineRule="auto"/>
        <w:ind w:left="0" w:firstLine="0"/>
        <w:rPr>
          <w:rFonts w:cs="Arial"/>
          <w:sz w:val="24"/>
          <w:szCs w:val="24"/>
          <w:lang w:val="en-US"/>
        </w:rPr>
      </w:pPr>
      <w:r w:rsidRPr="00A67372">
        <w:rPr>
          <w:rStyle w:val="fncaseChar"/>
          <w:rFonts w:cs="Arial"/>
          <w:sz w:val="24"/>
          <w:szCs w:val="24"/>
        </w:rPr>
        <w:t>Cheesman v DPP</w:t>
      </w:r>
      <w:r w:rsidRPr="00A67372">
        <w:rPr>
          <w:rFonts w:cs="Arial"/>
          <w:sz w:val="24"/>
          <w:szCs w:val="24"/>
        </w:rPr>
        <w:t xml:space="preserve"> [1992] QB 83</w:t>
      </w:r>
      <w:r w:rsidRPr="00A67372">
        <w:rPr>
          <w:rFonts w:cs="Arial"/>
          <w:sz w:val="24"/>
          <w:szCs w:val="24"/>
          <w:lang w:val="en-US"/>
        </w:rPr>
        <w:t>.</w:t>
      </w:r>
    </w:p>
    <w:p w14:paraId="459F7C73"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Clay v TUI UK Ltd </w:t>
      </w:r>
      <w:r w:rsidRPr="00A67372">
        <w:rPr>
          <w:rFonts w:cs="Arial"/>
          <w:sz w:val="24"/>
          <w:szCs w:val="24"/>
        </w:rPr>
        <w:t>[2018] EWCA Civ 1177.</w:t>
      </w:r>
    </w:p>
    <w:p w14:paraId="1276230B" w14:textId="77777777" w:rsidR="0019789C" w:rsidRPr="00A67372" w:rsidRDefault="0019789C" w:rsidP="006D3C26">
      <w:pPr>
        <w:pStyle w:val="fntxt"/>
        <w:spacing w:before="120" w:after="0" w:line="240" w:lineRule="auto"/>
        <w:ind w:left="0" w:firstLine="0"/>
        <w:rPr>
          <w:rFonts w:eastAsia="Times New Roman" w:cs="Arial"/>
          <w:sz w:val="24"/>
          <w:szCs w:val="24"/>
          <w:shd w:val="clear" w:color="auto" w:fill="FFFFFF"/>
          <w:lang w:val="en-US" w:eastAsia="en-US"/>
        </w:rPr>
      </w:pPr>
      <w:r w:rsidRPr="00A67372">
        <w:rPr>
          <w:rStyle w:val="fncaseChar"/>
          <w:rFonts w:cs="Arial"/>
          <w:sz w:val="24"/>
          <w:szCs w:val="24"/>
        </w:rPr>
        <w:t>Coates v Crown Prosecution Service</w:t>
      </w:r>
      <w:r w:rsidRPr="00A67372">
        <w:rPr>
          <w:rFonts w:eastAsia="Times New Roman" w:cs="Arial"/>
          <w:sz w:val="24"/>
          <w:szCs w:val="24"/>
          <w:shd w:val="clear" w:color="auto" w:fill="FFFFFF"/>
          <w:lang w:val="en-US" w:eastAsia="en-US"/>
        </w:rPr>
        <w:t xml:space="preserve"> [2011] All ER (D) 34 (Aug).</w:t>
      </w:r>
    </w:p>
    <w:p w14:paraId="592B199D"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Cook v Swansea City Council</w:t>
      </w:r>
      <w:r w:rsidRPr="00A67372">
        <w:rPr>
          <w:rFonts w:cs="Arial"/>
          <w:sz w:val="24"/>
          <w:szCs w:val="24"/>
        </w:rPr>
        <w:t xml:space="preserve"> [2017] EWCA Civ 2142.</w:t>
      </w:r>
    </w:p>
    <w:p w14:paraId="658273D9" w14:textId="77777777" w:rsidR="0019789C" w:rsidRPr="00A67372" w:rsidRDefault="0019789C" w:rsidP="006D3C26">
      <w:pPr>
        <w:pStyle w:val="fntxt"/>
        <w:spacing w:before="120" w:after="0" w:line="240" w:lineRule="auto"/>
        <w:ind w:left="0" w:firstLine="0"/>
        <w:rPr>
          <w:rFonts w:cs="Arial"/>
          <w:sz w:val="24"/>
          <w:szCs w:val="24"/>
          <w:lang w:val="en-US"/>
        </w:rPr>
      </w:pPr>
      <w:r w:rsidRPr="00A67372">
        <w:rPr>
          <w:rStyle w:val="case"/>
          <w:rFonts w:cs="Arial"/>
          <w:szCs w:val="24"/>
        </w:rPr>
        <w:t>Cooper v Metropolitan Police Commissioner</w:t>
      </w:r>
      <w:r w:rsidRPr="00A67372">
        <w:rPr>
          <w:rFonts w:cs="Arial"/>
          <w:sz w:val="24"/>
          <w:szCs w:val="24"/>
        </w:rPr>
        <w:t xml:space="preserve"> [1986] 82 Cr App R 238.</w:t>
      </w:r>
    </w:p>
    <w:p w14:paraId="58A3478A"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Corby Group v Corby Borough Council </w:t>
      </w:r>
      <w:r w:rsidRPr="00A67372">
        <w:rPr>
          <w:rFonts w:cs="Arial"/>
          <w:sz w:val="24"/>
          <w:szCs w:val="24"/>
        </w:rPr>
        <w:t>[2008] EWCA Civ 463.</w:t>
      </w:r>
    </w:p>
    <w:p w14:paraId="0AFC4EB4" w14:textId="77777777" w:rsidR="0019789C" w:rsidRPr="00A67372" w:rsidRDefault="0019789C" w:rsidP="006D3C26">
      <w:pPr>
        <w:spacing w:before="120" w:line="240" w:lineRule="auto"/>
        <w:ind w:firstLine="0"/>
        <w:jc w:val="left"/>
        <w:rPr>
          <w:rFonts w:cs="Arial"/>
          <w:szCs w:val="24"/>
        </w:rPr>
      </w:pPr>
      <w:r w:rsidRPr="00A67372">
        <w:rPr>
          <w:rStyle w:val="fncaseChar"/>
          <w:rFonts w:cs="Arial"/>
          <w:sz w:val="24"/>
          <w:szCs w:val="24"/>
        </w:rPr>
        <w:t xml:space="preserve">Cordiner v BR Board </w:t>
      </w:r>
      <w:r w:rsidRPr="00A67372">
        <w:rPr>
          <w:rFonts w:cs="Arial"/>
          <w:szCs w:val="24"/>
        </w:rPr>
        <w:t>[1986] SLT 209.</w:t>
      </w:r>
    </w:p>
    <w:p w14:paraId="0C641381"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Cork v Kirby Maclean Ltd </w:t>
      </w:r>
      <w:r w:rsidRPr="00A67372">
        <w:rPr>
          <w:rFonts w:cs="Arial"/>
          <w:sz w:val="24"/>
          <w:szCs w:val="24"/>
        </w:rPr>
        <w:t>[1952] 2 All ER 402.</w:t>
      </w:r>
    </w:p>
    <w:p w14:paraId="764CF39B"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Daly v Liverpool Corporation</w:t>
      </w:r>
      <w:r w:rsidRPr="00A67372">
        <w:rPr>
          <w:rFonts w:cs="Arial"/>
          <w:sz w:val="24"/>
          <w:szCs w:val="24"/>
        </w:rPr>
        <w:t xml:space="preserve"> [1939] 2 All ER 142.</w:t>
      </w:r>
    </w:p>
    <w:p w14:paraId="012A86E9"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Darby v National Trust</w:t>
      </w:r>
      <w:r w:rsidRPr="00A67372">
        <w:rPr>
          <w:rFonts w:cs="Arial"/>
          <w:sz w:val="24"/>
          <w:szCs w:val="24"/>
        </w:rPr>
        <w:t xml:space="preserve"> [2001] EWCA Civ 189, [2001] All ER (D) 216.</w:t>
      </w:r>
    </w:p>
    <w:p w14:paraId="57864706"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Darnley v Croydon NHS Trust </w:t>
      </w:r>
      <w:r w:rsidRPr="00A67372">
        <w:rPr>
          <w:rFonts w:cs="Arial"/>
          <w:sz w:val="24"/>
          <w:szCs w:val="24"/>
        </w:rPr>
        <w:t>[2018] AC 831.</w:t>
      </w:r>
    </w:p>
    <w:p w14:paraId="555F9BBA"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Davies v Swan</w:t>
      </w:r>
      <w:r w:rsidRPr="00A67372">
        <w:rPr>
          <w:rFonts w:cs="Arial"/>
          <w:sz w:val="24"/>
          <w:szCs w:val="24"/>
        </w:rPr>
        <w:t xml:space="preserve"> [1949] 2 KB 291.</w:t>
      </w:r>
    </w:p>
    <w:p w14:paraId="4FE61F1D"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De Souza v Vinci Construction (UK) Ltd</w:t>
      </w:r>
      <w:r w:rsidRPr="00A67372">
        <w:rPr>
          <w:rFonts w:cs="Arial"/>
          <w:sz w:val="24"/>
          <w:szCs w:val="24"/>
        </w:rPr>
        <w:t xml:space="preserve"> [2017] EWCA Civ 879.</w:t>
      </w:r>
    </w:p>
    <w:p w14:paraId="4A446EA1"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Dean &amp; Chapter of Rochester Cathedral v Debell</w:t>
      </w:r>
      <w:r w:rsidRPr="00A67372">
        <w:rPr>
          <w:rFonts w:cs="Arial"/>
          <w:sz w:val="24"/>
          <w:szCs w:val="24"/>
        </w:rPr>
        <w:t xml:space="preserve"> [2016] EWCA Civ 1094.</w:t>
      </w:r>
    </w:p>
    <w:p w14:paraId="3E550130"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fncaseChar"/>
          <w:rFonts w:cs="Arial"/>
          <w:sz w:val="24"/>
          <w:szCs w:val="24"/>
        </w:rPr>
        <w:t>Delaney v Pickett</w:t>
      </w:r>
      <w:r w:rsidRPr="00A67372">
        <w:rPr>
          <w:rFonts w:cs="Arial"/>
          <w:szCs w:val="24"/>
        </w:rPr>
        <w:t xml:space="preserve"> [2011] EWCA Civ 1532.</w:t>
      </w:r>
    </w:p>
    <w:p w14:paraId="5E1B5B16"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fncaseChar"/>
          <w:rFonts w:cs="Arial"/>
          <w:sz w:val="24"/>
          <w:szCs w:val="24"/>
        </w:rPr>
        <w:t xml:space="preserve">Department for Transport, Environment &amp; the Regions v MacDonald Ltd &amp; Ors </w:t>
      </w:r>
      <w:r w:rsidRPr="00A67372">
        <w:rPr>
          <w:rFonts w:cs="Arial"/>
          <w:szCs w:val="24"/>
        </w:rPr>
        <w:t>[2006] EWCA Civ 1089.</w:t>
      </w:r>
    </w:p>
    <w:p w14:paraId="5A82543A" w14:textId="77777777" w:rsidR="0019789C" w:rsidRPr="00A67372" w:rsidRDefault="0019789C" w:rsidP="006D3C26">
      <w:pPr>
        <w:pStyle w:val="fntxt"/>
        <w:spacing w:before="120" w:after="0" w:line="240" w:lineRule="auto"/>
        <w:ind w:left="0" w:firstLine="0"/>
        <w:rPr>
          <w:rFonts w:cs="Arial"/>
          <w:sz w:val="24"/>
          <w:szCs w:val="24"/>
        </w:rPr>
      </w:pPr>
      <w:r w:rsidRPr="00A67372">
        <w:rPr>
          <w:rFonts w:cs="Arial"/>
          <w:i/>
          <w:sz w:val="24"/>
          <w:szCs w:val="24"/>
        </w:rPr>
        <w:t xml:space="preserve">Derbyshire County Council v High Peak Magistrates Court </w:t>
      </w:r>
      <w:r w:rsidRPr="00A67372">
        <w:rPr>
          <w:rFonts w:cs="Arial"/>
          <w:sz w:val="24"/>
          <w:szCs w:val="24"/>
        </w:rPr>
        <w:t>[2013] All ER (D) 69 (Jul).</w:t>
      </w:r>
    </w:p>
    <w:p w14:paraId="54E60ADD" w14:textId="77777777" w:rsidR="0019789C" w:rsidRPr="00A67372" w:rsidRDefault="0019789C" w:rsidP="006D3C26">
      <w:pPr>
        <w:pStyle w:val="fntxt"/>
        <w:spacing w:before="120" w:after="0" w:line="240" w:lineRule="auto"/>
        <w:rPr>
          <w:rFonts w:eastAsia="Times New Roman" w:cs="Arial"/>
          <w:sz w:val="24"/>
          <w:szCs w:val="24"/>
          <w:lang w:val="en-US" w:eastAsia="en-US"/>
        </w:rPr>
      </w:pPr>
      <w:r w:rsidRPr="00A67372">
        <w:rPr>
          <w:rStyle w:val="fncaseChar"/>
          <w:rFonts w:cs="Arial"/>
          <w:sz w:val="24"/>
          <w:szCs w:val="24"/>
        </w:rPr>
        <w:t>Devon City Council v Gateway Foodmarkets Ltd</w:t>
      </w:r>
      <w:r w:rsidRPr="00A67372">
        <w:rPr>
          <w:rFonts w:cs="Arial"/>
          <w:sz w:val="24"/>
          <w:szCs w:val="24"/>
        </w:rPr>
        <w:t xml:space="preserve"> </w:t>
      </w:r>
      <w:r w:rsidRPr="00A67372">
        <w:rPr>
          <w:rFonts w:eastAsia="Times New Roman" w:cs="Arial"/>
          <w:sz w:val="24"/>
          <w:szCs w:val="24"/>
          <w:lang w:val="en-US" w:eastAsia="en-US"/>
        </w:rPr>
        <w:t>[1991] CLY 3148.</w:t>
      </w:r>
    </w:p>
    <w:p w14:paraId="183B994D" w14:textId="77777777" w:rsidR="0019789C" w:rsidRPr="00A67372" w:rsidRDefault="0019789C" w:rsidP="006D3C26">
      <w:pPr>
        <w:pStyle w:val="fntxt"/>
        <w:spacing w:before="120" w:after="0" w:line="240" w:lineRule="auto"/>
        <w:rPr>
          <w:rStyle w:val="FootnoteTextChar"/>
          <w:rFonts w:cs="Arial"/>
          <w:sz w:val="24"/>
          <w:szCs w:val="24"/>
        </w:rPr>
      </w:pPr>
      <w:r w:rsidRPr="00A67372">
        <w:rPr>
          <w:rStyle w:val="fncaseChar"/>
          <w:rFonts w:cs="Arial"/>
          <w:sz w:val="24"/>
          <w:szCs w:val="24"/>
        </w:rPr>
        <w:t xml:space="preserve">DG v Poland </w:t>
      </w:r>
      <w:r w:rsidRPr="00A67372">
        <w:rPr>
          <w:rStyle w:val="FootnoteTextChar"/>
          <w:rFonts w:cs="Arial"/>
          <w:sz w:val="24"/>
          <w:szCs w:val="24"/>
        </w:rPr>
        <w:t xml:space="preserve">App no 45705/07 (ECtHR, 12 February 2013). </w:t>
      </w:r>
    </w:p>
    <w:p w14:paraId="4174F0B8"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fncaseChar"/>
          <w:rFonts w:cs="Arial"/>
          <w:sz w:val="24"/>
          <w:szCs w:val="24"/>
        </w:rPr>
        <w:t>Dunnage v Randall</w:t>
      </w:r>
      <w:r w:rsidRPr="00A67372">
        <w:rPr>
          <w:rFonts w:cs="Arial"/>
          <w:szCs w:val="24"/>
        </w:rPr>
        <w:t xml:space="preserve"> [2015] EWCA Civ 673.</w:t>
      </w:r>
    </w:p>
    <w:p w14:paraId="3E43A334" w14:textId="77777777" w:rsidR="0019789C" w:rsidRPr="00A67372" w:rsidRDefault="0019789C" w:rsidP="006D3C26">
      <w:pPr>
        <w:spacing w:before="120" w:line="240" w:lineRule="auto"/>
        <w:ind w:firstLine="0"/>
        <w:jc w:val="left"/>
        <w:rPr>
          <w:rFonts w:cs="Arial"/>
          <w:szCs w:val="24"/>
        </w:rPr>
      </w:pPr>
      <w:r w:rsidRPr="00A67372">
        <w:rPr>
          <w:rFonts w:cs="Arial"/>
          <w:i/>
          <w:szCs w:val="24"/>
        </w:rPr>
        <w:t>Durrant v Chief Constable of Avon &amp; Somerset Constabulary</w:t>
      </w:r>
      <w:r w:rsidRPr="00A67372">
        <w:rPr>
          <w:rFonts w:cs="Arial"/>
          <w:szCs w:val="24"/>
        </w:rPr>
        <w:t xml:space="preserve"> [2017] EWCA Civ 1808.</w:t>
      </w:r>
    </w:p>
    <w:p w14:paraId="43D8CBFF"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Dursan v J Sainsbury plc</w:t>
      </w:r>
      <w:r w:rsidRPr="00A67372">
        <w:rPr>
          <w:rFonts w:cs="Arial"/>
          <w:sz w:val="24"/>
          <w:szCs w:val="24"/>
        </w:rPr>
        <w:t xml:space="preserve"> [2015] EWHC 233 (QB), [2015] RTR 13.</w:t>
      </w:r>
    </w:p>
    <w:p w14:paraId="6F16C1C3"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EKPE (appellant) v Commissioner of Police of the Metropolis (respondent)</w:t>
      </w:r>
      <w:r w:rsidRPr="00A67372">
        <w:rPr>
          <w:rFonts w:cs="Arial"/>
          <w:sz w:val="24"/>
          <w:szCs w:val="24"/>
        </w:rPr>
        <w:t xml:space="preserve"> [2001] IRLR 605.</w:t>
      </w:r>
    </w:p>
    <w:p w14:paraId="571444A8" w14:textId="77777777" w:rsidR="0019789C" w:rsidRPr="00A67372" w:rsidRDefault="0019789C" w:rsidP="006D3C26">
      <w:pPr>
        <w:pStyle w:val="fntxt"/>
        <w:spacing w:before="120" w:after="0" w:line="240" w:lineRule="auto"/>
        <w:rPr>
          <w:rStyle w:val="fntxtChar"/>
          <w:rFonts w:cs="Arial"/>
          <w:sz w:val="24"/>
          <w:szCs w:val="24"/>
        </w:rPr>
      </w:pPr>
      <w:r w:rsidRPr="00A67372">
        <w:rPr>
          <w:rStyle w:val="fncaseChar"/>
          <w:rFonts w:cs="Arial"/>
          <w:sz w:val="24"/>
          <w:szCs w:val="24"/>
        </w:rPr>
        <w:t>Ellis v Kelly</w:t>
      </w:r>
      <w:r w:rsidRPr="00A67372">
        <w:rPr>
          <w:rStyle w:val="fntxtChar"/>
          <w:rFonts w:cs="Arial"/>
          <w:sz w:val="24"/>
          <w:szCs w:val="24"/>
        </w:rPr>
        <w:t xml:space="preserve"> [2018] EWHC 2031 (QB)</w:t>
      </w:r>
    </w:p>
    <w:p w14:paraId="3F9AD3BF"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Enver Sahin v Turkey</w:t>
      </w:r>
      <w:r w:rsidRPr="00A67372">
        <w:rPr>
          <w:rFonts w:cs="Arial"/>
          <w:sz w:val="24"/>
          <w:szCs w:val="24"/>
        </w:rPr>
        <w:t xml:space="preserve"> App no 23065/12 (ECtHR, 30 January 2018).</w:t>
      </w:r>
    </w:p>
    <w:p w14:paraId="31BA23C0"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case"/>
          <w:rFonts w:cs="Arial"/>
          <w:szCs w:val="24"/>
        </w:rPr>
        <w:t>Esther Leighton v Culinaris UK Ltd,</w:t>
      </w:r>
      <w:r w:rsidRPr="00A67372">
        <w:rPr>
          <w:rFonts w:cs="Arial"/>
          <w:szCs w:val="24"/>
        </w:rPr>
        <w:t xml:space="preserve"> Cambridge County Court, Case No: D4QZ203M (3 July 2018) available at </w:t>
      </w:r>
      <w:hyperlink r:id="rId113" w:history="1">
        <w:r w:rsidRPr="00A67372">
          <w:rPr>
            <w:rStyle w:val="Hyperlink"/>
            <w:rFonts w:cs="Arial"/>
            <w:szCs w:val="24"/>
          </w:rPr>
          <w:t>&lt;www.reasonableaccess.org.uk/wp-content/uploads/2019/02/1073473-Esther-Leighton-v-Culinaris-UK-Ltd-Approved-Judgment-03.07.18.pdf&gt;</w:t>
        </w:r>
      </w:hyperlink>
      <w:r w:rsidRPr="00A67372">
        <w:rPr>
          <w:rFonts w:cs="Arial"/>
          <w:szCs w:val="24"/>
        </w:rPr>
        <w:t xml:space="preserve"> accessed 16 January 2020.</w:t>
      </w:r>
    </w:p>
    <w:p w14:paraId="4CFA3CAA" w14:textId="77777777" w:rsidR="0019789C" w:rsidRPr="00A67372" w:rsidRDefault="0019789C" w:rsidP="006D3C26">
      <w:pPr>
        <w:tabs>
          <w:tab w:val="left" w:pos="3148"/>
        </w:tabs>
        <w:spacing w:before="120" w:line="240" w:lineRule="auto"/>
        <w:ind w:firstLine="0"/>
        <w:jc w:val="left"/>
        <w:rPr>
          <w:rFonts w:cs="Arial"/>
          <w:i/>
          <w:iCs/>
          <w:szCs w:val="24"/>
        </w:rPr>
      </w:pPr>
      <w:r w:rsidRPr="00A67372">
        <w:rPr>
          <w:rStyle w:val="fncaseChar"/>
          <w:rFonts w:cs="Arial"/>
          <w:sz w:val="24"/>
          <w:szCs w:val="24"/>
        </w:rPr>
        <w:lastRenderedPageBreak/>
        <w:t>Evans v Barker</w:t>
      </w:r>
      <w:r w:rsidRPr="00A67372">
        <w:rPr>
          <w:rStyle w:val="Emphasis"/>
          <w:rFonts w:cs="Arial"/>
          <w:szCs w:val="24"/>
        </w:rPr>
        <w:t xml:space="preserve"> [1971] RTR 453.</w:t>
      </w:r>
    </w:p>
    <w:p w14:paraId="36F61D46"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Fairchild v Glenhaven Funeral Services </w:t>
      </w:r>
      <w:r w:rsidRPr="00A67372">
        <w:rPr>
          <w:rFonts w:cs="Arial"/>
          <w:sz w:val="24"/>
          <w:szCs w:val="24"/>
        </w:rPr>
        <w:t>[2003] 1 AC 32.</w:t>
      </w:r>
    </w:p>
    <w:p w14:paraId="1ACDE644"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Finnigan v Chief Constable of Northumbria Police</w:t>
      </w:r>
      <w:r w:rsidRPr="00A67372">
        <w:rPr>
          <w:rFonts w:cs="Arial"/>
          <w:sz w:val="24"/>
          <w:szCs w:val="24"/>
        </w:rPr>
        <w:t xml:space="preserve"> [2013] EWCA Civ 1191.</w:t>
      </w:r>
    </w:p>
    <w:p w14:paraId="68077E64" w14:textId="77777777" w:rsidR="0019789C" w:rsidRPr="00A67372" w:rsidRDefault="0019789C" w:rsidP="006D3C26">
      <w:pPr>
        <w:spacing w:before="120" w:line="240" w:lineRule="auto"/>
        <w:ind w:firstLine="0"/>
        <w:jc w:val="left"/>
        <w:rPr>
          <w:rFonts w:cs="Arial"/>
          <w:szCs w:val="24"/>
        </w:rPr>
      </w:pPr>
      <w:r w:rsidRPr="00A67372">
        <w:rPr>
          <w:rStyle w:val="fncaseChar"/>
          <w:rFonts w:cs="Arial"/>
          <w:sz w:val="24"/>
          <w:szCs w:val="24"/>
        </w:rPr>
        <w:t xml:space="preserve">FirstGroup Plc v Paulley </w:t>
      </w:r>
      <w:r w:rsidRPr="00A67372">
        <w:rPr>
          <w:rFonts w:cs="Arial"/>
          <w:szCs w:val="24"/>
        </w:rPr>
        <w:t>[2017] UKSC 4.</w:t>
      </w:r>
    </w:p>
    <w:p w14:paraId="0288AB4F"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t>Forbes v City of Dundee District Council</w:t>
      </w:r>
      <w:r w:rsidRPr="00A67372">
        <w:rPr>
          <w:rFonts w:cs="Arial"/>
          <w:sz w:val="24"/>
          <w:szCs w:val="24"/>
        </w:rPr>
        <w:t xml:space="preserve"> [1997] SCLR 682.</w:t>
      </w:r>
    </w:p>
    <w:p w14:paraId="5020952B" w14:textId="77777777" w:rsidR="0019789C" w:rsidRPr="00A67372" w:rsidRDefault="0019789C" w:rsidP="006D3C26">
      <w:pPr>
        <w:spacing w:before="120" w:line="240" w:lineRule="auto"/>
        <w:ind w:firstLine="0"/>
        <w:jc w:val="left"/>
        <w:rPr>
          <w:rFonts w:cs="Arial"/>
          <w:i/>
          <w:szCs w:val="24"/>
        </w:rPr>
      </w:pPr>
      <w:r w:rsidRPr="00A67372">
        <w:rPr>
          <w:rStyle w:val="case"/>
          <w:rFonts w:cs="Arial"/>
          <w:szCs w:val="24"/>
        </w:rPr>
        <w:t>Gibson v Strathclyde Regional Council</w:t>
      </w:r>
      <w:r w:rsidRPr="00A67372">
        <w:rPr>
          <w:rFonts w:cs="Arial"/>
          <w:szCs w:val="24"/>
        </w:rPr>
        <w:t xml:space="preserve"> [1993] SLT 1243.</w:t>
      </w:r>
    </w:p>
    <w:p w14:paraId="0D07778E"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Glasgow Corporation v Muir </w:t>
      </w:r>
      <w:r w:rsidRPr="00A67372">
        <w:rPr>
          <w:rFonts w:cs="Arial"/>
          <w:sz w:val="24"/>
          <w:szCs w:val="24"/>
        </w:rPr>
        <w:t>[1943] AC 448.</w:t>
      </w:r>
    </w:p>
    <w:p w14:paraId="72824066"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Goodwin (appellant) v The Patent Office (respondents)</w:t>
      </w:r>
      <w:r w:rsidRPr="00A67372">
        <w:rPr>
          <w:rFonts w:cs="Arial"/>
          <w:sz w:val="24"/>
          <w:szCs w:val="24"/>
        </w:rPr>
        <w:t xml:space="preserve"> [1999] IRLR 4.</w:t>
      </w:r>
    </w:p>
    <w:p w14:paraId="09ED83A4"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Gorringe v Calderdale Metropolitan Borough Council</w:t>
      </w:r>
      <w:r w:rsidRPr="00A67372">
        <w:rPr>
          <w:rFonts w:cs="Arial"/>
          <w:sz w:val="24"/>
          <w:szCs w:val="24"/>
        </w:rPr>
        <w:t xml:space="preserve"> [2004] UKHL 15, [2004] 2 All ER 326, [2004] 1 WLR 1057.</w:t>
      </w:r>
    </w:p>
    <w:p w14:paraId="77DFE458"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Gray v Thames Trains</w:t>
      </w:r>
      <w:r w:rsidRPr="00A67372">
        <w:rPr>
          <w:rFonts w:cs="Arial"/>
          <w:sz w:val="24"/>
          <w:szCs w:val="24"/>
        </w:rPr>
        <w:t xml:space="preserve"> [2009] 1 AC 1339.</w:t>
      </w:r>
    </w:p>
    <w:p w14:paraId="634805E5"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Grealis v Opuni</w:t>
      </w:r>
      <w:r w:rsidRPr="00A67372">
        <w:rPr>
          <w:rFonts w:cs="Arial"/>
          <w:sz w:val="24"/>
          <w:szCs w:val="24"/>
        </w:rPr>
        <w:t xml:space="preserve"> [2003] EWCA Civ 177.</w:t>
      </w:r>
    </w:p>
    <w:p w14:paraId="5D16FAD5"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Greenhalgh v British Railways Board</w:t>
      </w:r>
      <w:r w:rsidRPr="00A67372">
        <w:rPr>
          <w:rFonts w:cs="Arial"/>
          <w:sz w:val="24"/>
          <w:szCs w:val="24"/>
        </w:rPr>
        <w:t xml:space="preserve"> [1969] 2 All ER 114 (CA).</w:t>
      </w:r>
    </w:p>
    <w:p w14:paraId="55A192A5"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fncaseChar"/>
          <w:rFonts w:cs="Arial"/>
          <w:sz w:val="24"/>
          <w:szCs w:val="24"/>
        </w:rPr>
        <w:t>Griffiths v Liverpool Corp</w:t>
      </w:r>
      <w:r w:rsidRPr="00A67372">
        <w:rPr>
          <w:rFonts w:cs="Arial"/>
          <w:szCs w:val="24"/>
        </w:rPr>
        <w:t xml:space="preserve"> [1967] 1 QB 374.</w:t>
      </w:r>
    </w:p>
    <w:p w14:paraId="3283B8E8"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H West &amp; Son Ltd and Another v Shephard</w:t>
      </w:r>
      <w:r w:rsidRPr="00A67372">
        <w:rPr>
          <w:rFonts w:cs="Arial"/>
          <w:sz w:val="24"/>
          <w:szCs w:val="24"/>
        </w:rPr>
        <w:t xml:space="preserve"> [1963] 2 All ER 625.</w:t>
      </w:r>
    </w:p>
    <w:p w14:paraId="02596484" w14:textId="77777777" w:rsidR="0019789C" w:rsidRPr="00A67372" w:rsidRDefault="0019789C" w:rsidP="006D3C26">
      <w:pPr>
        <w:pStyle w:val="fntxt"/>
        <w:spacing w:before="120" w:after="0" w:line="240" w:lineRule="auto"/>
        <w:rPr>
          <w:rFonts w:cs="Arial"/>
          <w:sz w:val="24"/>
          <w:szCs w:val="24"/>
          <w:lang w:val="en-US"/>
        </w:rPr>
      </w:pPr>
      <w:r w:rsidRPr="00A67372">
        <w:rPr>
          <w:rStyle w:val="case"/>
          <w:rFonts w:cs="Arial"/>
          <w:szCs w:val="24"/>
        </w:rPr>
        <w:t>Haley v London Electricity Board</w:t>
      </w:r>
      <w:r w:rsidRPr="00A67372">
        <w:rPr>
          <w:rFonts w:cs="Arial"/>
          <w:sz w:val="24"/>
          <w:szCs w:val="24"/>
        </w:rPr>
        <w:t xml:space="preserve"> [</w:t>
      </w:r>
      <w:r w:rsidRPr="00A67372">
        <w:rPr>
          <w:rFonts w:cs="Arial"/>
          <w:sz w:val="24"/>
          <w:szCs w:val="24"/>
          <w:lang w:bidi="en-US"/>
        </w:rPr>
        <w:t>1965] AC 778.</w:t>
      </w:r>
    </w:p>
    <w:p w14:paraId="3A71D353"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Halsey v Esso Petroleum Co Ltd</w:t>
      </w:r>
      <w:r w:rsidRPr="00A67372">
        <w:rPr>
          <w:rFonts w:cs="Arial"/>
          <w:sz w:val="24"/>
          <w:szCs w:val="24"/>
        </w:rPr>
        <w:t xml:space="preserve"> [1961] 2 All ER 145.</w:t>
      </w:r>
    </w:p>
    <w:p w14:paraId="3BC4F9E9"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Handyside v UK</w:t>
      </w:r>
      <w:r w:rsidRPr="00A67372">
        <w:rPr>
          <w:rFonts w:cs="Arial"/>
          <w:sz w:val="24"/>
          <w:szCs w:val="24"/>
        </w:rPr>
        <w:t xml:space="preserve"> App No 5493/72 (ECtHR, 7 December 1976)</w:t>
      </w:r>
    </w:p>
    <w:p w14:paraId="0EB43990"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fncaseChar"/>
          <w:rFonts w:cs="Arial"/>
          <w:sz w:val="24"/>
          <w:szCs w:val="24"/>
        </w:rPr>
        <w:t xml:space="preserve">Hardaker v Idle DC </w:t>
      </w:r>
      <w:r w:rsidRPr="00A67372">
        <w:rPr>
          <w:rFonts w:cs="Arial"/>
          <w:szCs w:val="24"/>
        </w:rPr>
        <w:t>[1896] 1 QB 335.</w:t>
      </w:r>
    </w:p>
    <w:p w14:paraId="3310FB97"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Harper v GN Haden &amp; Sons Ltd</w:t>
      </w:r>
      <w:r w:rsidRPr="00A67372">
        <w:rPr>
          <w:rFonts w:cs="Arial"/>
          <w:sz w:val="24"/>
          <w:szCs w:val="24"/>
        </w:rPr>
        <w:t xml:space="preserve"> [1932] All ER Rep 59.</w:t>
      </w:r>
    </w:p>
    <w:p w14:paraId="2D90A520"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Hernandez v Acar &amp; Anor</w:t>
      </w:r>
      <w:r w:rsidRPr="00A67372">
        <w:rPr>
          <w:rFonts w:cs="Arial"/>
          <w:sz w:val="24"/>
          <w:szCs w:val="24"/>
        </w:rPr>
        <w:t xml:space="preserve"> [2019] EWHC 72 (QB.</w:t>
      </w:r>
    </w:p>
    <w:p w14:paraId="211B8B3A" w14:textId="77777777" w:rsidR="0019789C" w:rsidRPr="00A67372" w:rsidRDefault="0019789C" w:rsidP="006D3C26">
      <w:pPr>
        <w:spacing w:before="120" w:line="240" w:lineRule="auto"/>
        <w:ind w:firstLine="0"/>
        <w:jc w:val="left"/>
        <w:rPr>
          <w:rFonts w:cs="Arial"/>
          <w:i/>
          <w:iCs/>
          <w:szCs w:val="24"/>
        </w:rPr>
      </w:pPr>
      <w:r w:rsidRPr="00A67372">
        <w:rPr>
          <w:rStyle w:val="fncaseChar"/>
          <w:rFonts w:cs="Arial"/>
          <w:sz w:val="24"/>
          <w:szCs w:val="24"/>
        </w:rPr>
        <w:t>Herrick v Kidner</w:t>
      </w:r>
      <w:r w:rsidRPr="00A67372">
        <w:rPr>
          <w:rStyle w:val="Emphasis"/>
          <w:rFonts w:cs="Arial"/>
          <w:szCs w:val="24"/>
        </w:rPr>
        <w:t xml:space="preserve"> [2010] EWHC 269.</w:t>
      </w:r>
    </w:p>
    <w:p w14:paraId="38B8F84D" w14:textId="77777777" w:rsidR="0019789C" w:rsidRPr="00A67372" w:rsidRDefault="0019789C" w:rsidP="006D3C26">
      <w:pPr>
        <w:pStyle w:val="fntxt"/>
        <w:spacing w:before="120" w:after="0" w:line="240" w:lineRule="auto"/>
        <w:rPr>
          <w:rFonts w:eastAsia="Times New Roman" w:cs="Arial"/>
          <w:sz w:val="24"/>
          <w:szCs w:val="24"/>
          <w:lang w:val="en-US" w:eastAsia="en-US"/>
        </w:rPr>
      </w:pPr>
      <w:r w:rsidRPr="00A67372">
        <w:rPr>
          <w:rStyle w:val="fncaseChar"/>
          <w:rFonts w:cs="Arial"/>
          <w:sz w:val="24"/>
          <w:szCs w:val="24"/>
        </w:rPr>
        <w:t>Hertfordshire City Council v Bolden</w:t>
      </w:r>
      <w:r w:rsidRPr="00A67372">
        <w:rPr>
          <w:rFonts w:cs="Arial"/>
          <w:sz w:val="24"/>
          <w:szCs w:val="24"/>
        </w:rPr>
        <w:t xml:space="preserve"> </w:t>
      </w:r>
      <w:r w:rsidRPr="00A67372">
        <w:rPr>
          <w:rFonts w:eastAsia="Times New Roman" w:cs="Arial"/>
          <w:sz w:val="24"/>
          <w:szCs w:val="24"/>
          <w:lang w:val="en-US" w:eastAsia="en-US"/>
        </w:rPr>
        <w:t>[1987] CLY 3779.</w:t>
      </w:r>
    </w:p>
    <w:p w14:paraId="2B1A7FB6"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Hewlett v Chief Constable of the Hampshire Constabulary</w:t>
      </w:r>
      <w:r w:rsidRPr="00A67372">
        <w:rPr>
          <w:rFonts w:cs="Arial"/>
          <w:sz w:val="24"/>
          <w:szCs w:val="24"/>
        </w:rPr>
        <w:t xml:space="preserve"> [2018] EWHC 3927 (QB).</w:t>
      </w:r>
    </w:p>
    <w:p w14:paraId="32A22583" w14:textId="77777777" w:rsidR="0019789C" w:rsidRPr="00A67372" w:rsidRDefault="0019789C" w:rsidP="006D3C26">
      <w:pPr>
        <w:pStyle w:val="fntxt"/>
        <w:spacing w:before="120" w:after="0" w:line="240" w:lineRule="auto"/>
        <w:rPr>
          <w:rFonts w:eastAsia="Times New Roman" w:cs="Arial"/>
          <w:sz w:val="24"/>
          <w:szCs w:val="24"/>
          <w:lang w:val="en-US" w:eastAsia="en-US"/>
        </w:rPr>
      </w:pPr>
      <w:r w:rsidRPr="00A67372">
        <w:rPr>
          <w:rStyle w:val="case"/>
          <w:rFonts w:cs="Arial"/>
          <w:szCs w:val="24"/>
        </w:rPr>
        <w:t>Hirst and Agu v Chief Constable of West Yorkshire</w:t>
      </w:r>
      <w:r w:rsidRPr="00A67372">
        <w:rPr>
          <w:rFonts w:cs="Arial"/>
          <w:sz w:val="24"/>
          <w:szCs w:val="24"/>
        </w:rPr>
        <w:t xml:space="preserve"> [1987] 85 Cr App R 143.</w:t>
      </w:r>
    </w:p>
    <w:p w14:paraId="1185D581"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Holden v White </w:t>
      </w:r>
      <w:r w:rsidRPr="00A67372">
        <w:rPr>
          <w:rFonts w:cs="Arial"/>
          <w:sz w:val="24"/>
          <w:szCs w:val="24"/>
        </w:rPr>
        <w:t>[1982] 2 All ER 328 (CA).</w:t>
      </w:r>
    </w:p>
    <w:p w14:paraId="565C7135"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Home Office v Dorset Yacht </w:t>
      </w:r>
      <w:r w:rsidRPr="00A67372">
        <w:rPr>
          <w:rFonts w:cs="Arial"/>
          <w:sz w:val="24"/>
          <w:szCs w:val="24"/>
        </w:rPr>
        <w:t xml:space="preserve">[1970] AC 1004. </w:t>
      </w:r>
    </w:p>
    <w:p w14:paraId="336FD2B3"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Hosegood v Khalid (t/a Salt &amp; Pepper Village)</w:t>
      </w:r>
      <w:r w:rsidRPr="00A67372">
        <w:rPr>
          <w:rFonts w:cs="Arial"/>
          <w:sz w:val="24"/>
          <w:szCs w:val="24"/>
        </w:rPr>
        <w:t xml:space="preserve"> [2012] EqLR 1114, [2012] 3 WLUK 801.</w:t>
      </w:r>
    </w:p>
    <w:p w14:paraId="63F2EBB3" w14:textId="77777777" w:rsidR="0019789C" w:rsidRPr="00A67372" w:rsidRDefault="0019789C" w:rsidP="006D3C26">
      <w:pPr>
        <w:pStyle w:val="fntxt"/>
        <w:spacing w:before="120" w:after="0" w:line="240" w:lineRule="auto"/>
        <w:rPr>
          <w:rStyle w:val="fntxtChar"/>
          <w:rFonts w:cs="Arial"/>
          <w:sz w:val="24"/>
          <w:szCs w:val="24"/>
          <w:lang w:val="en-US" w:eastAsia="en-US"/>
        </w:rPr>
      </w:pPr>
      <w:r w:rsidRPr="00A67372">
        <w:rPr>
          <w:rStyle w:val="case"/>
          <w:rFonts w:cs="Arial"/>
          <w:szCs w:val="24"/>
        </w:rPr>
        <w:t>Hubbard and Others v Pitt and Others</w:t>
      </w:r>
      <w:r w:rsidRPr="00A67372">
        <w:rPr>
          <w:rFonts w:cs="Arial"/>
          <w:sz w:val="24"/>
          <w:szCs w:val="24"/>
        </w:rPr>
        <w:t xml:space="preserve"> </w:t>
      </w:r>
      <w:r w:rsidRPr="00A67372">
        <w:rPr>
          <w:rStyle w:val="fntxtChar"/>
          <w:rFonts w:cs="Arial"/>
          <w:sz w:val="24"/>
          <w:szCs w:val="24"/>
          <w:lang w:val="en-US" w:eastAsia="en-US"/>
        </w:rPr>
        <w:t>[1975] 2 WLR 254</w:t>
      </w:r>
      <w:r w:rsidRPr="00A67372">
        <w:rPr>
          <w:rStyle w:val="fntxtChar"/>
          <w:rFonts w:cs="Arial"/>
          <w:sz w:val="24"/>
          <w:szCs w:val="24"/>
        </w:rPr>
        <w:t>.</w:t>
      </w:r>
    </w:p>
    <w:p w14:paraId="79492796"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Hunt v Severs</w:t>
      </w:r>
      <w:r w:rsidRPr="00A67372">
        <w:rPr>
          <w:rFonts w:cs="Arial"/>
          <w:sz w:val="24"/>
          <w:szCs w:val="24"/>
        </w:rPr>
        <w:t xml:space="preserve"> [1994] 2 All ER 385.</w:t>
      </w:r>
    </w:p>
    <w:p w14:paraId="0680A579" w14:textId="77777777" w:rsidR="0019789C" w:rsidRPr="00A67372" w:rsidRDefault="0019789C" w:rsidP="006D3C26">
      <w:pPr>
        <w:pStyle w:val="fntxt"/>
        <w:spacing w:before="120" w:after="0" w:line="240" w:lineRule="auto"/>
        <w:rPr>
          <w:rStyle w:val="fncaseChar"/>
          <w:rFonts w:cs="Arial"/>
          <w:sz w:val="24"/>
          <w:szCs w:val="24"/>
        </w:rPr>
      </w:pPr>
      <w:r w:rsidRPr="00A67372">
        <w:rPr>
          <w:rStyle w:val="fncaseChar"/>
          <w:rFonts w:cs="Arial"/>
          <w:sz w:val="24"/>
          <w:szCs w:val="24"/>
        </w:rPr>
        <w:t>INR, I.P. 2012. Relatório Anual – 2011.</w:t>
      </w:r>
    </w:p>
    <w:p w14:paraId="1058CFBA" w14:textId="77777777" w:rsidR="0019789C" w:rsidRPr="00A67372" w:rsidRDefault="0019789C" w:rsidP="006D3C26">
      <w:pPr>
        <w:pStyle w:val="fntxt"/>
        <w:spacing w:before="120" w:after="0" w:line="240" w:lineRule="auto"/>
        <w:rPr>
          <w:rFonts w:cs="Arial"/>
          <w:sz w:val="24"/>
          <w:szCs w:val="24"/>
          <w:lang w:val="en-US" w:eastAsia="en-US"/>
        </w:rPr>
      </w:pPr>
      <w:r w:rsidRPr="00A67372">
        <w:rPr>
          <w:rStyle w:val="fncaseChar"/>
          <w:rFonts w:cs="Arial"/>
          <w:sz w:val="24"/>
          <w:szCs w:val="24"/>
        </w:rPr>
        <w:t>Jackson v Murray</w:t>
      </w:r>
      <w:r w:rsidRPr="00A67372">
        <w:rPr>
          <w:rStyle w:val="fntxtChar"/>
          <w:rFonts w:cs="Arial"/>
          <w:sz w:val="24"/>
          <w:szCs w:val="24"/>
        </w:rPr>
        <w:t xml:space="preserve"> </w:t>
      </w:r>
      <w:r w:rsidRPr="00A67372">
        <w:rPr>
          <w:rStyle w:val="fntxtChar"/>
          <w:rFonts w:cs="Arial"/>
          <w:sz w:val="24"/>
          <w:szCs w:val="24"/>
          <w:lang w:val="en-US" w:eastAsia="en-US"/>
        </w:rPr>
        <w:t>[2015] 2 All ER 80.</w:t>
      </w:r>
    </w:p>
    <w:p w14:paraId="3A25D1F6"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Jacobs v London County Council </w:t>
      </w:r>
      <w:r w:rsidRPr="00A67372">
        <w:rPr>
          <w:rFonts w:cs="Arial"/>
          <w:sz w:val="24"/>
          <w:szCs w:val="24"/>
        </w:rPr>
        <w:t>[1950] AC 361.</w:t>
      </w:r>
    </w:p>
    <w:p w14:paraId="57F49778"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James and Anor v Preseli Pembrokeshire District Council</w:t>
      </w:r>
      <w:r w:rsidRPr="00A67372">
        <w:rPr>
          <w:rFonts w:cs="Arial"/>
          <w:sz w:val="24"/>
          <w:szCs w:val="24"/>
        </w:rPr>
        <w:t xml:space="preserve"> [1993] PIQR 114.</w:t>
      </w:r>
    </w:p>
    <w:p w14:paraId="5D63ACE9"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James-Bowen v Commissioner of Police for the Metropolis</w:t>
      </w:r>
      <w:r w:rsidRPr="00A67372">
        <w:rPr>
          <w:rFonts w:cs="Arial"/>
          <w:sz w:val="24"/>
          <w:szCs w:val="24"/>
        </w:rPr>
        <w:t xml:space="preserve"> [2018] UKSC 40.</w:t>
      </w:r>
    </w:p>
    <w:p w14:paraId="53ED4A13"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Jolley v Sutton LBC</w:t>
      </w:r>
      <w:r w:rsidRPr="00A67372">
        <w:rPr>
          <w:rFonts w:cs="Arial"/>
          <w:i/>
          <w:sz w:val="24"/>
          <w:szCs w:val="24"/>
        </w:rPr>
        <w:t xml:space="preserve"> </w:t>
      </w:r>
      <w:r w:rsidRPr="00A67372">
        <w:rPr>
          <w:rFonts w:cs="Arial"/>
          <w:sz w:val="24"/>
          <w:szCs w:val="24"/>
        </w:rPr>
        <w:t>[2000] 1 WLR 1082.</w:t>
      </w:r>
    </w:p>
    <w:p w14:paraId="513F962A"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Jones v Rhondda Cynon Taff CBC</w:t>
      </w:r>
      <w:r w:rsidRPr="00A67372">
        <w:rPr>
          <w:rFonts w:cs="Arial"/>
          <w:sz w:val="24"/>
          <w:szCs w:val="24"/>
        </w:rPr>
        <w:t xml:space="preserve"> [2009] RTR 151.</w:t>
      </w:r>
    </w:p>
    <w:p w14:paraId="0F70AC3E"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fncaseChar"/>
          <w:rFonts w:cs="Arial"/>
          <w:sz w:val="24"/>
          <w:szCs w:val="24"/>
        </w:rPr>
        <w:t xml:space="preserve">Joyce v O’Brien </w:t>
      </w:r>
      <w:r w:rsidRPr="00A67372">
        <w:rPr>
          <w:rFonts w:cs="Arial"/>
          <w:szCs w:val="24"/>
        </w:rPr>
        <w:t>[2013] EWCA Civ 546.</w:t>
      </w:r>
    </w:p>
    <w:p w14:paraId="708C77F9"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lastRenderedPageBreak/>
        <w:t>Kane v New Forest District Council</w:t>
      </w:r>
      <w:r w:rsidRPr="00A67372">
        <w:rPr>
          <w:rFonts w:cs="Arial"/>
          <w:sz w:val="24"/>
          <w:szCs w:val="24"/>
        </w:rPr>
        <w:t xml:space="preserve"> [2001] 3 All ER 914.</w:t>
      </w:r>
    </w:p>
    <w:p w14:paraId="57E3872A" w14:textId="77777777" w:rsidR="0019789C" w:rsidRPr="00A67372" w:rsidRDefault="0019789C" w:rsidP="006D3C26">
      <w:pPr>
        <w:pStyle w:val="fntxt"/>
        <w:spacing w:before="120" w:after="0" w:line="240" w:lineRule="auto"/>
        <w:rPr>
          <w:rFonts w:cs="Arial"/>
          <w:sz w:val="24"/>
          <w:szCs w:val="24"/>
          <w:lang w:val="en-US"/>
        </w:rPr>
      </w:pPr>
      <w:r w:rsidRPr="00A67372">
        <w:rPr>
          <w:rStyle w:val="case"/>
          <w:rFonts w:cs="Arial"/>
          <w:szCs w:val="24"/>
        </w:rPr>
        <w:t>Keating v Elvan Reinforced Concrete Co Ltd</w:t>
      </w:r>
      <w:r w:rsidRPr="00A67372">
        <w:rPr>
          <w:rFonts w:cs="Arial"/>
          <w:sz w:val="24"/>
          <w:szCs w:val="24"/>
        </w:rPr>
        <w:t xml:space="preserve"> [1968] 2 All ER 139.</w:t>
      </w:r>
    </w:p>
    <w:p w14:paraId="4EC52BE6" w14:textId="77777777" w:rsidR="0019789C" w:rsidRPr="00A67372" w:rsidRDefault="0019789C" w:rsidP="006D3C26">
      <w:pPr>
        <w:pStyle w:val="fntxt"/>
        <w:spacing w:before="120" w:after="0" w:line="240" w:lineRule="auto"/>
        <w:rPr>
          <w:rFonts w:eastAsia="Times New Roman" w:cs="Arial"/>
          <w:sz w:val="24"/>
          <w:szCs w:val="24"/>
          <w:lang w:val="en-US" w:eastAsia="en-US"/>
        </w:rPr>
      </w:pPr>
      <w:r w:rsidRPr="00A67372">
        <w:rPr>
          <w:rStyle w:val="case"/>
          <w:rFonts w:cs="Arial"/>
          <w:szCs w:val="24"/>
        </w:rPr>
        <w:t>Kent City Council v Holland</w:t>
      </w:r>
      <w:r w:rsidRPr="00A67372">
        <w:rPr>
          <w:rFonts w:cs="Arial"/>
          <w:sz w:val="24"/>
          <w:szCs w:val="24"/>
        </w:rPr>
        <w:t xml:space="preserve"> </w:t>
      </w:r>
      <w:r w:rsidRPr="00A67372">
        <w:rPr>
          <w:rFonts w:eastAsia="Times New Roman" w:cs="Arial"/>
          <w:sz w:val="24"/>
          <w:szCs w:val="24"/>
          <w:lang w:val="en-US" w:eastAsia="en-US"/>
        </w:rPr>
        <w:t>[1996] CLY 1487.</w:t>
      </w:r>
    </w:p>
    <w:p w14:paraId="7D3207FE" w14:textId="77777777" w:rsidR="0019789C" w:rsidRPr="00A67372" w:rsidRDefault="0019789C" w:rsidP="006D3C26">
      <w:pPr>
        <w:pStyle w:val="fntxt"/>
        <w:spacing w:before="120" w:after="0" w:line="240" w:lineRule="auto"/>
        <w:ind w:left="0" w:firstLine="0"/>
        <w:rPr>
          <w:rFonts w:cs="Arial"/>
          <w:sz w:val="24"/>
          <w:szCs w:val="24"/>
        </w:rPr>
      </w:pPr>
      <w:r w:rsidRPr="00A67372">
        <w:rPr>
          <w:rFonts w:cs="Arial"/>
          <w:i/>
          <w:sz w:val="24"/>
          <w:szCs w:val="24"/>
        </w:rPr>
        <w:t>Kralj and another v McGrath and another</w:t>
      </w:r>
      <w:r w:rsidRPr="00A67372">
        <w:rPr>
          <w:rFonts w:cs="Arial"/>
          <w:sz w:val="24"/>
          <w:szCs w:val="24"/>
        </w:rPr>
        <w:t xml:space="preserve"> [1986] 1 All ER 54.</w:t>
      </w:r>
    </w:p>
    <w:p w14:paraId="03699BA1"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Kuddus v Chief Constable of Leicestershire Constabulary</w:t>
      </w:r>
      <w:r w:rsidRPr="00A67372">
        <w:rPr>
          <w:rFonts w:cs="Arial"/>
          <w:sz w:val="24"/>
          <w:szCs w:val="24"/>
        </w:rPr>
        <w:t xml:space="preserve"> [2002] 2 AC 122.</w:t>
      </w:r>
    </w:p>
    <w:p w14:paraId="058428D0"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Kudla v Poland</w:t>
      </w:r>
      <w:r w:rsidRPr="00A67372">
        <w:rPr>
          <w:rFonts w:cs="Arial"/>
          <w:sz w:val="24"/>
          <w:szCs w:val="24"/>
        </w:rPr>
        <w:t xml:space="preserve"> App No 30210/96 (ECtHR, 26 October 2000).</w:t>
      </w:r>
    </w:p>
    <w:p w14:paraId="3A1E6551"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Kuwait Airways Corp v Iraq Airways Corp</w:t>
      </w:r>
      <w:r w:rsidRPr="00A67372">
        <w:rPr>
          <w:rFonts w:cs="Arial"/>
          <w:sz w:val="24"/>
          <w:szCs w:val="24"/>
        </w:rPr>
        <w:t xml:space="preserve"> [2002] 2 AC 883.</w:t>
      </w:r>
    </w:p>
    <w:p w14:paraId="3B219F48"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Lamb v Camden London Borough Council </w:t>
      </w:r>
      <w:r w:rsidRPr="00A67372">
        <w:rPr>
          <w:rFonts w:cs="Arial"/>
          <w:sz w:val="24"/>
          <w:szCs w:val="24"/>
        </w:rPr>
        <w:t>[1981] QB 625.</w:t>
      </w:r>
    </w:p>
    <w:p w14:paraId="13E8523E"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Latimer v AEC Ltd</w:t>
      </w:r>
      <w:r w:rsidRPr="00A67372">
        <w:rPr>
          <w:rFonts w:cs="Arial"/>
          <w:sz w:val="24"/>
          <w:szCs w:val="24"/>
        </w:rPr>
        <w:t xml:space="preserve"> [1953] AC 643.</w:t>
      </w:r>
    </w:p>
    <w:p w14:paraId="52A7DA22"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Lawson v Mr &amp; Mrs Clemitshaw t/a Abbey Wharf Restaurant</w:t>
      </w:r>
      <w:r w:rsidRPr="00A67372">
        <w:rPr>
          <w:rFonts w:cs="Arial"/>
          <w:sz w:val="24"/>
          <w:szCs w:val="24"/>
        </w:rPr>
        <w:t>, York County Court, March 2020.</w:t>
      </w:r>
    </w:p>
    <w:p w14:paraId="0C681A61"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Lewisham v Malcolm</w:t>
      </w:r>
      <w:r w:rsidRPr="00A67372">
        <w:rPr>
          <w:rFonts w:cs="Arial"/>
          <w:sz w:val="24"/>
          <w:szCs w:val="24"/>
        </w:rPr>
        <w:t xml:space="preserve"> [2008] UKHL 43.</w:t>
      </w:r>
    </w:p>
    <w:p w14:paraId="10C8AE6B"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 xml:space="preserve">Livingstone v Rawyards Coal Co </w:t>
      </w:r>
      <w:r w:rsidRPr="00A67372">
        <w:rPr>
          <w:rFonts w:cs="Arial"/>
          <w:sz w:val="24"/>
          <w:szCs w:val="24"/>
        </w:rPr>
        <w:t>[1880] 5 App Cas 25.</w:t>
      </w:r>
    </w:p>
    <w:p w14:paraId="7DD7F4AB" w14:textId="77777777" w:rsidR="0019789C" w:rsidRPr="00A67372" w:rsidRDefault="0019789C" w:rsidP="006D3C26">
      <w:pPr>
        <w:pStyle w:val="fntxt"/>
        <w:spacing w:before="120" w:after="0" w:line="240" w:lineRule="auto"/>
        <w:rPr>
          <w:rFonts w:eastAsia="Times New Roman" w:cs="Arial"/>
          <w:sz w:val="24"/>
          <w:szCs w:val="24"/>
          <w:lang w:val="en-US" w:eastAsia="en-US"/>
        </w:rPr>
      </w:pPr>
      <w:r w:rsidRPr="00A67372">
        <w:rPr>
          <w:rStyle w:val="fncaseChar"/>
          <w:rFonts w:cs="Arial"/>
          <w:sz w:val="24"/>
          <w:szCs w:val="24"/>
        </w:rPr>
        <w:t>London Borough of Ealing v Connors</w:t>
      </w:r>
      <w:r w:rsidRPr="00A67372">
        <w:rPr>
          <w:rFonts w:eastAsia="Times New Roman" w:cs="Arial"/>
          <w:sz w:val="24"/>
          <w:szCs w:val="24"/>
          <w:lang w:val="en-US" w:eastAsia="en-US"/>
        </w:rPr>
        <w:t xml:space="preserve"> [2016] EWHC 1387 (QB).</w:t>
      </w:r>
      <w:r w:rsidRPr="00A67372">
        <w:rPr>
          <w:rFonts w:eastAsia="Times New Roman" w:cs="Arial"/>
          <w:sz w:val="24"/>
          <w:szCs w:val="24"/>
          <w:shd w:val="clear" w:color="auto" w:fill="FFFFFF"/>
          <w:lang w:val="en-US" w:eastAsia="en-US"/>
        </w:rPr>
        <w:t xml:space="preserve"> </w:t>
      </w:r>
    </w:p>
    <w:p w14:paraId="60D22DFE"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M’Kibbin v Glasgow Corporation</w:t>
      </w:r>
      <w:r w:rsidRPr="00A67372">
        <w:rPr>
          <w:rFonts w:cs="Arial"/>
          <w:sz w:val="24"/>
          <w:szCs w:val="24"/>
        </w:rPr>
        <w:t xml:space="preserve"> [1920] SC 590, [1920] 2 SLT 51.</w:t>
      </w:r>
    </w:p>
    <w:p w14:paraId="7A3B5C6F" w14:textId="77777777" w:rsidR="0019789C" w:rsidRPr="00A67372" w:rsidRDefault="0019789C" w:rsidP="006D3C26">
      <w:pPr>
        <w:spacing w:before="120" w:line="240" w:lineRule="auto"/>
        <w:ind w:firstLine="0"/>
        <w:jc w:val="left"/>
        <w:rPr>
          <w:rFonts w:cs="Arial"/>
          <w:szCs w:val="24"/>
        </w:rPr>
      </w:pPr>
      <w:r w:rsidRPr="00A67372">
        <w:rPr>
          <w:rStyle w:val="fncaseChar"/>
          <w:rFonts w:cs="Arial"/>
          <w:sz w:val="24"/>
          <w:szCs w:val="24"/>
        </w:rPr>
        <w:t>MacDonald v Aberdeenshire Council</w:t>
      </w:r>
      <w:r w:rsidRPr="00A67372">
        <w:rPr>
          <w:rFonts w:cs="Arial"/>
          <w:szCs w:val="24"/>
        </w:rPr>
        <w:t xml:space="preserve"> [2014] SC 114.</w:t>
      </w:r>
    </w:p>
    <w:p w14:paraId="5256157E" w14:textId="77777777" w:rsidR="0019789C" w:rsidRPr="00A67372" w:rsidRDefault="0019789C" w:rsidP="006D3C26">
      <w:pPr>
        <w:pStyle w:val="fntxt"/>
        <w:spacing w:before="120" w:after="0" w:line="240" w:lineRule="auto"/>
        <w:rPr>
          <w:rFonts w:cs="Arial"/>
          <w:sz w:val="24"/>
          <w:szCs w:val="24"/>
          <w:lang w:val="en-US"/>
        </w:rPr>
      </w:pPr>
      <w:r w:rsidRPr="00A67372">
        <w:rPr>
          <w:rStyle w:val="case"/>
          <w:rFonts w:cs="Arial"/>
          <w:szCs w:val="24"/>
        </w:rPr>
        <w:t>Mansfield v Weetabix</w:t>
      </w:r>
      <w:r w:rsidRPr="00A67372">
        <w:rPr>
          <w:rFonts w:cs="Arial"/>
          <w:sz w:val="24"/>
          <w:szCs w:val="24"/>
        </w:rPr>
        <w:t xml:space="preserve"> [1998] 1 WLR 1263.</w:t>
      </w:r>
    </w:p>
    <w:p w14:paraId="4B8376B0"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Mathieson v Secretary of State for Work and Pensions</w:t>
      </w:r>
      <w:r w:rsidRPr="00A67372">
        <w:rPr>
          <w:rFonts w:cs="Arial"/>
          <w:sz w:val="24"/>
          <w:szCs w:val="24"/>
        </w:rPr>
        <w:t xml:space="preserve"> [2015] UKSC 47.</w:t>
      </w:r>
    </w:p>
    <w:p w14:paraId="0D6D17B4" w14:textId="77777777" w:rsidR="0019789C" w:rsidRPr="00A67372" w:rsidRDefault="0019789C" w:rsidP="006D3C26">
      <w:pPr>
        <w:pStyle w:val="fntxt"/>
        <w:spacing w:before="120" w:after="0" w:line="240" w:lineRule="auto"/>
        <w:rPr>
          <w:rStyle w:val="fncaseChar"/>
          <w:rFonts w:cs="Arial"/>
          <w:i w:val="0"/>
          <w:color w:val="000000"/>
          <w:sz w:val="24"/>
          <w:szCs w:val="24"/>
        </w:rPr>
      </w:pPr>
      <w:r w:rsidRPr="00A67372">
        <w:rPr>
          <w:rStyle w:val="case"/>
          <w:rFonts w:cs="Arial"/>
          <w:szCs w:val="24"/>
        </w:rPr>
        <w:t>Matuszowicz v Kingston Upon Hull City Council</w:t>
      </w:r>
      <w:r w:rsidRPr="00A67372">
        <w:rPr>
          <w:rFonts w:cs="Arial"/>
          <w:sz w:val="24"/>
          <w:szCs w:val="24"/>
        </w:rPr>
        <w:t xml:space="preserve"> [2009] EWCA Civ 22.</w:t>
      </w:r>
    </w:p>
    <w:p w14:paraId="2D331F18"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McEwan v Lothian Buses PLC</w:t>
      </w:r>
      <w:r w:rsidRPr="00A67372">
        <w:rPr>
          <w:rFonts w:cs="Arial"/>
          <w:sz w:val="24"/>
          <w:szCs w:val="24"/>
        </w:rPr>
        <w:t xml:space="preserve"> [2014] CSIH 12.</w:t>
      </w:r>
    </w:p>
    <w:p w14:paraId="1D3CB93B"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McGeown v Northern Ireland Housing Executive</w:t>
      </w:r>
      <w:r w:rsidRPr="00A67372">
        <w:rPr>
          <w:rFonts w:cs="Arial"/>
          <w:i/>
          <w:sz w:val="24"/>
          <w:szCs w:val="24"/>
        </w:rPr>
        <w:t xml:space="preserve"> </w:t>
      </w:r>
      <w:r w:rsidRPr="00A67372">
        <w:rPr>
          <w:rFonts w:cs="Arial"/>
          <w:sz w:val="24"/>
          <w:szCs w:val="24"/>
        </w:rPr>
        <w:t>[1994] 3 All ER 53.</w:t>
      </w:r>
    </w:p>
    <w:p w14:paraId="3D9ADA49"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McKew v Holland &amp; Hannen &amp; Cubitts (Scotland) Ltd </w:t>
      </w:r>
      <w:r w:rsidRPr="00A67372">
        <w:rPr>
          <w:rFonts w:cs="Arial"/>
          <w:sz w:val="24"/>
          <w:szCs w:val="24"/>
        </w:rPr>
        <w:t>[1969] 3 All ER 1621.</w:t>
      </w:r>
    </w:p>
    <w:p w14:paraId="78B4F1CA" w14:textId="77777777" w:rsidR="0019789C" w:rsidRPr="00A67372" w:rsidRDefault="0019789C" w:rsidP="006D3C26">
      <w:pPr>
        <w:spacing w:before="120" w:line="240" w:lineRule="auto"/>
        <w:ind w:firstLine="0"/>
        <w:jc w:val="left"/>
        <w:rPr>
          <w:rFonts w:cs="Arial"/>
          <w:szCs w:val="24"/>
        </w:rPr>
      </w:pPr>
      <w:r w:rsidRPr="00A67372">
        <w:rPr>
          <w:rStyle w:val="fncaseChar"/>
          <w:rFonts w:cs="Arial"/>
          <w:sz w:val="24"/>
          <w:szCs w:val="24"/>
        </w:rPr>
        <w:t>McKnight v Clydeside Buses Ltd</w:t>
      </w:r>
      <w:r w:rsidRPr="00A67372">
        <w:rPr>
          <w:rFonts w:cs="Arial"/>
          <w:szCs w:val="24"/>
        </w:rPr>
        <w:t xml:space="preserve"> [1999] SLT 1167.</w:t>
      </w:r>
    </w:p>
    <w:p w14:paraId="50ACD954"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MH v Secretary of State for Work and Pensions</w:t>
      </w:r>
      <w:r w:rsidRPr="00A67372">
        <w:rPr>
          <w:rFonts w:cs="Arial"/>
          <w:sz w:val="24"/>
          <w:szCs w:val="24"/>
        </w:rPr>
        <w:t xml:space="preserve"> [2017] UKUT 424 (AAC).</w:t>
      </w:r>
    </w:p>
    <w:p w14:paraId="121A4A9A"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Michael v Chief Constable of South Wales</w:t>
      </w:r>
      <w:r w:rsidRPr="00A67372">
        <w:rPr>
          <w:rFonts w:cs="Arial"/>
          <w:sz w:val="24"/>
          <w:szCs w:val="24"/>
        </w:rPr>
        <w:t xml:space="preserve"> [2015] UKSC 2.</w:t>
      </w:r>
    </w:p>
    <w:p w14:paraId="15ACBCAE"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Mills v Barnsley Metropolitan Borough Council</w:t>
      </w:r>
      <w:r w:rsidRPr="00A67372">
        <w:rPr>
          <w:rFonts w:cs="Arial"/>
          <w:sz w:val="24"/>
          <w:szCs w:val="24"/>
        </w:rPr>
        <w:t xml:space="preserve"> [1992] PIQR 291.</w:t>
      </w:r>
    </w:p>
    <w:p w14:paraId="1ECF24AC"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MM &amp; DM, R (on the application of) v Secretary of State for Work and Pensions </w:t>
      </w:r>
      <w:r w:rsidRPr="00A67372">
        <w:rPr>
          <w:rFonts w:cs="Arial"/>
          <w:sz w:val="24"/>
          <w:szCs w:val="24"/>
        </w:rPr>
        <w:t>[2013] EWCA Civ 1565.</w:t>
      </w:r>
    </w:p>
    <w:p w14:paraId="0BBE9C93"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Morris v Luton Corporation</w:t>
      </w:r>
      <w:r w:rsidRPr="00A67372">
        <w:rPr>
          <w:rFonts w:cs="Arial"/>
          <w:sz w:val="24"/>
          <w:szCs w:val="24"/>
        </w:rPr>
        <w:t xml:space="preserve"> [1946] KB 114.</w:t>
      </w:r>
    </w:p>
    <w:p w14:paraId="2A896ED2"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Morris v Murray</w:t>
      </w:r>
      <w:r w:rsidRPr="00A67372">
        <w:rPr>
          <w:rFonts w:cs="Arial"/>
          <w:sz w:val="24"/>
          <w:szCs w:val="24"/>
        </w:rPr>
        <w:t xml:space="preserve"> [1991] [1991] 2 QB 6, [1990] 3 All ER 801.</w:t>
      </w:r>
    </w:p>
    <w:p w14:paraId="756D49B3"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Mullin v Richards</w:t>
      </w:r>
      <w:r w:rsidRPr="00A67372">
        <w:rPr>
          <w:rFonts w:cs="Arial"/>
          <w:sz w:val="24"/>
          <w:szCs w:val="24"/>
        </w:rPr>
        <w:t xml:space="preserve"> [1998] 1 All ER 920.</w:t>
      </w:r>
    </w:p>
    <w:p w14:paraId="7CB148F1" w14:textId="5DF2200A" w:rsidR="0019789C" w:rsidRPr="00A67372" w:rsidRDefault="0019789C" w:rsidP="006D3C26">
      <w:pPr>
        <w:pStyle w:val="fntxt"/>
        <w:spacing w:before="120" w:after="0" w:line="240" w:lineRule="auto"/>
        <w:rPr>
          <w:rFonts w:eastAsia="Times New Roman" w:cs="Arial"/>
          <w:sz w:val="24"/>
          <w:szCs w:val="24"/>
          <w:lang w:val="en-US" w:eastAsia="en-US"/>
        </w:rPr>
      </w:pPr>
      <w:r w:rsidRPr="00A67372">
        <w:rPr>
          <w:rStyle w:val="fncaseChar"/>
          <w:rFonts w:cs="Arial"/>
          <w:sz w:val="24"/>
          <w:szCs w:val="24"/>
        </w:rPr>
        <w:t>Nagy v Weston</w:t>
      </w:r>
      <w:r w:rsidRPr="006B1021">
        <w:rPr>
          <w:rFonts w:eastAsia="Times New Roman" w:cs="Arial"/>
          <w:sz w:val="24"/>
          <w:szCs w:val="24"/>
          <w:shd w:val="clear" w:color="auto" w:fill="FFFFFF"/>
          <w:lang w:val="en-US" w:eastAsia="en-US"/>
        </w:rPr>
        <w:t xml:space="preserve"> [1965] 1 All ER 78, [1965] 1 WLR 280</w:t>
      </w:r>
      <w:r w:rsidRPr="00A67372">
        <w:rPr>
          <w:rFonts w:eastAsia="Times New Roman" w:cs="Arial"/>
          <w:sz w:val="24"/>
          <w:szCs w:val="24"/>
          <w:lang w:val="en-US" w:eastAsia="en-US"/>
        </w:rPr>
        <w:t>.</w:t>
      </w:r>
    </w:p>
    <w:p w14:paraId="38483B90"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Nance v British Columbia Electric Railway Co Ltd </w:t>
      </w:r>
      <w:r w:rsidRPr="00A67372">
        <w:rPr>
          <w:rFonts w:cs="Arial"/>
          <w:sz w:val="24"/>
          <w:szCs w:val="24"/>
        </w:rPr>
        <w:t>[1951] 2 All ER 448, AC 601.</w:t>
      </w:r>
    </w:p>
    <w:p w14:paraId="4621E073"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Nettleship v Weston </w:t>
      </w:r>
      <w:r w:rsidRPr="00A67372">
        <w:rPr>
          <w:rFonts w:cs="Arial"/>
          <w:sz w:val="24"/>
          <w:szCs w:val="24"/>
        </w:rPr>
        <w:t>[1971] 2 QB 691.</w:t>
      </w:r>
    </w:p>
    <w:p w14:paraId="1CAC6D27"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Niemietz v Germany</w:t>
      </w:r>
      <w:r w:rsidRPr="00A67372">
        <w:rPr>
          <w:rFonts w:cs="Arial"/>
          <w:sz w:val="24"/>
          <w:szCs w:val="24"/>
        </w:rPr>
        <w:t xml:space="preserve"> App No 13710/88 (1992) 16 EHRR 97.</w:t>
      </w:r>
    </w:p>
    <w:p w14:paraId="1DE42EB0"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t>North Yorkshire Police v Saddington</w:t>
      </w:r>
      <w:r w:rsidRPr="00A67372">
        <w:rPr>
          <w:rFonts w:cs="Arial"/>
          <w:sz w:val="24"/>
          <w:szCs w:val="24"/>
        </w:rPr>
        <w:t xml:space="preserve"> [2000] EWHC Admin 409.</w:t>
      </w:r>
    </w:p>
    <w:p w14:paraId="55DFCE48"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Nottingham County Council v Zain (a minor) </w:t>
      </w:r>
      <w:r w:rsidRPr="00A67372">
        <w:rPr>
          <w:rFonts w:cs="Arial"/>
          <w:sz w:val="24"/>
          <w:szCs w:val="24"/>
        </w:rPr>
        <w:t xml:space="preserve">[2001] EWCA Civ 1248. </w:t>
      </w:r>
    </w:p>
    <w:p w14:paraId="05F990C7"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 xml:space="preserve">Odubajo v Secretary of State for the Home Department </w:t>
      </w:r>
      <w:r w:rsidRPr="00A67372">
        <w:rPr>
          <w:rFonts w:cs="Arial"/>
          <w:sz w:val="24"/>
          <w:szCs w:val="24"/>
        </w:rPr>
        <w:t>[2020] CSOH 2.</w:t>
      </w:r>
    </w:p>
    <w:p w14:paraId="5233D5FE"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lastRenderedPageBreak/>
        <w:t>Osei-Antwi v South East London &amp; Kent Bus Co Ltd</w:t>
      </w:r>
      <w:r w:rsidRPr="00A67372">
        <w:rPr>
          <w:rFonts w:cs="Arial"/>
          <w:sz w:val="24"/>
          <w:szCs w:val="24"/>
        </w:rPr>
        <w:t xml:space="preserve"> [2010] EWCA Civ 132. </w:t>
      </w:r>
    </w:p>
    <w:p w14:paraId="29A557DA"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Overseas Tankship (UK) Ltd v Morts Dock and Engineering Co Ltd (The Wagon Mound No 1) </w:t>
      </w:r>
      <w:r w:rsidRPr="00A67372">
        <w:rPr>
          <w:rFonts w:cs="Arial"/>
          <w:sz w:val="24"/>
          <w:szCs w:val="24"/>
        </w:rPr>
        <w:t>[1961] AC 388.</w:t>
      </w:r>
    </w:p>
    <w:p w14:paraId="47281339"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Overseas Tankship(UK) Ltd v Miller Steamship Co (Wagon Mound No 2) </w:t>
      </w:r>
      <w:r w:rsidRPr="00A67372">
        <w:rPr>
          <w:rFonts w:cs="Arial"/>
          <w:sz w:val="24"/>
          <w:szCs w:val="24"/>
        </w:rPr>
        <w:t>[1967] 1 AC 617.</w:t>
      </w:r>
    </w:p>
    <w:p w14:paraId="6776410E" w14:textId="77777777" w:rsidR="0019789C" w:rsidRPr="00A67372" w:rsidRDefault="0019789C" w:rsidP="006D3C26">
      <w:pPr>
        <w:pStyle w:val="fntxt"/>
        <w:tabs>
          <w:tab w:val="left" w:pos="2260"/>
        </w:tabs>
        <w:spacing w:before="120" w:after="0" w:line="240" w:lineRule="auto"/>
        <w:rPr>
          <w:rFonts w:cs="Arial"/>
          <w:sz w:val="24"/>
          <w:szCs w:val="24"/>
          <w:lang w:bidi="en-US"/>
        </w:rPr>
      </w:pPr>
      <w:r w:rsidRPr="00A67372">
        <w:rPr>
          <w:rStyle w:val="case"/>
          <w:rFonts w:cs="Arial"/>
          <w:szCs w:val="24"/>
        </w:rPr>
        <w:t>Page v Smith</w:t>
      </w:r>
      <w:r w:rsidRPr="00A67372">
        <w:rPr>
          <w:rFonts w:cs="Arial"/>
          <w:sz w:val="24"/>
          <w:szCs w:val="24"/>
        </w:rPr>
        <w:t xml:space="preserve"> </w:t>
      </w:r>
      <w:r w:rsidRPr="00A67372">
        <w:rPr>
          <w:rFonts w:cs="Arial"/>
          <w:sz w:val="24"/>
          <w:szCs w:val="24"/>
          <w:lang w:bidi="en-US"/>
        </w:rPr>
        <w:t>[1996] AC 155.</w:t>
      </w:r>
      <w:r w:rsidRPr="00A67372">
        <w:rPr>
          <w:rFonts w:cs="Arial"/>
          <w:sz w:val="24"/>
          <w:szCs w:val="24"/>
          <w:lang w:bidi="en-US"/>
        </w:rPr>
        <w:tab/>
      </w:r>
    </w:p>
    <w:p w14:paraId="3EAA9DA3"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Paris v Stepney Borough Council</w:t>
      </w:r>
      <w:r w:rsidRPr="00A67372">
        <w:rPr>
          <w:rFonts w:cs="Arial"/>
          <w:sz w:val="24"/>
          <w:szCs w:val="24"/>
        </w:rPr>
        <w:t xml:space="preserve"> [1951] AC 367.</w:t>
      </w:r>
    </w:p>
    <w:p w14:paraId="326E511B" w14:textId="7F0C4DAE" w:rsidR="0019789C" w:rsidRPr="00A67372" w:rsidRDefault="0019789C" w:rsidP="006D3C26">
      <w:pPr>
        <w:pStyle w:val="fntxt"/>
        <w:spacing w:before="120" w:after="0" w:line="240" w:lineRule="auto"/>
        <w:ind w:left="0" w:firstLine="0"/>
        <w:rPr>
          <w:rFonts w:cs="Arial"/>
          <w:sz w:val="24"/>
          <w:szCs w:val="24"/>
        </w:rPr>
      </w:pPr>
      <w:r w:rsidRPr="00A67372">
        <w:rPr>
          <w:rFonts w:cs="Arial"/>
          <w:i/>
          <w:sz w:val="24"/>
          <w:szCs w:val="24"/>
        </w:rPr>
        <w:t>Paulley v First Group Ltd</w:t>
      </w:r>
      <w:r w:rsidRPr="00A67372">
        <w:rPr>
          <w:rFonts w:cs="Arial"/>
          <w:sz w:val="24"/>
          <w:szCs w:val="24"/>
        </w:rPr>
        <w:t xml:space="preserve">, Leeds County Court, Case 2YL85558 (16 September 2013, available at </w:t>
      </w:r>
      <w:hyperlink r:id="rId114" w:history="1">
        <w:r w:rsidRPr="00A67372">
          <w:rPr>
            <w:rStyle w:val="Hyperlink"/>
            <w:rFonts w:cs="Arial"/>
            <w:sz w:val="24"/>
            <w:szCs w:val="24"/>
          </w:rPr>
          <w:t>&lt;www.disabilityrightsuk.org/sites/default/files/pdf/firstbusjudgment.pdf&gt;</w:t>
        </w:r>
      </w:hyperlink>
      <w:r w:rsidRPr="00A67372">
        <w:rPr>
          <w:rFonts w:cs="Arial"/>
          <w:sz w:val="24"/>
          <w:szCs w:val="24"/>
        </w:rPr>
        <w:t xml:space="preserve"> accessed 16 January 2020</w:t>
      </w:r>
      <w:r>
        <w:rPr>
          <w:rFonts w:cs="Arial"/>
          <w:sz w:val="24"/>
          <w:szCs w:val="24"/>
        </w:rPr>
        <w:t>.</w:t>
      </w:r>
    </w:p>
    <w:p w14:paraId="4D2A38F2"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Pieretti v Enfield London Borough Council</w:t>
      </w:r>
      <w:r w:rsidRPr="00A67372">
        <w:rPr>
          <w:rFonts w:cs="Arial"/>
          <w:sz w:val="24"/>
          <w:szCs w:val="24"/>
        </w:rPr>
        <w:t xml:space="preserve"> [2011] 2 All ER 642.</w:t>
      </w:r>
    </w:p>
    <w:p w14:paraId="67D78855"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 xml:space="preserve">Pitts v Hunt </w:t>
      </w:r>
      <w:r w:rsidRPr="00A67372">
        <w:rPr>
          <w:rFonts w:cs="Arial"/>
          <w:sz w:val="24"/>
          <w:szCs w:val="24"/>
        </w:rPr>
        <w:t>[1990] 3 All ER 344.</w:t>
      </w:r>
    </w:p>
    <w:p w14:paraId="52961EB6"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Pollock v Cahill</w:t>
      </w:r>
      <w:r w:rsidRPr="00A67372">
        <w:rPr>
          <w:rFonts w:cs="Arial"/>
          <w:sz w:val="24"/>
          <w:szCs w:val="24"/>
        </w:rPr>
        <w:t xml:space="preserve"> [2015] EWHC 2260 (QB).</w:t>
      </w:r>
    </w:p>
    <w:p w14:paraId="6425134B"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Pritchard v Post Office</w:t>
      </w:r>
      <w:r w:rsidRPr="00A67372">
        <w:rPr>
          <w:rFonts w:cs="Arial"/>
          <w:sz w:val="24"/>
          <w:szCs w:val="24"/>
        </w:rPr>
        <w:t xml:space="preserve"> [1950] 114 JP 370, [1950] 94 Sol Jo 404.</w:t>
      </w:r>
    </w:p>
    <w:p w14:paraId="7D6202A7" w14:textId="77777777" w:rsidR="0019789C" w:rsidRPr="00A67372" w:rsidRDefault="0019789C" w:rsidP="006D3C26">
      <w:pPr>
        <w:pStyle w:val="fntxt"/>
        <w:spacing w:before="120" w:after="0" w:line="240" w:lineRule="auto"/>
        <w:rPr>
          <w:rFonts w:cs="Arial"/>
          <w:sz w:val="24"/>
          <w:szCs w:val="24"/>
          <w:lang w:val="en-US"/>
        </w:rPr>
      </w:pPr>
      <w:r w:rsidRPr="00A67372">
        <w:rPr>
          <w:rStyle w:val="case"/>
          <w:rFonts w:cs="Arial"/>
          <w:szCs w:val="24"/>
        </w:rPr>
        <w:t>Probert v Moore</w:t>
      </w:r>
      <w:r w:rsidRPr="00A67372">
        <w:rPr>
          <w:rFonts w:cs="Arial"/>
          <w:sz w:val="24"/>
          <w:szCs w:val="24"/>
        </w:rPr>
        <w:t xml:space="preserve"> [</w:t>
      </w:r>
      <w:r w:rsidRPr="00A67372">
        <w:rPr>
          <w:rStyle w:val="fntxtChar"/>
          <w:rFonts w:cs="Arial"/>
          <w:sz w:val="24"/>
          <w:szCs w:val="24"/>
        </w:rPr>
        <w:t>2012] EWHC 2324 (QB).</w:t>
      </w:r>
    </w:p>
    <w:p w14:paraId="340CBBC7" w14:textId="77777777" w:rsidR="0019789C" w:rsidRPr="00A67372" w:rsidRDefault="0019789C" w:rsidP="006D3C26">
      <w:pPr>
        <w:spacing w:before="120" w:line="240" w:lineRule="auto"/>
        <w:ind w:firstLine="0"/>
        <w:jc w:val="left"/>
        <w:rPr>
          <w:rFonts w:cs="Arial"/>
          <w:szCs w:val="24"/>
        </w:rPr>
      </w:pPr>
      <w:r w:rsidRPr="00A67372">
        <w:rPr>
          <w:rFonts w:cs="Arial"/>
          <w:i/>
          <w:szCs w:val="24"/>
        </w:rPr>
        <w:t>Purves v Joydisc Ltd</w:t>
      </w:r>
      <w:r w:rsidRPr="00A67372">
        <w:rPr>
          <w:rFonts w:cs="Arial"/>
          <w:szCs w:val="24"/>
        </w:rPr>
        <w:t xml:space="preserve"> [2003] Scot (D) 25/3.</w:t>
      </w:r>
    </w:p>
    <w:p w14:paraId="678C858D"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R (Carmichael and Rourke and others) v Secretary of State for Work and Pensions</w:t>
      </w:r>
      <w:r w:rsidRPr="00A67372">
        <w:rPr>
          <w:rFonts w:cs="Arial"/>
          <w:sz w:val="24"/>
          <w:szCs w:val="24"/>
        </w:rPr>
        <w:t xml:space="preserve"> [2016] UKSC 58.</w:t>
      </w:r>
    </w:p>
    <w:p w14:paraId="14EC5E46"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R (JL) v Islington London BC</w:t>
      </w:r>
      <w:r w:rsidRPr="00A67372">
        <w:rPr>
          <w:rFonts w:cs="Arial"/>
          <w:sz w:val="24"/>
          <w:szCs w:val="24"/>
        </w:rPr>
        <w:t xml:space="preserve"> [2009] EWHC 458 (Admin), [2009] 2 FLR 515.</w:t>
      </w:r>
    </w:p>
    <w:p w14:paraId="4AE9540F"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R (on the application of Ali) v Newham LBC</w:t>
      </w:r>
      <w:r w:rsidRPr="00A67372">
        <w:rPr>
          <w:rFonts w:cs="Arial"/>
          <w:sz w:val="24"/>
          <w:szCs w:val="24"/>
        </w:rPr>
        <w:t xml:space="preserve"> [2012] EWHC 2970 (Admin).</w:t>
      </w:r>
    </w:p>
    <w:p w14:paraId="744A98DD" w14:textId="77777777" w:rsidR="0019789C" w:rsidRPr="00A67372" w:rsidRDefault="0019789C" w:rsidP="006D3C26">
      <w:pPr>
        <w:pStyle w:val="fntxt"/>
        <w:spacing w:before="120" w:after="0" w:line="240" w:lineRule="auto"/>
        <w:ind w:left="0" w:firstLine="0"/>
        <w:rPr>
          <w:rFonts w:cs="Arial"/>
          <w:sz w:val="24"/>
          <w:szCs w:val="24"/>
        </w:rPr>
      </w:pPr>
      <w:r w:rsidRPr="00A67372">
        <w:rPr>
          <w:rFonts w:cs="Arial"/>
          <w:i/>
          <w:sz w:val="24"/>
          <w:szCs w:val="24"/>
        </w:rPr>
        <w:t>R (on the application of Crompton) v South Yorkshire Police and Crime Commissioner</w:t>
      </w:r>
      <w:r w:rsidRPr="00A67372">
        <w:rPr>
          <w:rFonts w:cs="Arial"/>
          <w:sz w:val="24"/>
          <w:szCs w:val="24"/>
        </w:rPr>
        <w:t xml:space="preserve"> [2018] 1 WLR 131.</w:t>
      </w:r>
    </w:p>
    <w:p w14:paraId="6CD7592F" w14:textId="77777777" w:rsidR="0019789C" w:rsidRPr="00A67372" w:rsidRDefault="0019789C" w:rsidP="006D3C26">
      <w:pPr>
        <w:spacing w:before="120" w:line="240" w:lineRule="auto"/>
        <w:ind w:firstLine="0"/>
        <w:jc w:val="left"/>
        <w:rPr>
          <w:rStyle w:val="FootnoteTextChar"/>
          <w:rFonts w:cs="Arial"/>
          <w:sz w:val="24"/>
          <w:szCs w:val="24"/>
        </w:rPr>
      </w:pPr>
      <w:r w:rsidRPr="00A67372">
        <w:rPr>
          <w:rStyle w:val="case"/>
          <w:rFonts w:cs="Arial"/>
          <w:szCs w:val="24"/>
        </w:rPr>
        <w:t>R (on the application of Goodall) v Reading Borough Council</w:t>
      </w:r>
      <w:r w:rsidRPr="00A67372">
        <w:rPr>
          <w:rStyle w:val="Heading7Char"/>
          <w:rFonts w:ascii="Arial" w:hAnsi="Arial" w:cs="Arial"/>
          <w:szCs w:val="24"/>
        </w:rPr>
        <w:t xml:space="preserve"> </w:t>
      </w:r>
      <w:r w:rsidRPr="00A67372">
        <w:rPr>
          <w:rStyle w:val="FootnoteTextChar"/>
          <w:rFonts w:cs="Arial"/>
          <w:sz w:val="24"/>
          <w:szCs w:val="24"/>
        </w:rPr>
        <w:t>[2016] EWHC (Admin) 3795.</w:t>
      </w:r>
    </w:p>
    <w:p w14:paraId="1C854681" w14:textId="77777777" w:rsidR="0019789C" w:rsidRPr="00A67372" w:rsidRDefault="0019789C" w:rsidP="006D3C26">
      <w:pPr>
        <w:pStyle w:val="fntxt"/>
        <w:spacing w:before="120" w:after="0" w:line="240" w:lineRule="auto"/>
        <w:rPr>
          <w:rFonts w:cs="Arial"/>
          <w:sz w:val="24"/>
          <w:szCs w:val="24"/>
          <w:lang w:val="en-US"/>
        </w:rPr>
      </w:pPr>
      <w:r w:rsidRPr="00A67372">
        <w:rPr>
          <w:rStyle w:val="fncaseChar"/>
          <w:rFonts w:cs="Arial"/>
          <w:sz w:val="24"/>
          <w:szCs w:val="24"/>
        </w:rPr>
        <w:t>R (on the application of Redrow Homes Ltd) v Knowsley MBC</w:t>
      </w:r>
      <w:r w:rsidRPr="00A67372">
        <w:rPr>
          <w:rFonts w:eastAsia="Times New Roman" w:cs="Arial"/>
          <w:sz w:val="24"/>
          <w:szCs w:val="24"/>
          <w:lang w:val="en-US" w:eastAsia="en-US"/>
        </w:rPr>
        <w:t xml:space="preserve"> [2014] EWCA Civ 1433.</w:t>
      </w:r>
    </w:p>
    <w:p w14:paraId="3FEE8207"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R (on the application of Toner) v Lisburn City Council</w:t>
      </w:r>
      <w:r w:rsidRPr="00A67372">
        <w:rPr>
          <w:rFonts w:cs="Arial"/>
          <w:sz w:val="24"/>
          <w:szCs w:val="24"/>
        </w:rPr>
        <w:t xml:space="preserve"> [2017] NIQB 49.</w:t>
      </w:r>
    </w:p>
    <w:p w14:paraId="3BFF251A" w14:textId="77777777" w:rsidR="0019789C" w:rsidRPr="00A67372" w:rsidRDefault="0019789C" w:rsidP="006D3C26">
      <w:pPr>
        <w:spacing w:before="120" w:line="240" w:lineRule="auto"/>
        <w:ind w:firstLine="0"/>
        <w:jc w:val="left"/>
        <w:rPr>
          <w:rFonts w:cs="Arial"/>
          <w:szCs w:val="24"/>
          <w:lang w:val="en-US"/>
        </w:rPr>
      </w:pPr>
      <w:r w:rsidRPr="00A67372">
        <w:rPr>
          <w:rFonts w:cs="Arial"/>
          <w:i/>
          <w:iCs/>
          <w:szCs w:val="24"/>
        </w:rPr>
        <w:t>R v Lambert</w:t>
      </w:r>
      <w:r w:rsidRPr="00A67372">
        <w:rPr>
          <w:rFonts w:cs="Arial"/>
          <w:szCs w:val="24"/>
        </w:rPr>
        <w:t xml:space="preserve"> </w:t>
      </w:r>
      <w:r w:rsidRPr="00A67372">
        <w:rPr>
          <w:rFonts w:cs="Arial"/>
          <w:szCs w:val="24"/>
          <w:lang w:val="en-US"/>
        </w:rPr>
        <w:t>[2008] EWCA Crim 2109.</w:t>
      </w:r>
    </w:p>
    <w:p w14:paraId="463F3920"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t>R v Norfolk CC Ex p. Thorpe</w:t>
      </w:r>
      <w:r w:rsidRPr="00A67372">
        <w:rPr>
          <w:rFonts w:cs="Arial"/>
          <w:sz w:val="24"/>
          <w:szCs w:val="24"/>
        </w:rPr>
        <w:t xml:space="preserve"> [1998] 1 WLUK 501.</w:t>
      </w:r>
    </w:p>
    <w:p w14:paraId="027F62EF"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R v North and East Devon HA ex parte Coughlan</w:t>
      </w:r>
      <w:r w:rsidRPr="00A67372">
        <w:rPr>
          <w:rFonts w:cs="Arial"/>
          <w:sz w:val="24"/>
          <w:szCs w:val="24"/>
        </w:rPr>
        <w:t xml:space="preserve"> [2001] QB 213.</w:t>
      </w:r>
    </w:p>
    <w:p w14:paraId="6C032A49" w14:textId="77777777" w:rsidR="0019789C" w:rsidRPr="00A67372" w:rsidRDefault="0019789C" w:rsidP="006D3C26">
      <w:pPr>
        <w:pStyle w:val="fntxt"/>
        <w:spacing w:before="120" w:after="0" w:line="240" w:lineRule="auto"/>
        <w:rPr>
          <w:rFonts w:cs="Arial"/>
          <w:sz w:val="24"/>
          <w:szCs w:val="24"/>
          <w:lang w:val="en-US"/>
        </w:rPr>
      </w:pPr>
      <w:r w:rsidRPr="00A67372">
        <w:rPr>
          <w:rStyle w:val="case"/>
          <w:rFonts w:cs="Arial"/>
          <w:szCs w:val="24"/>
        </w:rPr>
        <w:t>R v Rimmington</w:t>
      </w:r>
      <w:r w:rsidRPr="00A67372">
        <w:rPr>
          <w:rFonts w:cs="Arial"/>
          <w:sz w:val="24"/>
          <w:szCs w:val="24"/>
          <w:lang w:val="en-US"/>
        </w:rPr>
        <w:t xml:space="preserve"> [2006] 1 AC 459.</w:t>
      </w:r>
    </w:p>
    <w:p w14:paraId="507A2CF4"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fncaseChar"/>
          <w:rFonts w:cs="Arial"/>
          <w:sz w:val="24"/>
          <w:szCs w:val="24"/>
        </w:rPr>
        <w:t xml:space="preserve">Rider v Rider </w:t>
      </w:r>
      <w:r w:rsidRPr="00A67372">
        <w:rPr>
          <w:rFonts w:cs="Arial"/>
          <w:szCs w:val="24"/>
        </w:rPr>
        <w:t>[1993] 1QB 505.</w:t>
      </w:r>
    </w:p>
    <w:p w14:paraId="7A1B75E9"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Roads v Central Trains Limited</w:t>
      </w:r>
      <w:r w:rsidRPr="00A67372">
        <w:rPr>
          <w:rFonts w:cs="Arial"/>
          <w:sz w:val="24"/>
          <w:szCs w:val="24"/>
        </w:rPr>
        <w:t xml:space="preserve"> [2004] EWCA Civ 1541.</w:t>
      </w:r>
    </w:p>
    <w:p w14:paraId="0A8773B8" w14:textId="77777777" w:rsidR="0019789C" w:rsidRPr="00A67372" w:rsidRDefault="0019789C" w:rsidP="006D3C26">
      <w:pPr>
        <w:spacing w:before="120" w:line="240" w:lineRule="auto"/>
        <w:ind w:firstLine="0"/>
        <w:jc w:val="left"/>
        <w:rPr>
          <w:rFonts w:cs="Arial"/>
          <w:szCs w:val="24"/>
        </w:rPr>
      </w:pPr>
      <w:r w:rsidRPr="00A67372">
        <w:rPr>
          <w:rFonts w:cs="Arial"/>
          <w:i/>
          <w:szCs w:val="24"/>
        </w:rPr>
        <w:t xml:space="preserve">Roberts v Bank of Scotland plc </w:t>
      </w:r>
      <w:r w:rsidRPr="00A67372">
        <w:rPr>
          <w:rFonts w:cs="Arial"/>
          <w:szCs w:val="24"/>
        </w:rPr>
        <w:t>[2013] EWCA Civ 882.</w:t>
      </w:r>
    </w:p>
    <w:p w14:paraId="096F07EE"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Robinson v Chief Constable of West Yorkshire Police</w:t>
      </w:r>
      <w:r w:rsidRPr="00A67372">
        <w:rPr>
          <w:rFonts w:cs="Arial"/>
          <w:sz w:val="24"/>
          <w:szCs w:val="24"/>
        </w:rPr>
        <w:t xml:space="preserve"> [2018] AC 736.</w:t>
      </w:r>
    </w:p>
    <w:p w14:paraId="038FDDC7"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Ross v Ryanair</w:t>
      </w:r>
      <w:r w:rsidRPr="00A67372">
        <w:rPr>
          <w:rFonts w:cs="Arial"/>
          <w:i/>
          <w:iCs/>
          <w:sz w:val="24"/>
          <w:szCs w:val="24"/>
        </w:rPr>
        <w:t xml:space="preserve"> </w:t>
      </w:r>
      <w:r w:rsidRPr="00A67372">
        <w:rPr>
          <w:rFonts w:cs="Arial"/>
          <w:sz w:val="24"/>
          <w:szCs w:val="24"/>
        </w:rPr>
        <w:t>[2005] 1 WLR 2447.</w:t>
      </w:r>
    </w:p>
    <w:p w14:paraId="413BC421"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Royal Bank of Scotland v Allen</w:t>
      </w:r>
      <w:r w:rsidRPr="00A67372">
        <w:rPr>
          <w:rFonts w:cs="Arial"/>
          <w:sz w:val="24"/>
          <w:szCs w:val="24"/>
        </w:rPr>
        <w:t xml:space="preserve"> [2009] EWCA Civ 1213.</w:t>
      </w:r>
    </w:p>
    <w:p w14:paraId="2CDFFF9B"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Sabir v Osei-Kwabena</w:t>
      </w:r>
      <w:r w:rsidRPr="00A67372">
        <w:rPr>
          <w:rFonts w:cs="Arial"/>
          <w:sz w:val="24"/>
          <w:szCs w:val="24"/>
        </w:rPr>
        <w:t xml:space="preserve"> [2015] EWCA Civ 1213.</w:t>
      </w:r>
    </w:p>
    <w:p w14:paraId="285D9A14"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Sam v Atkins</w:t>
      </w:r>
      <w:r w:rsidRPr="00A67372">
        <w:rPr>
          <w:rFonts w:cs="Arial"/>
          <w:sz w:val="24"/>
          <w:szCs w:val="24"/>
        </w:rPr>
        <w:t xml:space="preserve"> [2005] EWCA Civ 1452.</w:t>
      </w:r>
    </w:p>
    <w:p w14:paraId="29ECB0A8"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Saunders v Edwards</w:t>
      </w:r>
      <w:r w:rsidRPr="00A67372">
        <w:rPr>
          <w:rFonts w:cs="Arial"/>
          <w:sz w:val="24"/>
          <w:szCs w:val="24"/>
        </w:rPr>
        <w:t xml:space="preserve"> [1987] 2 All ER 651, [1987] 1 WLR 1116.</w:t>
      </w:r>
    </w:p>
    <w:p w14:paraId="7841EA21"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lastRenderedPageBreak/>
        <w:t>Secretary of State for Work and Pensions (Jobcentre Plus) v Jamil</w:t>
      </w:r>
      <w:r w:rsidRPr="00A67372">
        <w:rPr>
          <w:rFonts w:cs="Arial"/>
          <w:sz w:val="24"/>
          <w:szCs w:val="24"/>
        </w:rPr>
        <w:t>, UKEAT/0097/13/BA (26 November 2013).</w:t>
      </w:r>
    </w:p>
    <w:p w14:paraId="13BFF0AC" w14:textId="77777777" w:rsidR="0019789C" w:rsidRPr="00A67372" w:rsidRDefault="0019789C" w:rsidP="006D3C26">
      <w:pPr>
        <w:pStyle w:val="fntxt"/>
        <w:spacing w:before="120" w:after="0" w:line="240" w:lineRule="auto"/>
        <w:rPr>
          <w:rStyle w:val="FootnoteTextChar"/>
          <w:rFonts w:cs="Arial"/>
          <w:sz w:val="24"/>
          <w:szCs w:val="24"/>
        </w:rPr>
      </w:pPr>
      <w:r w:rsidRPr="00A67372">
        <w:rPr>
          <w:rStyle w:val="fncaseChar"/>
          <w:rFonts w:cs="Arial"/>
          <w:sz w:val="24"/>
          <w:szCs w:val="24"/>
        </w:rPr>
        <w:t>Semikhvostov v Russia</w:t>
      </w:r>
      <w:r w:rsidRPr="00A67372">
        <w:rPr>
          <w:rStyle w:val="FootnoteTextChar"/>
          <w:rFonts w:cs="Arial"/>
          <w:sz w:val="24"/>
          <w:szCs w:val="24"/>
        </w:rPr>
        <w:t xml:space="preserve"> App No 2689/12 (ECtHR, 6 February 2014).</w:t>
      </w:r>
    </w:p>
    <w:p w14:paraId="4580B38D" w14:textId="77777777" w:rsidR="0019789C" w:rsidRPr="00A67372" w:rsidRDefault="0019789C" w:rsidP="006D3C26">
      <w:pPr>
        <w:pStyle w:val="fntxt"/>
        <w:spacing w:before="120" w:after="0" w:line="240" w:lineRule="auto"/>
        <w:ind w:left="0" w:firstLine="0"/>
        <w:rPr>
          <w:rFonts w:cs="Arial"/>
          <w:sz w:val="24"/>
          <w:szCs w:val="24"/>
          <w:lang w:val="en-US"/>
        </w:rPr>
      </w:pPr>
      <w:r w:rsidRPr="00A67372">
        <w:rPr>
          <w:rStyle w:val="case"/>
          <w:rFonts w:cs="Arial"/>
          <w:szCs w:val="24"/>
        </w:rPr>
        <w:t>Sheppard v Glossop Corporation</w:t>
      </w:r>
      <w:r w:rsidRPr="00A67372">
        <w:rPr>
          <w:rFonts w:cs="Arial"/>
          <w:sz w:val="24"/>
          <w:szCs w:val="24"/>
        </w:rPr>
        <w:t xml:space="preserve"> [1921] All ER Rep 61.</w:t>
      </w:r>
    </w:p>
    <w:p w14:paraId="7575037B"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t>Shine v Tower Hamlets LBC</w:t>
      </w:r>
      <w:r w:rsidRPr="00A67372">
        <w:rPr>
          <w:rFonts w:cs="Arial"/>
          <w:sz w:val="24"/>
          <w:szCs w:val="24"/>
        </w:rPr>
        <w:t xml:space="preserve"> [2006] EWCA Civ 852.</w:t>
      </w:r>
    </w:p>
    <w:p w14:paraId="25138F07"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Simmons v Castle</w:t>
      </w:r>
      <w:r w:rsidRPr="00A67372">
        <w:rPr>
          <w:rFonts w:cs="Arial"/>
          <w:sz w:val="24"/>
          <w:szCs w:val="24"/>
        </w:rPr>
        <w:t xml:space="preserve"> [2013] 1 All ER 334.</w:t>
      </w:r>
    </w:p>
    <w:p w14:paraId="7A62D76E"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Singh v City of Cardiff Council</w:t>
      </w:r>
      <w:r w:rsidRPr="00A67372">
        <w:rPr>
          <w:rFonts w:cs="Arial"/>
          <w:i/>
          <w:sz w:val="24"/>
          <w:szCs w:val="24"/>
        </w:rPr>
        <w:t xml:space="preserve"> </w:t>
      </w:r>
      <w:r w:rsidRPr="00A67372">
        <w:rPr>
          <w:rFonts w:cs="Arial"/>
          <w:sz w:val="24"/>
          <w:szCs w:val="24"/>
        </w:rPr>
        <w:t>[2017] EWHC 1499 (QB).</w:t>
      </w:r>
    </w:p>
    <w:p w14:paraId="3CEF99A3" w14:textId="77777777" w:rsidR="0019789C" w:rsidRPr="00A67372" w:rsidRDefault="0019789C" w:rsidP="006D3C26">
      <w:pPr>
        <w:pStyle w:val="fntxt"/>
        <w:tabs>
          <w:tab w:val="left" w:pos="2260"/>
        </w:tabs>
        <w:spacing w:before="120" w:after="0" w:line="240" w:lineRule="auto"/>
        <w:rPr>
          <w:rFonts w:cs="Arial"/>
          <w:sz w:val="24"/>
          <w:szCs w:val="24"/>
        </w:rPr>
      </w:pPr>
      <w:r w:rsidRPr="00A67372">
        <w:rPr>
          <w:rStyle w:val="fncaseChar"/>
          <w:rFonts w:cs="Arial"/>
          <w:sz w:val="24"/>
          <w:szCs w:val="24"/>
        </w:rPr>
        <w:t>Smith v Leech</w:t>
      </w:r>
      <w:r w:rsidRPr="00A67372">
        <w:rPr>
          <w:rFonts w:cs="Arial"/>
          <w:i/>
          <w:sz w:val="24"/>
          <w:szCs w:val="24"/>
        </w:rPr>
        <w:t xml:space="preserve"> </w:t>
      </w:r>
      <w:r w:rsidRPr="00A67372">
        <w:rPr>
          <w:rFonts w:cs="Arial"/>
          <w:sz w:val="24"/>
          <w:szCs w:val="24"/>
        </w:rPr>
        <w:t>[1962] 2 QB 405.</w:t>
      </w:r>
    </w:p>
    <w:p w14:paraId="4EE5D3A9"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Southwark London Borough Council and another v Transport for London</w:t>
      </w:r>
      <w:r w:rsidRPr="00A67372">
        <w:rPr>
          <w:rFonts w:cs="Arial"/>
          <w:sz w:val="24"/>
          <w:szCs w:val="24"/>
        </w:rPr>
        <w:t xml:space="preserve"> [2019] 2 All ER 271.</w:t>
      </w:r>
    </w:p>
    <w:p w14:paraId="61F5E53E" w14:textId="77777777" w:rsidR="0019789C" w:rsidRPr="00A67372" w:rsidRDefault="0019789C" w:rsidP="006D3C26">
      <w:pPr>
        <w:pStyle w:val="fntxt"/>
        <w:spacing w:before="120" w:after="0" w:line="240" w:lineRule="auto"/>
        <w:rPr>
          <w:rStyle w:val="fncaseChar"/>
          <w:rFonts w:cs="Arial"/>
          <w:sz w:val="24"/>
          <w:szCs w:val="24"/>
        </w:rPr>
      </w:pPr>
      <w:r w:rsidRPr="00A67372">
        <w:rPr>
          <w:rStyle w:val="fncaseChar"/>
          <w:rFonts w:cs="Arial"/>
          <w:sz w:val="24"/>
          <w:szCs w:val="24"/>
        </w:rPr>
        <w:t xml:space="preserve">Stovin v Wise </w:t>
      </w:r>
      <w:r w:rsidRPr="00A67372">
        <w:rPr>
          <w:rFonts w:cs="Arial"/>
          <w:sz w:val="24"/>
          <w:szCs w:val="24"/>
        </w:rPr>
        <w:t>[1996] AC 923, [1996] 3 All ER 801.</w:t>
      </w:r>
    </w:p>
    <w:p w14:paraId="3168561D"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Suffolk County Council v Mason </w:t>
      </w:r>
      <w:r w:rsidRPr="00A67372">
        <w:rPr>
          <w:rFonts w:cs="Arial"/>
          <w:sz w:val="24"/>
          <w:szCs w:val="24"/>
        </w:rPr>
        <w:t>[1979] 2 All ER 369.</w:t>
      </w:r>
    </w:p>
    <w:p w14:paraId="0ABC612B"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Taylor v Goodwin</w:t>
      </w:r>
      <w:r w:rsidRPr="00A67372">
        <w:rPr>
          <w:rStyle w:val="fntxtChar"/>
          <w:rFonts w:cs="Arial"/>
          <w:sz w:val="24"/>
          <w:szCs w:val="24"/>
        </w:rPr>
        <w:t xml:space="preserve"> [1879] 4 QBD 228.</w:t>
      </w:r>
    </w:p>
    <w:p w14:paraId="77E85ECC" w14:textId="77777777" w:rsidR="0019789C" w:rsidRPr="00A67372" w:rsidRDefault="0019789C" w:rsidP="006D3C26">
      <w:pPr>
        <w:pStyle w:val="fntxt"/>
        <w:spacing w:before="120" w:after="0" w:line="240" w:lineRule="auto"/>
        <w:rPr>
          <w:rFonts w:eastAsia="Times New Roman" w:cs="Arial"/>
          <w:sz w:val="24"/>
          <w:szCs w:val="24"/>
          <w:lang w:val="en-US" w:eastAsia="en-US"/>
        </w:rPr>
      </w:pPr>
      <w:r w:rsidRPr="00A67372">
        <w:rPr>
          <w:rStyle w:val="fncaseChar"/>
          <w:rFonts w:cs="Arial"/>
          <w:sz w:val="24"/>
          <w:szCs w:val="24"/>
        </w:rPr>
        <w:t>Tendering District Council v Persons Unknown</w:t>
      </w:r>
      <w:r w:rsidRPr="00A67372">
        <w:rPr>
          <w:rFonts w:eastAsia="Times New Roman" w:cs="Arial"/>
          <w:sz w:val="24"/>
          <w:szCs w:val="24"/>
          <w:lang w:val="en-US" w:eastAsia="en-US"/>
        </w:rPr>
        <w:t xml:space="preserve"> [2016] EWHC 2050 (QB).</w:t>
      </w:r>
    </w:p>
    <w:p w14:paraId="2889B072"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The Oropesa</w:t>
      </w:r>
      <w:r w:rsidRPr="00A67372">
        <w:rPr>
          <w:rFonts w:cs="Arial"/>
          <w:sz w:val="24"/>
          <w:szCs w:val="24"/>
        </w:rPr>
        <w:t xml:space="preserve"> [1943] 32.</w:t>
      </w:r>
    </w:p>
    <w:p w14:paraId="4542D477"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fncaseChar"/>
          <w:rFonts w:cs="Arial"/>
          <w:sz w:val="24"/>
          <w:szCs w:val="24"/>
        </w:rPr>
        <w:t>Thomas v Brighton Health Authority; Page v Sheerness Steel Co plc</w:t>
      </w:r>
      <w:r w:rsidRPr="00A67372">
        <w:rPr>
          <w:rFonts w:cs="Arial"/>
          <w:szCs w:val="24"/>
        </w:rPr>
        <w:t xml:space="preserve"> [1998] 3 All ER 481.</w:t>
      </w:r>
    </w:p>
    <w:p w14:paraId="2FDDA4E9"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Thompson v Hampshire County Council</w:t>
      </w:r>
      <w:r w:rsidRPr="00A67372">
        <w:rPr>
          <w:rFonts w:cs="Arial"/>
          <w:sz w:val="24"/>
          <w:szCs w:val="24"/>
        </w:rPr>
        <w:t xml:space="preserve"> [2004] EMCA Civ 1016.</w:t>
      </w:r>
    </w:p>
    <w:p w14:paraId="650C43A7" w14:textId="77777777" w:rsidR="0019789C" w:rsidRPr="00A67372" w:rsidRDefault="0019789C" w:rsidP="006D3C26">
      <w:pPr>
        <w:pStyle w:val="fntxt"/>
        <w:spacing w:before="120" w:after="0" w:line="240" w:lineRule="auto"/>
        <w:ind w:left="0" w:firstLine="0"/>
        <w:rPr>
          <w:rFonts w:cs="Arial"/>
          <w:sz w:val="24"/>
          <w:szCs w:val="24"/>
        </w:rPr>
      </w:pPr>
      <w:r w:rsidRPr="00A67372">
        <w:rPr>
          <w:rStyle w:val="case"/>
          <w:rFonts w:cs="Arial"/>
          <w:szCs w:val="24"/>
        </w:rPr>
        <w:t>Tomlinson v Congleton Borough Council</w:t>
      </w:r>
      <w:r w:rsidRPr="00A67372">
        <w:rPr>
          <w:rFonts w:cs="Arial"/>
          <w:sz w:val="24"/>
          <w:szCs w:val="24"/>
        </w:rPr>
        <w:t xml:space="preserve"> [2003] UKHL 47, [2004] 1 AC 46, [2003] 3 All ER 1122.</w:t>
      </w:r>
    </w:p>
    <w:p w14:paraId="228C42AC"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Torbay BC v Cross</w:t>
      </w:r>
      <w:r w:rsidRPr="00A67372">
        <w:rPr>
          <w:rFonts w:eastAsia="Times New Roman" w:cs="Arial"/>
          <w:sz w:val="24"/>
          <w:szCs w:val="24"/>
          <w:shd w:val="clear" w:color="auto" w:fill="FFFFFF"/>
          <w:lang w:val="en-US" w:eastAsia="en-US"/>
        </w:rPr>
        <w:t xml:space="preserve"> [1996] CLY 5124.</w:t>
      </w:r>
    </w:p>
    <w:p w14:paraId="79E694A0"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Valentine v Transport for London</w:t>
      </w:r>
      <w:r w:rsidRPr="00A67372">
        <w:rPr>
          <w:rFonts w:cs="Arial"/>
          <w:sz w:val="24"/>
          <w:szCs w:val="24"/>
        </w:rPr>
        <w:t xml:space="preserve"> [2010] EWCA Civ 1358, [2010] All ER (D) 77 (Dec).</w:t>
      </w:r>
    </w:p>
    <w:p w14:paraId="1DE0BDA8" w14:textId="77777777" w:rsidR="0019789C" w:rsidRPr="00A67372" w:rsidRDefault="0019789C" w:rsidP="006D3C26">
      <w:pPr>
        <w:pStyle w:val="fntxt"/>
        <w:spacing w:before="120" w:after="0" w:line="240" w:lineRule="auto"/>
        <w:rPr>
          <w:rFonts w:cs="Arial"/>
          <w:sz w:val="24"/>
          <w:szCs w:val="24"/>
        </w:rPr>
      </w:pPr>
      <w:r w:rsidRPr="00A67372">
        <w:rPr>
          <w:rFonts w:cs="Arial"/>
          <w:i/>
          <w:sz w:val="24"/>
          <w:szCs w:val="24"/>
        </w:rPr>
        <w:t>Vento v Chief Constable of West Yorkshire Police</w:t>
      </w:r>
      <w:r w:rsidRPr="00A67372">
        <w:rPr>
          <w:rFonts w:cs="Arial"/>
          <w:sz w:val="24"/>
          <w:szCs w:val="24"/>
        </w:rPr>
        <w:t xml:space="preserve"> [2002] EWCA Civ 1871.</w:t>
      </w:r>
    </w:p>
    <w:p w14:paraId="51D88F80" w14:textId="77777777" w:rsidR="0019789C" w:rsidRPr="00A67372" w:rsidRDefault="0019789C" w:rsidP="006D3C26">
      <w:pPr>
        <w:pStyle w:val="fntxt"/>
        <w:spacing w:before="120" w:after="0" w:line="240" w:lineRule="auto"/>
        <w:rPr>
          <w:rFonts w:cs="Arial"/>
          <w:sz w:val="24"/>
          <w:szCs w:val="24"/>
          <w:u w:val="single"/>
        </w:rPr>
      </w:pPr>
      <w:r w:rsidRPr="00A67372">
        <w:rPr>
          <w:rStyle w:val="fncaseChar"/>
          <w:rFonts w:cs="Arial"/>
          <w:sz w:val="24"/>
          <w:szCs w:val="24"/>
        </w:rPr>
        <w:t>Vodden v Gayton and Gayton</w:t>
      </w:r>
      <w:r w:rsidRPr="00A67372">
        <w:rPr>
          <w:rFonts w:cs="Arial"/>
          <w:i/>
          <w:sz w:val="24"/>
          <w:szCs w:val="24"/>
        </w:rPr>
        <w:t xml:space="preserve"> </w:t>
      </w:r>
      <w:r w:rsidRPr="00A67372">
        <w:rPr>
          <w:rFonts w:cs="Arial"/>
          <w:sz w:val="24"/>
          <w:szCs w:val="24"/>
        </w:rPr>
        <w:t>[2001] PIQR P4.</w:t>
      </w:r>
    </w:p>
    <w:p w14:paraId="7C06078D"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Wandsworth LBC v Railtrack plc</w:t>
      </w:r>
      <w:r w:rsidRPr="00A67372">
        <w:rPr>
          <w:rFonts w:cs="Arial"/>
          <w:sz w:val="24"/>
          <w:szCs w:val="24"/>
        </w:rPr>
        <w:t xml:space="preserve"> [2001] EWCA Civ 1236.</w:t>
      </w:r>
    </w:p>
    <w:p w14:paraId="0E5C9533"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Watt v Hertfordshire CC</w:t>
      </w:r>
      <w:r w:rsidRPr="00A67372">
        <w:rPr>
          <w:rFonts w:cs="Arial"/>
          <w:sz w:val="24"/>
          <w:szCs w:val="24"/>
        </w:rPr>
        <w:t xml:space="preserve"> [1954] 1 WLR 835.</w:t>
      </w:r>
    </w:p>
    <w:p w14:paraId="10D48B70" w14:textId="77777777" w:rsidR="0019789C" w:rsidRPr="00A67372" w:rsidRDefault="0019789C" w:rsidP="006D3C26">
      <w:pPr>
        <w:tabs>
          <w:tab w:val="left" w:pos="3148"/>
        </w:tabs>
        <w:spacing w:before="120" w:line="240" w:lineRule="auto"/>
        <w:ind w:firstLine="0"/>
        <w:jc w:val="left"/>
        <w:rPr>
          <w:rFonts w:cs="Arial"/>
          <w:iCs/>
          <w:szCs w:val="24"/>
        </w:rPr>
      </w:pPr>
      <w:r w:rsidRPr="00A67372">
        <w:rPr>
          <w:rStyle w:val="fncaseChar"/>
          <w:rFonts w:cs="Arial"/>
          <w:sz w:val="24"/>
          <w:szCs w:val="24"/>
        </w:rPr>
        <w:t>Wells v Wells</w:t>
      </w:r>
      <w:r w:rsidRPr="00A67372">
        <w:rPr>
          <w:rFonts w:cs="Arial"/>
          <w:iCs/>
          <w:szCs w:val="24"/>
        </w:rPr>
        <w:t xml:space="preserve"> </w:t>
      </w:r>
      <w:r w:rsidRPr="00A67372">
        <w:rPr>
          <w:rFonts w:eastAsia="Times New Roman" w:cs="Arial"/>
          <w:szCs w:val="24"/>
          <w:shd w:val="clear" w:color="auto" w:fill="FFFFFF"/>
          <w:lang w:val="en-US"/>
        </w:rPr>
        <w:t>[1999] 1AC 345</w:t>
      </w:r>
      <w:r w:rsidRPr="00A67372">
        <w:rPr>
          <w:rFonts w:cs="Arial"/>
          <w:iCs/>
          <w:szCs w:val="24"/>
        </w:rPr>
        <w:t>.</w:t>
      </w:r>
    </w:p>
    <w:p w14:paraId="44F60D39" w14:textId="77777777" w:rsidR="0019789C" w:rsidRPr="00A67372" w:rsidRDefault="0019789C" w:rsidP="006D3C26">
      <w:pPr>
        <w:pStyle w:val="fntxt"/>
        <w:spacing w:before="120" w:after="0" w:line="240" w:lineRule="auto"/>
        <w:ind w:left="0" w:firstLine="0"/>
        <w:rPr>
          <w:rFonts w:eastAsia="Times New Roman" w:cs="Arial"/>
          <w:sz w:val="24"/>
          <w:szCs w:val="24"/>
          <w:lang w:val="en-US" w:eastAsia="en-US"/>
        </w:rPr>
      </w:pPr>
      <w:r w:rsidRPr="00A67372">
        <w:rPr>
          <w:rStyle w:val="fncaseChar"/>
          <w:rFonts w:cs="Arial"/>
          <w:sz w:val="24"/>
          <w:szCs w:val="24"/>
        </w:rPr>
        <w:t>Westminster City Council v Alladin Ltd</w:t>
      </w:r>
      <w:r w:rsidRPr="00A67372">
        <w:rPr>
          <w:rFonts w:cs="Arial"/>
          <w:sz w:val="24"/>
          <w:szCs w:val="24"/>
        </w:rPr>
        <w:t xml:space="preserve"> </w:t>
      </w:r>
      <w:r w:rsidRPr="00A67372">
        <w:rPr>
          <w:rFonts w:eastAsia="Times New Roman" w:cs="Arial"/>
          <w:sz w:val="24"/>
          <w:szCs w:val="24"/>
          <w:lang w:val="en-US" w:eastAsia="en-US"/>
        </w:rPr>
        <w:t>[1996] CLY 5123.</w:t>
      </w:r>
    </w:p>
    <w:p w14:paraId="2E660CC3" w14:textId="77777777" w:rsidR="0019789C" w:rsidRPr="00A67372" w:rsidRDefault="0019789C" w:rsidP="006D3C26">
      <w:pPr>
        <w:pStyle w:val="fntxt"/>
        <w:spacing w:before="120" w:after="0" w:line="240" w:lineRule="auto"/>
        <w:rPr>
          <w:rStyle w:val="ng-scope1"/>
          <w:rFonts w:cs="Arial"/>
          <w:sz w:val="24"/>
          <w:szCs w:val="24"/>
        </w:rPr>
      </w:pPr>
      <w:r w:rsidRPr="00A67372">
        <w:rPr>
          <w:rStyle w:val="fncaseChar"/>
          <w:rFonts w:cs="Arial"/>
          <w:sz w:val="24"/>
          <w:szCs w:val="24"/>
        </w:rPr>
        <w:t>Westminster City Council v Haw</w:t>
      </w:r>
      <w:r w:rsidRPr="00A67372">
        <w:rPr>
          <w:rFonts w:cs="Arial"/>
          <w:sz w:val="24"/>
          <w:szCs w:val="24"/>
        </w:rPr>
        <w:t xml:space="preserve"> [2002] EWHC 2073 (QB</w:t>
      </w:r>
      <w:r w:rsidRPr="00A67372">
        <w:rPr>
          <w:rStyle w:val="ng-scope1"/>
          <w:rFonts w:cs="Arial"/>
          <w:sz w:val="24"/>
          <w:szCs w:val="24"/>
        </w:rPr>
        <w:t>).</w:t>
      </w:r>
    </w:p>
    <w:p w14:paraId="1C047281"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Wheat v E Lacon &amp; Co Ltd</w:t>
      </w:r>
      <w:r w:rsidRPr="00A67372">
        <w:rPr>
          <w:rFonts w:cs="Arial"/>
          <w:sz w:val="24"/>
          <w:szCs w:val="24"/>
        </w:rPr>
        <w:t xml:space="preserve"> [1966] 1 All ER 582.</w:t>
      </w:r>
    </w:p>
    <w:p w14:paraId="71A97449"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Wheeler v Copas</w:t>
      </w:r>
      <w:r w:rsidRPr="00A67372">
        <w:rPr>
          <w:rFonts w:cs="Arial"/>
          <w:sz w:val="24"/>
          <w:szCs w:val="24"/>
        </w:rPr>
        <w:t xml:space="preserve"> [1981] 3 All ER 405 (QB).</w:t>
      </w:r>
    </w:p>
    <w:p w14:paraId="0CDF01EB"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Whiting v Hillingdon London Borough Council</w:t>
      </w:r>
      <w:r w:rsidRPr="00A67372">
        <w:rPr>
          <w:rFonts w:cs="Arial"/>
          <w:sz w:val="24"/>
          <w:szCs w:val="24"/>
        </w:rPr>
        <w:t xml:space="preserve"> [1970] 68 LGR 437, 114 Sol Jo 247.</w:t>
      </w:r>
    </w:p>
    <w:p w14:paraId="62594F57"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Whiting v Middlesex CC</w:t>
      </w:r>
      <w:r w:rsidRPr="00A67372">
        <w:rPr>
          <w:rFonts w:cs="Arial"/>
          <w:sz w:val="24"/>
          <w:szCs w:val="24"/>
        </w:rPr>
        <w:t xml:space="preserve"> [1948] 1 KB 162 (QBD).</w:t>
      </w:r>
    </w:p>
    <w:p w14:paraId="17459493"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Whyte v Bluebird Buses Ltd</w:t>
      </w:r>
      <w:r w:rsidRPr="00A67372">
        <w:rPr>
          <w:rFonts w:cs="Arial"/>
          <w:sz w:val="24"/>
          <w:szCs w:val="24"/>
        </w:rPr>
        <w:t xml:space="preserve"> [2015] SLT 338.</w:t>
      </w:r>
    </w:p>
    <w:p w14:paraId="63618851" w14:textId="77777777" w:rsidR="0019789C" w:rsidRPr="00A67372" w:rsidRDefault="0019789C" w:rsidP="006D3C26">
      <w:pPr>
        <w:pStyle w:val="fntxt"/>
        <w:tabs>
          <w:tab w:val="left" w:pos="1120"/>
        </w:tabs>
        <w:spacing w:before="120" w:after="0" w:line="240" w:lineRule="auto"/>
        <w:rPr>
          <w:rFonts w:cs="Arial"/>
          <w:sz w:val="24"/>
          <w:szCs w:val="24"/>
          <w:lang w:val="en-US"/>
        </w:rPr>
      </w:pPr>
      <w:r w:rsidRPr="00A67372">
        <w:rPr>
          <w:rStyle w:val="fncaseChar"/>
          <w:rFonts w:cs="Arial"/>
          <w:sz w:val="24"/>
          <w:szCs w:val="24"/>
        </w:rPr>
        <w:t>Williams v Devon County Council</w:t>
      </w:r>
      <w:r w:rsidRPr="00A67372">
        <w:rPr>
          <w:rStyle w:val="FootnoteTextChar"/>
          <w:rFonts w:cs="Arial"/>
          <w:sz w:val="24"/>
          <w:szCs w:val="24"/>
          <w:lang w:val="en-US" w:eastAsia="en-US"/>
        </w:rPr>
        <w:t xml:space="preserve"> </w:t>
      </w:r>
      <w:r w:rsidRPr="00A67372">
        <w:rPr>
          <w:rStyle w:val="FootnoteTextChar"/>
          <w:rFonts w:cs="Arial"/>
          <w:sz w:val="24"/>
          <w:szCs w:val="24"/>
        </w:rPr>
        <w:t>[</w:t>
      </w:r>
      <w:r w:rsidRPr="00A67372">
        <w:rPr>
          <w:rStyle w:val="FootnoteTextChar"/>
          <w:rFonts w:cs="Arial"/>
          <w:sz w:val="24"/>
          <w:szCs w:val="24"/>
          <w:lang w:val="en-US" w:eastAsia="en-US"/>
        </w:rPr>
        <w:t>1967</w:t>
      </w:r>
      <w:r w:rsidRPr="00A67372">
        <w:rPr>
          <w:rStyle w:val="FootnoteTextChar"/>
          <w:rFonts w:cs="Arial"/>
          <w:sz w:val="24"/>
          <w:szCs w:val="24"/>
        </w:rPr>
        <w:t>]</w:t>
      </w:r>
      <w:r w:rsidRPr="00A67372">
        <w:rPr>
          <w:rStyle w:val="FootnoteTextChar"/>
          <w:rFonts w:cs="Arial"/>
          <w:sz w:val="24"/>
          <w:szCs w:val="24"/>
          <w:lang w:val="en-US" w:eastAsia="en-US"/>
        </w:rPr>
        <w:t xml:space="preserve"> </w:t>
      </w:r>
      <w:r w:rsidRPr="00A67372">
        <w:rPr>
          <w:rStyle w:val="FootnoteTextChar"/>
          <w:rFonts w:cs="Arial"/>
          <w:sz w:val="24"/>
          <w:szCs w:val="24"/>
        </w:rPr>
        <w:t>CLY 1795.</w:t>
      </w:r>
    </w:p>
    <w:p w14:paraId="2FB77F1E"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Wills v Bowley</w:t>
      </w:r>
      <w:r w:rsidRPr="00A67372">
        <w:rPr>
          <w:rFonts w:cs="Arial"/>
          <w:sz w:val="24"/>
          <w:szCs w:val="24"/>
        </w:rPr>
        <w:t xml:space="preserve"> [1983] 1 AC 57.</w:t>
      </w:r>
    </w:p>
    <w:p w14:paraId="2D9466C2"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t>Wilsher v Essex Area Health Authority</w:t>
      </w:r>
      <w:r w:rsidRPr="00A67372">
        <w:rPr>
          <w:rFonts w:cs="Arial"/>
          <w:sz w:val="24"/>
          <w:szCs w:val="24"/>
        </w:rPr>
        <w:t xml:space="preserve"> [1988] AC 1074.</w:t>
      </w:r>
    </w:p>
    <w:p w14:paraId="3136F78B" w14:textId="77777777" w:rsidR="0019789C" w:rsidRPr="00A67372" w:rsidRDefault="0019789C" w:rsidP="006D3C26">
      <w:pPr>
        <w:pStyle w:val="fntxt"/>
        <w:spacing w:before="120" w:after="0" w:line="240" w:lineRule="auto"/>
        <w:rPr>
          <w:rFonts w:cs="Arial"/>
          <w:sz w:val="24"/>
          <w:szCs w:val="24"/>
        </w:rPr>
      </w:pPr>
      <w:r w:rsidRPr="00A67372">
        <w:rPr>
          <w:rStyle w:val="case"/>
          <w:rFonts w:cs="Arial"/>
          <w:szCs w:val="24"/>
        </w:rPr>
        <w:t>Winter v DPP</w:t>
      </w:r>
      <w:r w:rsidRPr="00A67372">
        <w:rPr>
          <w:rFonts w:cs="Arial"/>
          <w:sz w:val="24"/>
          <w:szCs w:val="24"/>
        </w:rPr>
        <w:t xml:space="preserve"> [2002] EWHC 1524.</w:t>
      </w:r>
    </w:p>
    <w:p w14:paraId="24C36BE2" w14:textId="77777777" w:rsidR="0019789C" w:rsidRPr="00A67372" w:rsidRDefault="0019789C" w:rsidP="006D3C26">
      <w:pPr>
        <w:pStyle w:val="fntxt"/>
        <w:spacing w:before="120" w:after="0" w:line="240" w:lineRule="auto"/>
        <w:rPr>
          <w:rFonts w:eastAsia="Times New Roman" w:cs="Arial"/>
          <w:sz w:val="24"/>
          <w:szCs w:val="24"/>
          <w:lang w:val="en-US" w:eastAsia="en-US"/>
        </w:rPr>
      </w:pPr>
      <w:r w:rsidRPr="00A67372">
        <w:rPr>
          <w:rStyle w:val="case"/>
          <w:rFonts w:cs="Arial"/>
          <w:szCs w:val="24"/>
        </w:rPr>
        <w:t>Wolverton UDC v Willis</w:t>
      </w:r>
      <w:r w:rsidRPr="00A67372">
        <w:rPr>
          <w:rFonts w:cs="Arial"/>
          <w:sz w:val="24"/>
          <w:szCs w:val="24"/>
        </w:rPr>
        <w:t xml:space="preserve"> </w:t>
      </w:r>
      <w:r w:rsidRPr="00A67372">
        <w:rPr>
          <w:rStyle w:val="FootnoteTextChar"/>
          <w:rFonts w:cs="Arial"/>
          <w:sz w:val="24"/>
          <w:szCs w:val="24"/>
        </w:rPr>
        <w:t>[1962] 1 WLR 205.</w:t>
      </w:r>
    </w:p>
    <w:p w14:paraId="780E9584" w14:textId="77777777" w:rsidR="0019789C" w:rsidRPr="00A67372" w:rsidRDefault="0019789C" w:rsidP="006D3C26">
      <w:pPr>
        <w:pStyle w:val="fntxt"/>
        <w:spacing w:before="120" w:after="0" w:line="240" w:lineRule="auto"/>
        <w:rPr>
          <w:rFonts w:cs="Arial"/>
          <w:sz w:val="24"/>
          <w:szCs w:val="24"/>
        </w:rPr>
      </w:pPr>
      <w:r w:rsidRPr="00A67372">
        <w:rPr>
          <w:rStyle w:val="fncaseChar"/>
          <w:rFonts w:cs="Arial"/>
          <w:sz w:val="24"/>
          <w:szCs w:val="24"/>
        </w:rPr>
        <w:lastRenderedPageBreak/>
        <w:t>Woodman v Richardson and Concrete Ltd</w:t>
      </w:r>
      <w:r w:rsidRPr="00A67372">
        <w:rPr>
          <w:rFonts w:cs="Arial"/>
          <w:sz w:val="24"/>
          <w:szCs w:val="24"/>
        </w:rPr>
        <w:t xml:space="preserve"> [1937] 3 All ER 86 (CA).</w:t>
      </w:r>
    </w:p>
    <w:p w14:paraId="628ACFAE" w14:textId="77777777" w:rsidR="0019789C" w:rsidRPr="00A67372" w:rsidRDefault="0019789C" w:rsidP="006D3C26">
      <w:pPr>
        <w:pStyle w:val="fntxt"/>
        <w:tabs>
          <w:tab w:val="left" w:pos="2260"/>
        </w:tabs>
        <w:spacing w:before="120" w:after="0" w:line="240" w:lineRule="auto"/>
        <w:rPr>
          <w:rFonts w:cs="Arial"/>
          <w:sz w:val="24"/>
          <w:szCs w:val="24"/>
        </w:rPr>
      </w:pPr>
      <w:r w:rsidRPr="00A67372">
        <w:rPr>
          <w:rFonts w:cs="Arial"/>
          <w:i/>
          <w:sz w:val="24"/>
          <w:szCs w:val="24"/>
        </w:rPr>
        <w:t>Wright v British Railways Board</w:t>
      </w:r>
      <w:r w:rsidRPr="00A67372">
        <w:rPr>
          <w:rFonts w:cs="Arial"/>
          <w:sz w:val="24"/>
          <w:szCs w:val="24"/>
        </w:rPr>
        <w:t xml:space="preserve"> [1983] 2 All ER 698.</w:t>
      </w:r>
    </w:p>
    <w:p w14:paraId="024E2141" w14:textId="77777777" w:rsidR="0019789C" w:rsidRPr="00A67372" w:rsidRDefault="0019789C" w:rsidP="006D3C26">
      <w:pPr>
        <w:tabs>
          <w:tab w:val="left" w:pos="3148"/>
        </w:tabs>
        <w:spacing w:before="120" w:line="240" w:lineRule="auto"/>
        <w:ind w:firstLine="0"/>
        <w:jc w:val="left"/>
        <w:rPr>
          <w:rFonts w:cs="Arial"/>
          <w:szCs w:val="24"/>
        </w:rPr>
      </w:pPr>
      <w:r w:rsidRPr="00A67372">
        <w:rPr>
          <w:rStyle w:val="fncaseChar"/>
          <w:rFonts w:cs="Arial"/>
          <w:sz w:val="24"/>
          <w:szCs w:val="24"/>
        </w:rPr>
        <w:t xml:space="preserve">X v Bedfordshire CC </w:t>
      </w:r>
      <w:r w:rsidRPr="00A67372">
        <w:rPr>
          <w:rFonts w:cs="Arial"/>
          <w:szCs w:val="24"/>
        </w:rPr>
        <w:t>[1995] 2 AC 633.</w:t>
      </w:r>
    </w:p>
    <w:p w14:paraId="0A5E6254" w14:textId="77777777" w:rsidR="0019789C" w:rsidRPr="00A67372" w:rsidRDefault="0019789C" w:rsidP="006D3C26">
      <w:pPr>
        <w:pStyle w:val="fntxt"/>
        <w:spacing w:before="120" w:after="0" w:line="240" w:lineRule="auto"/>
        <w:ind w:left="0" w:firstLine="0"/>
        <w:rPr>
          <w:rFonts w:cs="Arial"/>
          <w:sz w:val="24"/>
          <w:szCs w:val="24"/>
        </w:rPr>
      </w:pPr>
      <w:r w:rsidRPr="00A67372">
        <w:rPr>
          <w:rStyle w:val="fncaseChar"/>
          <w:rFonts w:cs="Arial"/>
          <w:sz w:val="24"/>
          <w:szCs w:val="24"/>
        </w:rPr>
        <w:t xml:space="preserve">X v Governing Board of a School </w:t>
      </w:r>
      <w:r w:rsidRPr="00A67372">
        <w:rPr>
          <w:rFonts w:cs="Arial"/>
          <w:sz w:val="24"/>
          <w:szCs w:val="24"/>
        </w:rPr>
        <w:t>[2015] UKUT 0007 (AAC).</w:t>
      </w:r>
    </w:p>
    <w:p w14:paraId="309DD899" w14:textId="160D0380" w:rsidR="0019789C" w:rsidRPr="00524E23" w:rsidRDefault="0019789C" w:rsidP="00524E23">
      <w:pPr>
        <w:pStyle w:val="fntxt"/>
        <w:spacing w:before="120" w:after="0" w:line="240" w:lineRule="auto"/>
        <w:rPr>
          <w:rFonts w:cs="Arial"/>
          <w:sz w:val="24"/>
          <w:szCs w:val="24"/>
        </w:rPr>
      </w:pPr>
      <w:r w:rsidRPr="00A67372">
        <w:rPr>
          <w:rStyle w:val="fncaseChar"/>
          <w:rFonts w:cs="Arial"/>
          <w:sz w:val="24"/>
          <w:szCs w:val="24"/>
        </w:rPr>
        <w:t>Zehlanova and Zehnal v Czech Republic</w:t>
      </w:r>
      <w:r w:rsidRPr="00A67372">
        <w:rPr>
          <w:rFonts w:cs="Arial"/>
          <w:sz w:val="24"/>
          <w:szCs w:val="24"/>
        </w:rPr>
        <w:t xml:space="preserve"> App No 38621/97 (ECtHR, 14 May 2002).</w:t>
      </w:r>
    </w:p>
    <w:p w14:paraId="328B3754" w14:textId="1C77745B" w:rsidR="0019789C" w:rsidRPr="002A65B0" w:rsidRDefault="0019789C" w:rsidP="009F6EB7">
      <w:pPr>
        <w:ind w:firstLine="0"/>
      </w:pPr>
    </w:p>
    <w:sectPr w:rsidR="0019789C" w:rsidRPr="002A65B0" w:rsidSect="00C50849">
      <w:headerReference w:type="default" r:id="rId115"/>
      <w:footerReference w:type="default" r:id="rId116"/>
      <w:endnotePr>
        <w:numFmt w:val="decimal"/>
      </w:endnotePr>
      <w:pgSz w:w="11899" w:h="16838" w:code="9"/>
      <w:pgMar w:top="1134" w:right="1331" w:bottom="692" w:left="1331" w:header="0"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D07C8" w14:textId="77777777" w:rsidR="0061303F" w:rsidRDefault="0061303F" w:rsidP="001C2C4A">
      <w:pPr>
        <w:spacing w:line="240" w:lineRule="auto"/>
      </w:pPr>
      <w:r>
        <w:separator/>
      </w:r>
    </w:p>
  </w:endnote>
  <w:endnote w:type="continuationSeparator" w:id="0">
    <w:p w14:paraId="537EC502" w14:textId="77777777" w:rsidR="0061303F" w:rsidRDefault="0061303F" w:rsidP="001C2C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233037"/>
      <w:docPartObj>
        <w:docPartGallery w:val="Page Numbers (Bottom of Page)"/>
        <w:docPartUnique/>
      </w:docPartObj>
    </w:sdtPr>
    <w:sdtEndPr>
      <w:rPr>
        <w:noProof/>
        <w:sz w:val="20"/>
        <w:szCs w:val="20"/>
      </w:rPr>
    </w:sdtEndPr>
    <w:sdtContent>
      <w:p w14:paraId="6BF0DE4A" w14:textId="409183C1" w:rsidR="006F31DA" w:rsidRPr="001F4C29" w:rsidRDefault="006F31DA">
        <w:pPr>
          <w:pStyle w:val="Footer"/>
          <w:jc w:val="center"/>
          <w:rPr>
            <w:sz w:val="20"/>
            <w:szCs w:val="20"/>
          </w:rPr>
        </w:pPr>
        <w:r w:rsidRPr="001F4C29">
          <w:rPr>
            <w:sz w:val="20"/>
            <w:szCs w:val="20"/>
          </w:rPr>
          <w:fldChar w:fldCharType="begin"/>
        </w:r>
        <w:r w:rsidRPr="001F4C29">
          <w:rPr>
            <w:sz w:val="20"/>
            <w:szCs w:val="20"/>
          </w:rPr>
          <w:instrText xml:space="preserve"> PAGE   \* MERGEFORMAT </w:instrText>
        </w:r>
        <w:r w:rsidRPr="001F4C29">
          <w:rPr>
            <w:sz w:val="20"/>
            <w:szCs w:val="20"/>
          </w:rPr>
          <w:fldChar w:fldCharType="separate"/>
        </w:r>
        <w:r w:rsidR="00AD46EC">
          <w:rPr>
            <w:noProof/>
            <w:sz w:val="20"/>
            <w:szCs w:val="20"/>
          </w:rPr>
          <w:t>1</w:t>
        </w:r>
        <w:r w:rsidRPr="001F4C29">
          <w:rPr>
            <w:noProof/>
            <w:sz w:val="20"/>
            <w:szCs w:val="20"/>
          </w:rPr>
          <w:fldChar w:fldCharType="end"/>
        </w:r>
      </w:p>
    </w:sdtContent>
  </w:sdt>
  <w:p w14:paraId="609F35D9" w14:textId="77777777" w:rsidR="006F31DA" w:rsidRDefault="006F3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F28A9" w14:textId="77777777" w:rsidR="0061303F" w:rsidRDefault="0061303F" w:rsidP="001C2C4A">
      <w:pPr>
        <w:spacing w:line="240" w:lineRule="auto"/>
      </w:pPr>
      <w:r>
        <w:separator/>
      </w:r>
    </w:p>
  </w:footnote>
  <w:footnote w:type="continuationSeparator" w:id="0">
    <w:p w14:paraId="11AA3965" w14:textId="77777777" w:rsidR="0061303F" w:rsidRDefault="0061303F" w:rsidP="001C2C4A">
      <w:pPr>
        <w:spacing w:line="240" w:lineRule="auto"/>
      </w:pPr>
      <w:r>
        <w:continuationSeparator/>
      </w:r>
    </w:p>
  </w:footnote>
  <w:footnote w:id="1">
    <w:p w14:paraId="7A47E271" w14:textId="4BA42B6F" w:rsidR="0019789C" w:rsidRPr="0019789C" w:rsidRDefault="0019789C" w:rsidP="001300A7">
      <w:pPr>
        <w:pStyle w:val="fntxt"/>
      </w:pPr>
      <w:r w:rsidRPr="0019789C">
        <w:rPr>
          <w:rStyle w:val="FootnoteReference"/>
          <w:rFonts w:cs="Arial"/>
        </w:rPr>
        <w:footnoteRef/>
      </w:r>
      <w:r w:rsidRPr="0019789C">
        <w:t xml:space="preserve"> D Torrance, </w:t>
      </w:r>
      <w:r w:rsidRPr="0019789C">
        <w:rPr>
          <w:rStyle w:val="fnbookChar"/>
        </w:rPr>
        <w:t>Introduction to Devolution in the UK</w:t>
      </w:r>
      <w:r w:rsidRPr="0019789C">
        <w:t xml:space="preserve"> (House of Commons Library - Briefing Paper, No CBP 8599, 19 June 2019) 4. </w:t>
      </w:r>
    </w:p>
  </w:footnote>
  <w:footnote w:id="2">
    <w:p w14:paraId="32C709B4" w14:textId="4334FCB2"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Cabinet Office, Office of the Secretary of State for Scotland, Office of the Secretary of State for Wales, and Northern Ireland Office</w:t>
      </w:r>
      <w:r w:rsidRPr="0019789C">
        <w:t>, ‘Guidance on devolution’ (last updated 8 May 2019) &lt;</w:t>
      </w:r>
      <w:hyperlink r:id="rId1" w:history="1">
        <w:r w:rsidRPr="0019789C">
          <w:rPr>
            <w:rStyle w:val="Hyperlink"/>
            <w:rFonts w:cs="Arial"/>
          </w:rPr>
          <w:t>www.gov.uk/guidance/guidance-on-devolution</w:t>
        </w:r>
      </w:hyperlink>
      <w:r w:rsidRPr="0019789C">
        <w:t>&gt; accessed 18 November 2019.</w:t>
      </w:r>
    </w:p>
  </w:footnote>
  <w:footnote w:id="3">
    <w:p w14:paraId="5B65BF5E" w14:textId="23FB9F07" w:rsidR="0019789C" w:rsidRPr="0019789C" w:rsidRDefault="0019789C" w:rsidP="001300A7">
      <w:pPr>
        <w:pStyle w:val="fntxt"/>
      </w:pPr>
      <w:r w:rsidRPr="0019789C">
        <w:rPr>
          <w:rStyle w:val="FootnoteReference"/>
          <w:rFonts w:cs="Arial"/>
        </w:rPr>
        <w:footnoteRef/>
      </w:r>
      <w:r w:rsidRPr="0019789C">
        <w:t xml:space="preserve"> Localism Act 2011, Explanatory Notes, s 3. </w:t>
      </w:r>
    </w:p>
  </w:footnote>
  <w:footnote w:id="4">
    <w:p w14:paraId="18CC1396" w14:textId="77777777" w:rsidR="0019789C" w:rsidRPr="0019789C" w:rsidRDefault="0019789C" w:rsidP="001300A7">
      <w:pPr>
        <w:pStyle w:val="fntxt"/>
      </w:pPr>
      <w:r w:rsidRPr="0019789C">
        <w:rPr>
          <w:rStyle w:val="FootnoteReference"/>
          <w:rFonts w:cs="Arial"/>
        </w:rPr>
        <w:footnoteRef/>
      </w:r>
      <w:r w:rsidRPr="0019789C">
        <w:t xml:space="preserve"> See further C Elliott and F Quinn,</w:t>
      </w:r>
      <w:r w:rsidRPr="0019789C">
        <w:rPr>
          <w:rStyle w:val="fnbookChar"/>
          <w:rFonts w:cs="Arial"/>
        </w:rPr>
        <w:t xml:space="preserve"> English Legal System</w:t>
      </w:r>
      <w:r w:rsidRPr="0019789C">
        <w:t xml:space="preserve"> (Pearson Education 2015).</w:t>
      </w:r>
    </w:p>
  </w:footnote>
  <w:footnote w:id="5">
    <w:p w14:paraId="6818291F" w14:textId="78EF9ABB" w:rsidR="0019789C" w:rsidRPr="0019789C" w:rsidRDefault="0019789C" w:rsidP="001300A7">
      <w:pPr>
        <w:pStyle w:val="fntxt"/>
      </w:pPr>
      <w:r w:rsidRPr="0019789C">
        <w:rPr>
          <w:rStyle w:val="FootnoteReference"/>
          <w:rFonts w:cs="Arial"/>
        </w:rPr>
        <w:footnoteRef/>
      </w:r>
      <w:r w:rsidRPr="0019789C">
        <w:t xml:space="preserve"> See further B Dickson,</w:t>
      </w:r>
      <w:r w:rsidRPr="0019789C">
        <w:rPr>
          <w:rStyle w:val="fnbookChar"/>
          <w:rFonts w:cs="Arial"/>
        </w:rPr>
        <w:t xml:space="preserve"> The Law in Northern Ireland </w:t>
      </w:r>
      <w:r w:rsidRPr="0019789C">
        <w:t>(2nd edn, Hart Publishing 2013).</w:t>
      </w:r>
    </w:p>
  </w:footnote>
  <w:footnote w:id="6">
    <w:p w14:paraId="01EE7CFB" w14:textId="77777777" w:rsidR="0019789C" w:rsidRPr="0019789C" w:rsidRDefault="0019789C" w:rsidP="001300A7">
      <w:pPr>
        <w:pStyle w:val="fntxt"/>
      </w:pPr>
      <w:r w:rsidRPr="0019789C">
        <w:rPr>
          <w:rStyle w:val="FootnoteReference"/>
          <w:rFonts w:cs="Arial"/>
        </w:rPr>
        <w:footnoteRef/>
      </w:r>
      <w:r w:rsidRPr="0019789C">
        <w:t xml:space="preserve"> See further A Wylie and S Crossan, </w:t>
      </w:r>
      <w:r w:rsidRPr="0019789C">
        <w:rPr>
          <w:rStyle w:val="fnbookChar"/>
          <w:rFonts w:cs="Arial"/>
        </w:rPr>
        <w:t xml:space="preserve">Introductory Scots Law: Theory and Practice </w:t>
      </w:r>
      <w:r w:rsidRPr="0019789C">
        <w:t>(Hodder Gibson 2010).</w:t>
      </w:r>
    </w:p>
  </w:footnote>
  <w:footnote w:id="7">
    <w:p w14:paraId="353D602F" w14:textId="77777777" w:rsidR="0019789C" w:rsidRPr="0019789C" w:rsidRDefault="0019789C" w:rsidP="001300A7">
      <w:pPr>
        <w:pStyle w:val="fntxt"/>
      </w:pPr>
      <w:r w:rsidRPr="0019789C">
        <w:rPr>
          <w:rStyle w:val="FootnoteReference"/>
          <w:rFonts w:cs="Arial"/>
        </w:rPr>
        <w:footnoteRef/>
      </w:r>
      <w:r w:rsidRPr="0019789C">
        <w:t xml:space="preserve"> See further A Lawson and L Series, ‘The United Kingdom’ in L Waddington and A Lawson (eds), </w:t>
      </w:r>
      <w:r w:rsidRPr="0019789C">
        <w:rPr>
          <w:rStyle w:val="fnbookChar"/>
          <w:rFonts w:cs="Arial"/>
        </w:rPr>
        <w:t>The UN Convention on the Rights of Persons with Disabilities: A Comparative Analysis of the Role of Courts</w:t>
      </w:r>
      <w:r w:rsidRPr="0019789C">
        <w:t xml:space="preserve"> (OUP 2018).</w:t>
      </w:r>
    </w:p>
  </w:footnote>
  <w:footnote w:id="8">
    <w:p w14:paraId="3BDAA669" w14:textId="77777777" w:rsidR="0019789C" w:rsidRPr="0019789C" w:rsidRDefault="0019789C" w:rsidP="001300A7">
      <w:pPr>
        <w:pStyle w:val="fntxt"/>
      </w:pPr>
      <w:r w:rsidRPr="0019789C">
        <w:rPr>
          <w:rStyle w:val="FootnoteReference"/>
          <w:rFonts w:cs="Arial"/>
        </w:rPr>
        <w:footnoteRef/>
      </w:r>
      <w:r w:rsidRPr="0019789C">
        <w:t xml:space="preserve"> Human Rights Act 1998, s 6(3): a ‘public authority’ includes, (a) a court or tribunal, and (b) any person certain of whose functions are functions of a public nature, but does not include either House of Parliament or a person exercising functions in connection with proceedings in Parliament.</w:t>
      </w:r>
    </w:p>
  </w:footnote>
  <w:footnote w:id="9">
    <w:p w14:paraId="777171C7" w14:textId="7B86A535" w:rsidR="0019789C" w:rsidRPr="0019789C" w:rsidRDefault="0019789C" w:rsidP="001300A7">
      <w:pPr>
        <w:pStyle w:val="fntxt"/>
      </w:pPr>
      <w:r w:rsidRPr="0019789C">
        <w:rPr>
          <w:rStyle w:val="FootnoteReference"/>
          <w:rFonts w:cs="Arial"/>
        </w:rPr>
        <w:footnoteRef/>
      </w:r>
      <w:r w:rsidRPr="0019789C">
        <w:t xml:space="preserve"> A Donald, J Gordon and P Leach, ‘The UK and the European Court of Human Rights’ (2012) 155 </w:t>
      </w:r>
      <w:r w:rsidRPr="0019789C">
        <w:rPr>
          <w:rStyle w:val="Hyperlink"/>
        </w:rPr>
        <w:t>&lt;www.equalityhumanrights.com/sites/default/files/83._european_court_of_human_rights.pdf&gt;</w:t>
      </w:r>
      <w:r w:rsidRPr="0019789C">
        <w:rPr>
          <w:rStyle w:val="Hyperlink"/>
          <w:rFonts w:cs="Arial"/>
        </w:rPr>
        <w:t xml:space="preserve"> </w:t>
      </w:r>
      <w:r w:rsidRPr="0019789C">
        <w:t>accessed 1 December 2019.</w:t>
      </w:r>
    </w:p>
  </w:footnote>
  <w:footnote w:id="10">
    <w:p w14:paraId="5626D06F" w14:textId="77777777" w:rsidR="0019789C" w:rsidRPr="0019789C" w:rsidRDefault="0019789C" w:rsidP="001300A7">
      <w:pPr>
        <w:pStyle w:val="fntxt"/>
      </w:pPr>
      <w:r w:rsidRPr="0019789C">
        <w:rPr>
          <w:rStyle w:val="FootnoteReference"/>
          <w:rFonts w:cs="Arial"/>
        </w:rPr>
        <w:footnoteRef/>
      </w:r>
      <w:r w:rsidRPr="0019789C">
        <w:t xml:space="preserve"> See below B2.1 on judicial review in the context of the Public Sector Equality Duty.</w:t>
      </w:r>
    </w:p>
  </w:footnote>
  <w:footnote w:id="11">
    <w:p w14:paraId="2A1716F4" w14:textId="7BF74A05" w:rsidR="0019789C" w:rsidRPr="0019789C" w:rsidRDefault="0019789C" w:rsidP="001300A7">
      <w:pPr>
        <w:pStyle w:val="fntxt"/>
      </w:pPr>
      <w:r w:rsidRPr="0019789C">
        <w:rPr>
          <w:rStyle w:val="FootnoteReference"/>
          <w:rFonts w:cs="Arial"/>
        </w:rPr>
        <w:footnoteRef/>
      </w:r>
      <w:r w:rsidRPr="0019789C">
        <w:t xml:space="preserve"> See </w:t>
      </w:r>
      <w:r w:rsidRPr="0019789C">
        <w:rPr>
          <w:rStyle w:val="fncaseChar"/>
          <w:rFonts w:cs="Arial"/>
        </w:rPr>
        <w:t>Kudla v Poland</w:t>
      </w:r>
      <w:r w:rsidRPr="0019789C">
        <w:t xml:space="preserve"> App No 30210/96 (ECtHR, 26 October 2000); </w:t>
      </w:r>
      <w:r w:rsidRPr="0019789C">
        <w:rPr>
          <w:rStyle w:val="fncaseChar"/>
          <w:rFonts w:cs="Arial"/>
        </w:rPr>
        <w:t>Handyside v UK</w:t>
      </w:r>
      <w:r w:rsidRPr="0019789C">
        <w:t xml:space="preserve"> App No 5493/72 (ECtHR, 7 December 1976); </w:t>
      </w:r>
      <w:r w:rsidRPr="0019789C">
        <w:rPr>
          <w:rStyle w:val="fncaseChar"/>
          <w:rFonts w:cs="Arial"/>
        </w:rPr>
        <w:t>Ananyev and others v Russia</w:t>
      </w:r>
      <w:r w:rsidRPr="0019789C">
        <w:t xml:space="preserve"> App Nos 42525/07 and 60800/08 (ECtHR, 10 January 2012) para 93; Donald, Gordon and Leach (n </w:t>
      </w:r>
      <w:r w:rsidRPr="0019789C">
        <w:fldChar w:fldCharType="begin"/>
      </w:r>
      <w:r w:rsidRPr="0019789C">
        <w:instrText xml:space="preserve"> NOTEREF _Ref32910661 \h  \* MERGEFORMAT </w:instrText>
      </w:r>
      <w:r w:rsidRPr="0019789C">
        <w:fldChar w:fldCharType="separate"/>
      </w:r>
      <w:r w:rsidR="00AD46EC">
        <w:t>9</w:t>
      </w:r>
      <w:r w:rsidRPr="0019789C">
        <w:fldChar w:fldCharType="end"/>
      </w:r>
      <w:r w:rsidRPr="0019789C">
        <w:t>) 155.</w:t>
      </w:r>
    </w:p>
  </w:footnote>
  <w:footnote w:id="12">
    <w:p w14:paraId="614B635E" w14:textId="37F4A80D" w:rsidR="0019789C" w:rsidRPr="0019789C" w:rsidRDefault="0019789C" w:rsidP="001300A7">
      <w:pPr>
        <w:pStyle w:val="fntxt"/>
      </w:pPr>
      <w:r w:rsidRPr="0019789C">
        <w:rPr>
          <w:rStyle w:val="FootnoteReference"/>
          <w:rFonts w:cs="Arial"/>
        </w:rPr>
        <w:footnoteRef/>
      </w:r>
      <w:r w:rsidRPr="0019789C">
        <w:t xml:space="preserve"> N Ferreira, ‘The Supreme Court in a final push to go beyond Strasbourg’ [2015] Public Law 367, 368-369, 375.</w:t>
      </w:r>
    </w:p>
  </w:footnote>
  <w:footnote w:id="13">
    <w:p w14:paraId="1E6F9A6F" w14:textId="12346F37"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Committee on the Rights of Persons with Disabilities</w:t>
      </w:r>
      <w:r w:rsidRPr="0019789C">
        <w:t>, ‘Concluding observations on the initial report of the United Kingdom of Great Britain and Northern Ireland’ (3 October 2017) UN Doc CRPD/C/GBR/CO/1, para 24.</w:t>
      </w:r>
    </w:p>
  </w:footnote>
  <w:footnote w:id="14">
    <w:p w14:paraId="3A8444BB" w14:textId="021AECF0" w:rsidR="0019789C" w:rsidRPr="0019789C" w:rsidRDefault="0019789C" w:rsidP="001300A7">
      <w:pPr>
        <w:pStyle w:val="fntxt"/>
      </w:pPr>
      <w:r w:rsidRPr="0019789C">
        <w:rPr>
          <w:rStyle w:val="FootnoteReference"/>
          <w:rFonts w:cs="Arial"/>
        </w:rPr>
        <w:footnoteRef/>
      </w:r>
      <w:r w:rsidRPr="0019789C">
        <w:t xml:space="preserve"> ibid, para 25.</w:t>
      </w:r>
    </w:p>
  </w:footnote>
  <w:footnote w:id="15">
    <w:p w14:paraId="7F4D7A71" w14:textId="1BA90C22" w:rsidR="0019789C" w:rsidRPr="0019789C" w:rsidRDefault="0019789C" w:rsidP="001300A7">
      <w:pPr>
        <w:pStyle w:val="fntxt"/>
      </w:pPr>
      <w:r w:rsidRPr="0019789C">
        <w:rPr>
          <w:rStyle w:val="FootnoteReference"/>
          <w:rFonts w:cs="Arial"/>
        </w:rPr>
        <w:footnoteRef/>
      </w:r>
      <w:r w:rsidRPr="0019789C">
        <w:t xml:space="preserve"> ibid, para 32; see below B1.1 (c) on </w:t>
      </w:r>
      <w:fldSimple w:instr="REF _Ref27061814  \* MERGEFORMAT">
        <w:r w:rsidR="00AD46EC" w:rsidRPr="002A65B0">
          <w:t>(c) Enforcement</w:t>
        </w:r>
      </w:fldSimple>
      <w:r w:rsidRPr="0019789C">
        <w:t>.</w:t>
      </w:r>
    </w:p>
  </w:footnote>
  <w:footnote w:id="16">
    <w:p w14:paraId="5A5F5050" w14:textId="4C7D3522" w:rsidR="0019789C" w:rsidRPr="0019789C" w:rsidRDefault="0019789C" w:rsidP="001300A7">
      <w:pPr>
        <w:pStyle w:val="fntxt"/>
      </w:pPr>
      <w:r w:rsidRPr="0019789C">
        <w:rPr>
          <w:rStyle w:val="FootnoteReference"/>
          <w:rFonts w:cs="Arial"/>
        </w:rPr>
        <w:footnoteRef/>
      </w:r>
      <w:r w:rsidRPr="0019789C">
        <w:t xml:space="preserve"> Department for International Development, ‘Agenda 2030: Delivering the Global Goals’ (March 2017) </w:t>
      </w:r>
      <w:hyperlink r:id="rId2" w:history="1">
        <w:r w:rsidRPr="0019789C">
          <w:rPr>
            <w:rStyle w:val="Hyperlink"/>
            <w:rFonts w:cs="Arial"/>
          </w:rPr>
          <w:t>&lt;www.gov.uk/government/publications/agenda-2030-delivering-the-global-goals&gt;</w:t>
        </w:r>
      </w:hyperlink>
      <w:r w:rsidRPr="0019789C">
        <w:t xml:space="preserve"> accessed 27 November 2019.</w:t>
      </w:r>
    </w:p>
  </w:footnote>
  <w:footnote w:id="17">
    <w:p w14:paraId="1598F24B" w14:textId="7A6C32E3" w:rsidR="0019789C" w:rsidRPr="0019789C" w:rsidRDefault="0019789C" w:rsidP="001300A7">
      <w:pPr>
        <w:pStyle w:val="fntxt"/>
      </w:pPr>
      <w:r w:rsidRPr="0019789C">
        <w:rPr>
          <w:rStyle w:val="FootnoteReference"/>
          <w:rFonts w:cs="Arial"/>
        </w:rPr>
        <w:footnoteRef/>
      </w:r>
      <w:r w:rsidRPr="0019789C">
        <w:t xml:space="preserve"> Department for International Development and Cabinet Office, ‘Implementing the Sustainable Development Goals’ (December 2017) </w:t>
      </w:r>
      <w:hyperlink r:id="rId3" w:history="1">
        <w:r w:rsidRPr="0019789C">
          <w:rPr>
            <w:rStyle w:val="Hyperlink"/>
            <w:rFonts w:cs="Arial"/>
          </w:rPr>
          <w:t>&lt;www.gov.uk/government/publications/implementing-the-sustainable-development-goals/implementing-the-sustainable-development-goals&gt;</w:t>
        </w:r>
      </w:hyperlink>
      <w:r w:rsidRPr="0019789C">
        <w:t xml:space="preserve"> accessed 27 November 2019.</w:t>
      </w:r>
    </w:p>
  </w:footnote>
  <w:footnote w:id="18">
    <w:p w14:paraId="2793E9EF" w14:textId="77777777" w:rsidR="0019789C" w:rsidRPr="0019789C" w:rsidRDefault="0019789C" w:rsidP="001300A7">
      <w:pPr>
        <w:pStyle w:val="fntxt"/>
      </w:pPr>
      <w:r w:rsidRPr="0019789C">
        <w:rPr>
          <w:rStyle w:val="FootnoteReference"/>
          <w:rFonts w:cs="Arial"/>
        </w:rPr>
        <w:footnoteRef/>
      </w:r>
      <w:r w:rsidRPr="0019789C">
        <w:t xml:space="preserve"> J Lum, ‘Sustainable Development Goals: How is the UK Performing?’ (House of Commons Library, 4 July 2019).</w:t>
      </w:r>
    </w:p>
  </w:footnote>
  <w:footnote w:id="19">
    <w:p w14:paraId="708242A0" w14:textId="23E930FE"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Department for International Development</w:t>
      </w:r>
      <w:r w:rsidRPr="0019789C">
        <w:t xml:space="preserve">, ‘Voluntary National Review of Progress towards the Sustainable Development Goals - United Kingdom of Great Britain and Northern Ireland’ (June 2019) </w:t>
      </w:r>
      <w:hyperlink r:id="rId4" w:history="1">
        <w:r w:rsidRPr="0019789C">
          <w:rPr>
            <w:rStyle w:val="Hyperlink"/>
            <w:rFonts w:cs="Arial"/>
          </w:rPr>
          <w:t>&lt;www.gov.uk/government/publications/uks-voluntary-national-review-of-the-sustainable-development-goals&gt;</w:t>
        </w:r>
      </w:hyperlink>
      <w:r w:rsidRPr="0019789C">
        <w:t xml:space="preserve"> accessed 28 November 2019.</w:t>
      </w:r>
    </w:p>
  </w:footnote>
  <w:footnote w:id="20">
    <w:p w14:paraId="5042D4EF" w14:textId="77777777" w:rsidR="0019789C" w:rsidRPr="0019789C" w:rsidRDefault="0019789C" w:rsidP="001300A7">
      <w:pPr>
        <w:pStyle w:val="fntxt"/>
      </w:pPr>
      <w:r w:rsidRPr="0019789C">
        <w:rPr>
          <w:rStyle w:val="FootnoteReference"/>
          <w:rFonts w:cs="Arial"/>
        </w:rPr>
        <w:footnoteRef/>
      </w:r>
      <w:r w:rsidRPr="0019789C">
        <w:t xml:space="preserve"> ibid 146-47.</w:t>
      </w:r>
    </w:p>
  </w:footnote>
  <w:footnote w:id="21">
    <w:p w14:paraId="2EEFA260" w14:textId="77777777" w:rsidR="0019789C" w:rsidRPr="0019789C" w:rsidRDefault="0019789C" w:rsidP="001300A7">
      <w:pPr>
        <w:pStyle w:val="fntxt"/>
      </w:pPr>
      <w:r w:rsidRPr="0019789C">
        <w:rPr>
          <w:rStyle w:val="FootnoteReference"/>
          <w:rFonts w:cs="Arial"/>
        </w:rPr>
        <w:footnoteRef/>
      </w:r>
      <w:r w:rsidRPr="0019789C">
        <w:t xml:space="preserve"> ibid 135.</w:t>
      </w:r>
    </w:p>
  </w:footnote>
  <w:footnote w:id="22">
    <w:p w14:paraId="3A3516A4" w14:textId="77777777" w:rsidR="0019789C" w:rsidRPr="0019789C" w:rsidRDefault="0019789C" w:rsidP="001300A7">
      <w:pPr>
        <w:pStyle w:val="fntxt"/>
      </w:pPr>
      <w:r w:rsidRPr="0019789C">
        <w:rPr>
          <w:rStyle w:val="FootnoteReference"/>
          <w:rFonts w:cs="Arial"/>
        </w:rPr>
        <w:footnoteRef/>
      </w:r>
      <w:r w:rsidRPr="0019789C">
        <w:t xml:space="preserve"> ibid 135.</w:t>
      </w:r>
    </w:p>
  </w:footnote>
  <w:footnote w:id="23">
    <w:p w14:paraId="21B25C49" w14:textId="77777777" w:rsidR="0019789C" w:rsidRPr="0019789C" w:rsidRDefault="0019789C" w:rsidP="001300A7">
      <w:pPr>
        <w:pStyle w:val="fntxt"/>
      </w:pPr>
      <w:r w:rsidRPr="0019789C">
        <w:rPr>
          <w:rStyle w:val="FootnoteReference"/>
          <w:rFonts w:cs="Arial"/>
        </w:rPr>
        <w:footnoteRef/>
      </w:r>
      <w:r w:rsidRPr="0019789C">
        <w:t xml:space="preserve"> ibid 135.</w:t>
      </w:r>
    </w:p>
  </w:footnote>
  <w:footnote w:id="24">
    <w:p w14:paraId="528B13AA" w14:textId="77777777" w:rsidR="0019789C" w:rsidRPr="0019789C" w:rsidRDefault="0019789C" w:rsidP="001300A7">
      <w:pPr>
        <w:pStyle w:val="fntxt"/>
      </w:pPr>
      <w:r w:rsidRPr="0019789C">
        <w:rPr>
          <w:rStyle w:val="FootnoteReference"/>
          <w:rFonts w:cs="Arial"/>
        </w:rPr>
        <w:footnoteRef/>
      </w:r>
      <w:r w:rsidRPr="0019789C">
        <w:t xml:space="preserve"> ibid 26.</w:t>
      </w:r>
    </w:p>
  </w:footnote>
  <w:footnote w:id="25">
    <w:p w14:paraId="3C7E54F9" w14:textId="77777777" w:rsidR="0019789C" w:rsidRPr="0019789C" w:rsidRDefault="0019789C" w:rsidP="001300A7">
      <w:pPr>
        <w:pStyle w:val="fntxt"/>
      </w:pPr>
      <w:r w:rsidRPr="0019789C">
        <w:rPr>
          <w:rStyle w:val="FootnoteReference"/>
          <w:rFonts w:cs="Arial"/>
        </w:rPr>
        <w:footnoteRef/>
      </w:r>
      <w:r w:rsidRPr="0019789C">
        <w:t xml:space="preserve"> ibid 202.</w:t>
      </w:r>
    </w:p>
  </w:footnote>
  <w:footnote w:id="26">
    <w:p w14:paraId="558EA3BB" w14:textId="77777777" w:rsidR="0019789C" w:rsidRPr="0019789C" w:rsidRDefault="0019789C" w:rsidP="001300A7">
      <w:pPr>
        <w:pStyle w:val="fntxt"/>
      </w:pPr>
      <w:r w:rsidRPr="0019789C">
        <w:rPr>
          <w:rStyle w:val="FootnoteReference"/>
          <w:rFonts w:cs="Arial"/>
        </w:rPr>
        <w:footnoteRef/>
      </w:r>
      <w:r w:rsidRPr="0019789C">
        <w:t xml:space="preserve"> ibid 202.</w:t>
      </w:r>
    </w:p>
  </w:footnote>
  <w:footnote w:id="27">
    <w:p w14:paraId="5C2C1D84" w14:textId="056C10CC"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 xml:space="preserve">European Commission, ‘Europe 2020: A strategy for smart, sustainable and inclusive growth’ </w:t>
      </w:r>
      <w:r w:rsidRPr="0019789C">
        <w:t>COM (2010) 2020 final.</w:t>
      </w:r>
    </w:p>
  </w:footnote>
  <w:footnote w:id="28">
    <w:p w14:paraId="23752FF7" w14:textId="11BD8495"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 xml:space="preserve">European Commission, ‘Europe on the Move - Sustainable Mobility for Europe: safe, connected, and clean’ </w:t>
      </w:r>
      <w:r w:rsidRPr="0019789C">
        <w:t>COM (2010) 636 final.</w:t>
      </w:r>
    </w:p>
  </w:footnote>
  <w:footnote w:id="29">
    <w:p w14:paraId="7BDBB1D3" w14:textId="15CBA8B9" w:rsidR="0019789C" w:rsidRPr="0019789C" w:rsidRDefault="0019789C" w:rsidP="001300A7">
      <w:pPr>
        <w:pStyle w:val="fntxt"/>
      </w:pPr>
      <w:r w:rsidRPr="0019789C">
        <w:rPr>
          <w:rStyle w:val="FootnoteReference"/>
          <w:rFonts w:cs="Arial"/>
        </w:rPr>
        <w:footnoteRef/>
      </w:r>
      <w:r w:rsidRPr="0019789C">
        <w:t xml:space="preserve"> Technopolis Group, </w:t>
      </w:r>
      <w:r w:rsidRPr="0019789C">
        <w:rPr>
          <w:rStyle w:val="fnbookChar"/>
        </w:rPr>
        <w:t>‘The Silver Economy’</w:t>
      </w:r>
      <w:r w:rsidRPr="0019789C">
        <w:t xml:space="preserve"> (European Commission, 2018).</w:t>
      </w:r>
    </w:p>
  </w:footnote>
  <w:footnote w:id="30">
    <w:p w14:paraId="61BDD67E" w14:textId="118C1CF6" w:rsidR="0019789C" w:rsidRPr="0019789C" w:rsidRDefault="0019789C" w:rsidP="001300A7">
      <w:pPr>
        <w:pStyle w:val="fntxt"/>
      </w:pPr>
      <w:r w:rsidRPr="0019789C">
        <w:rPr>
          <w:rStyle w:val="FootnoteReference"/>
          <w:rFonts w:cs="Arial"/>
        </w:rPr>
        <w:footnoteRef/>
      </w:r>
      <w:r w:rsidRPr="0019789C">
        <w:t xml:space="preserve"> European Commission (n </w:t>
      </w:r>
      <w:r w:rsidRPr="0019789C">
        <w:fldChar w:fldCharType="begin"/>
      </w:r>
      <w:r w:rsidRPr="0019789C">
        <w:instrText xml:space="preserve"> NOTEREF _Ref94096927 \h  \* MERGEFORMAT </w:instrText>
      </w:r>
      <w:r w:rsidRPr="0019789C">
        <w:fldChar w:fldCharType="separate"/>
      </w:r>
      <w:r w:rsidR="00AD46EC">
        <w:t>28</w:t>
      </w:r>
      <w:r w:rsidRPr="0019789C">
        <w:fldChar w:fldCharType="end"/>
      </w:r>
      <w:r w:rsidRPr="0019789C">
        <w:t>).</w:t>
      </w:r>
    </w:p>
  </w:footnote>
  <w:footnote w:id="31">
    <w:p w14:paraId="4ADA8FB7" w14:textId="77777777" w:rsidR="0019789C" w:rsidRPr="0019789C" w:rsidRDefault="0019789C" w:rsidP="001300A7">
      <w:pPr>
        <w:pStyle w:val="fntxt"/>
      </w:pPr>
      <w:r w:rsidRPr="0019789C">
        <w:rPr>
          <w:rStyle w:val="FootnoteReference"/>
          <w:rFonts w:cs="Arial"/>
        </w:rPr>
        <w:footnoteRef/>
      </w:r>
      <w:r w:rsidRPr="0019789C">
        <w:t xml:space="preserve"> European Commission, ‘Staff Working Document: EU Road Safety Policy Framework 2021-2030 – Next Steps towards “Vision Zero”’ SWD (2019) 283 final.</w:t>
      </w:r>
    </w:p>
  </w:footnote>
  <w:footnote w:id="32">
    <w:p w14:paraId="3DC8478E" w14:textId="77777777" w:rsidR="0019789C" w:rsidRPr="0019789C" w:rsidRDefault="0019789C" w:rsidP="001300A7">
      <w:pPr>
        <w:pStyle w:val="fntxt"/>
      </w:pPr>
      <w:r w:rsidRPr="0019789C">
        <w:rPr>
          <w:rStyle w:val="FootnoteReference"/>
          <w:rFonts w:cs="Arial"/>
        </w:rPr>
        <w:footnoteRef/>
      </w:r>
      <w:r w:rsidRPr="0019789C">
        <w:t xml:space="preserve"> European Commission, ‘Action Plan on Urban Mobility’ COM (2009) 0490 final. </w:t>
      </w:r>
    </w:p>
  </w:footnote>
  <w:footnote w:id="33">
    <w:p w14:paraId="476DF7E4" w14:textId="77777777" w:rsidR="0019789C" w:rsidRPr="0019789C" w:rsidRDefault="0019789C" w:rsidP="001300A7">
      <w:pPr>
        <w:pStyle w:val="fntxt"/>
      </w:pPr>
      <w:r w:rsidRPr="0019789C">
        <w:rPr>
          <w:rStyle w:val="FootnoteReference"/>
          <w:rFonts w:cs="Arial"/>
        </w:rPr>
        <w:footnoteRef/>
      </w:r>
      <w:r w:rsidRPr="0019789C">
        <w:t xml:space="preserve"> ‘Without prejudice to the other provisions of the Treaties and within the limits of the powers conferred by them upon the Union, the Council, acting unanimously in accordance with a special legislative procedure and after obtaining the consent of the European Parliament, may take appropriate action to combat discrimination based on sex, racial or ethnic origin, religion or belief, disability, age or sexual orientation.’</w:t>
      </w:r>
    </w:p>
  </w:footnote>
  <w:footnote w:id="34">
    <w:p w14:paraId="60CBAF7B" w14:textId="77777777" w:rsidR="0019789C" w:rsidRPr="0019789C" w:rsidRDefault="0019789C" w:rsidP="001300A7">
      <w:pPr>
        <w:pStyle w:val="fntxt"/>
      </w:pPr>
      <w:r w:rsidRPr="0019789C">
        <w:rPr>
          <w:rStyle w:val="FootnoteReference"/>
          <w:rFonts w:cs="Arial"/>
        </w:rPr>
        <w:footnoteRef/>
      </w:r>
      <w:r w:rsidRPr="0019789C">
        <w:t xml:space="preserve"> Council Directive 2000/78/EC of 27 November 2000 establishing a general framework for equal treatment in employment and occupation [2000] OJ L303/16.</w:t>
      </w:r>
    </w:p>
  </w:footnote>
  <w:footnote w:id="35">
    <w:p w14:paraId="0117F0BB" w14:textId="77777777" w:rsidR="0019789C" w:rsidRPr="0019789C" w:rsidRDefault="0019789C" w:rsidP="001300A7">
      <w:pPr>
        <w:pStyle w:val="fntxt"/>
      </w:pPr>
      <w:r w:rsidRPr="0019789C">
        <w:rPr>
          <w:rStyle w:val="FootnoteReference"/>
          <w:rFonts w:cs="Arial"/>
        </w:rPr>
        <w:footnoteRef/>
      </w:r>
      <w:r w:rsidRPr="0019789C">
        <w:t xml:space="preserve"> ‘The Union recognises and respects the right of persons with disabilities to benefit from measures designed to ensure their independence, social and occupational integration and participation in the life of the community’.</w:t>
      </w:r>
    </w:p>
  </w:footnote>
  <w:footnote w:id="36">
    <w:p w14:paraId="0E7AF0C1" w14:textId="6DBDEF55" w:rsidR="0019789C" w:rsidRPr="0019789C" w:rsidRDefault="0019789C" w:rsidP="001300A7">
      <w:pPr>
        <w:pStyle w:val="fntxt"/>
      </w:pPr>
      <w:r w:rsidRPr="0019789C">
        <w:rPr>
          <w:rStyle w:val="FootnoteReference"/>
          <w:rFonts w:cs="Arial"/>
        </w:rPr>
        <w:footnoteRef/>
      </w:r>
      <w:r w:rsidRPr="0019789C">
        <w:t xml:space="preserve"> European Union Agency for Fundamental Rights and Council of Europe, </w:t>
      </w:r>
      <w:r w:rsidRPr="0019789C">
        <w:rPr>
          <w:rStyle w:val="fnbookChar"/>
        </w:rPr>
        <w:t>Handbook on European non-discrimination law</w:t>
      </w:r>
      <w:r w:rsidRPr="0019789C">
        <w:t xml:space="preserve"> (Publications Office of the European Union, February 2018) 15; A Lawson, ‘The UN Convention on the Rights of Persons with Disabilities and European Disability Law: A Catalyst for Cohesion?’ in O M Arnardóttir and G Quinn (eds), </w:t>
      </w:r>
      <w:r w:rsidRPr="0019789C">
        <w:rPr>
          <w:rStyle w:val="fnbookChar"/>
        </w:rPr>
        <w:t>The UN Convention on the Rights of Persons with Disabilities: European and Scandinavian Perspectives</w:t>
      </w:r>
      <w:r w:rsidRPr="0019789C">
        <w:t xml:space="preserve"> (Martinus Nijhoff 2019) 83-84; and while Protocol 30 was initially thought as exempting the UK and Poland from the Charter, the ECJ has ruled that the Charter applied, and applies, in these countries the same as all other EU Member States: Case C-411/10,</w:t>
      </w:r>
      <w:r w:rsidRPr="0019789C">
        <w:rPr>
          <w:rStyle w:val="fncaseChar"/>
          <w:rFonts w:cs="Arial"/>
        </w:rPr>
        <w:t xml:space="preserve"> R 5 (NS (Afghanistan)) v Secretary of State for the Home Department </w:t>
      </w:r>
      <w:r w:rsidRPr="0019789C">
        <w:t>[2013] QB 102); Consolidated version of the Treaty on the Functioning of the European Union - PROTOCOLS - Protocol (No 30) on the application of the Charter of Fundamental Rights of the European Union to Poland and to the United Kingdom Article 1(1) of Protocol No 30 [2008] OJ C115/313: ‘(1) The Charter does not extend the ability of the Court of Justice of the European Union, or any court or tribunal of Poland or of the United Kingdom, to find that the laws, regulations or administrative provisions, practices or actions of Poland or of the United Kingdom are inconsistent with the fundamental rights, freedoms and principles that it reaffirms’; ‘(2) In particular, and for the avoidance of doubt, nothing in Title IV of the Charter creates justiciable rights applicable to Poland or the United Kingdom except in so far as Poland or the United Kingdom has provided for such rights in its national law.’</w:t>
      </w:r>
    </w:p>
  </w:footnote>
  <w:footnote w:id="37">
    <w:p w14:paraId="1D72E625" w14:textId="24D0D905" w:rsidR="0019789C" w:rsidRPr="0019789C" w:rsidRDefault="0019789C" w:rsidP="001300A7">
      <w:pPr>
        <w:pStyle w:val="fntxt"/>
      </w:pPr>
      <w:r w:rsidRPr="0019789C">
        <w:rPr>
          <w:rStyle w:val="FootnoteReference"/>
          <w:rFonts w:cs="Arial"/>
        </w:rPr>
        <w:footnoteRef/>
      </w:r>
      <w:r w:rsidRPr="0019789C">
        <w:t xml:space="preserve"> In those circumstances, without there being any need to examine the nature and broad logic of the UN Convention, it must be held that the provisions of that Convention are not, as regards their content, provisions that are unconditional and sufficiently precise within the meaning of the case-law cited in paragraphs 85 and 86 of the present judgment, and that they therefore do not have direct effect in European Union law. It follows from this that the validity of Directive 2000/78 cannot be assessed in the light of the UN Convention: Case C-363/12 </w:t>
      </w:r>
      <w:r w:rsidRPr="0019789C">
        <w:rPr>
          <w:rStyle w:val="fncaseChar"/>
          <w:rFonts w:cs="Arial"/>
        </w:rPr>
        <w:t>Z v A Government department and The Board of management of a community schoo</w:t>
      </w:r>
      <w:r w:rsidRPr="0019789C">
        <w:t xml:space="preserve">l [2014] IRLR 570 [90]. </w:t>
      </w:r>
    </w:p>
  </w:footnote>
  <w:footnote w:id="38">
    <w:p w14:paraId="5BF3EA1A" w14:textId="6D84AB69" w:rsidR="0019789C" w:rsidRPr="0019789C" w:rsidRDefault="0019789C" w:rsidP="001300A7">
      <w:pPr>
        <w:pStyle w:val="fntxt"/>
      </w:pPr>
      <w:r w:rsidRPr="0019789C">
        <w:rPr>
          <w:rStyle w:val="FootnoteReference"/>
          <w:rFonts w:cs="Arial"/>
        </w:rPr>
        <w:footnoteRef/>
      </w:r>
      <w:r w:rsidRPr="0019789C">
        <w:t xml:space="preserve"> Committee on the Rights of Persons with Disabilities, ‘Concluding Observations on the Initial Report of the European Union’ (3 September 2015) UN Doc CRPD/C/EU/CO/1.</w:t>
      </w:r>
    </w:p>
  </w:footnote>
  <w:footnote w:id="39">
    <w:p w14:paraId="3768C2AC" w14:textId="4741FF98" w:rsidR="0019789C" w:rsidRPr="0019789C" w:rsidRDefault="0019789C" w:rsidP="001300A7">
      <w:pPr>
        <w:pStyle w:val="fntxt"/>
      </w:pPr>
      <w:r w:rsidRPr="0019789C">
        <w:rPr>
          <w:rStyle w:val="FootnoteReference"/>
          <w:rFonts w:cs="Arial"/>
        </w:rPr>
        <w:footnoteRef/>
      </w:r>
      <w:r w:rsidRPr="0019789C">
        <w:t xml:space="preserve"> ibid, para 38.</w:t>
      </w:r>
    </w:p>
  </w:footnote>
  <w:footnote w:id="40">
    <w:p w14:paraId="49010CC3" w14:textId="30ACA616" w:rsidR="0019789C" w:rsidRPr="0019789C" w:rsidRDefault="0019789C" w:rsidP="001300A7">
      <w:pPr>
        <w:pStyle w:val="fntxt"/>
      </w:pPr>
      <w:r w:rsidRPr="0019789C">
        <w:rPr>
          <w:rStyle w:val="FootnoteReference"/>
          <w:rFonts w:cs="Arial"/>
        </w:rPr>
        <w:footnoteRef/>
      </w:r>
      <w:r w:rsidRPr="0019789C">
        <w:t xml:space="preserve"> ibid, para 5.</w:t>
      </w:r>
    </w:p>
  </w:footnote>
  <w:footnote w:id="41">
    <w:p w14:paraId="4345A0D5" w14:textId="09F84AB8" w:rsidR="0019789C" w:rsidRPr="0019789C" w:rsidRDefault="0019789C" w:rsidP="001300A7">
      <w:pPr>
        <w:pStyle w:val="fntxt"/>
      </w:pPr>
      <w:r w:rsidRPr="0019789C">
        <w:rPr>
          <w:rStyle w:val="FootnoteReference"/>
          <w:rFonts w:cs="Arial"/>
        </w:rPr>
        <w:footnoteRef/>
      </w:r>
      <w:r w:rsidRPr="0019789C">
        <w:t xml:space="preserve"> Accessibility and usability of the built environment - Functional requirements (prEN 17210).</w:t>
      </w:r>
    </w:p>
  </w:footnote>
  <w:footnote w:id="42">
    <w:p w14:paraId="37F9EBAC" w14:textId="73EC4701" w:rsidR="0019789C" w:rsidRPr="0019789C" w:rsidRDefault="0019789C" w:rsidP="001300A7">
      <w:pPr>
        <w:pStyle w:val="fntxt"/>
      </w:pPr>
      <w:r w:rsidRPr="0019789C">
        <w:rPr>
          <w:rStyle w:val="FootnoteReference"/>
          <w:rFonts w:cs="Arial"/>
        </w:rPr>
        <w:footnoteRef/>
      </w:r>
      <w:r w:rsidRPr="0019789C">
        <w:t xml:space="preserve"> European Disability Forum, ‘Our Analysis of the European Accessibility Act’ (7 June 2019) &lt;</w:t>
      </w:r>
      <w:hyperlink r:id="rId5" w:history="1">
        <w:r w:rsidRPr="0019789C">
          <w:rPr>
            <w:rStyle w:val="Hyperlink"/>
            <w:rFonts w:cstheme="minorBidi"/>
          </w:rPr>
          <w:t>www.edf-feph.org/newsroom/news/our-analysis-european-accessibility-act</w:t>
        </w:r>
      </w:hyperlink>
      <w:r w:rsidRPr="0019789C">
        <w:t>&gt; accessed 28 November 2019.</w:t>
      </w:r>
    </w:p>
  </w:footnote>
  <w:footnote w:id="43">
    <w:p w14:paraId="5419E2F0" w14:textId="4A6CEA26" w:rsidR="0019789C" w:rsidRPr="0019789C" w:rsidRDefault="0019789C" w:rsidP="001300A7">
      <w:pPr>
        <w:pStyle w:val="fntxt"/>
      </w:pPr>
      <w:r w:rsidRPr="0019789C">
        <w:rPr>
          <w:rStyle w:val="FootnoteReference"/>
          <w:rFonts w:cs="Arial"/>
        </w:rPr>
        <w:footnoteRef/>
      </w:r>
      <w:r w:rsidRPr="0019789C">
        <w:t xml:space="preserve"> BBC News, ‘Five “shared space” projects get £29.1m offer from EU body’ (8 January 2019) </w:t>
      </w:r>
      <w:r w:rsidRPr="0019789C">
        <w:rPr>
          <w:rStyle w:val="Hyperlink"/>
          <w:rFonts w:cs="Arial"/>
        </w:rPr>
        <w:t>&lt;</w:t>
      </w:r>
      <w:hyperlink r:id="rId6" w:history="1">
        <w:r w:rsidRPr="0019789C">
          <w:rPr>
            <w:rStyle w:val="Hyperlink"/>
            <w:rFonts w:cs="Arial"/>
          </w:rPr>
          <w:t>www.bbc.co.uk/news/uk-northern-ireland-46788100</w:t>
        </w:r>
      </w:hyperlink>
      <w:r w:rsidRPr="0019789C">
        <w:rPr>
          <w:rStyle w:val="Hyperlink"/>
          <w:rFonts w:cs="Arial"/>
        </w:rPr>
        <w:t>&gt;</w:t>
      </w:r>
      <w:r w:rsidRPr="0019789C">
        <w:t xml:space="preserve"> accessed 20 January 2020. </w:t>
      </w:r>
    </w:p>
  </w:footnote>
  <w:footnote w:id="44">
    <w:p w14:paraId="09D2F9C8" w14:textId="4F5F8626" w:rsidR="0019789C" w:rsidRPr="0019789C" w:rsidRDefault="0019789C" w:rsidP="001300A7">
      <w:pPr>
        <w:pStyle w:val="fntxt"/>
      </w:pPr>
      <w:r w:rsidRPr="0019789C">
        <w:rPr>
          <w:rStyle w:val="FootnoteReference"/>
          <w:rFonts w:cs="Arial"/>
        </w:rPr>
        <w:footnoteRef/>
      </w:r>
      <w:r w:rsidRPr="0019789C">
        <w:t xml:space="preserve"> See further, European Disability Forum, ‘Structural Funds’</w:t>
      </w:r>
      <w:hyperlink r:id="rId7" w:history="1">
        <w:r w:rsidRPr="0019789C">
          <w:rPr>
            <w:rStyle w:val="Hyperlink"/>
            <w:rFonts w:cs="Arial"/>
          </w:rPr>
          <w:t xml:space="preserve"> &lt;www.edf-feph.org/structural-funds&gt;</w:t>
        </w:r>
      </w:hyperlink>
      <w:r w:rsidRPr="0019789C">
        <w:t xml:space="preserve"> accessed 28 November 2019.</w:t>
      </w:r>
    </w:p>
  </w:footnote>
  <w:footnote w:id="45">
    <w:p w14:paraId="7DC52E64" w14:textId="1EAA518C" w:rsidR="0019789C" w:rsidRPr="0019789C" w:rsidRDefault="0019789C" w:rsidP="001300A7">
      <w:pPr>
        <w:pStyle w:val="fntxt"/>
      </w:pPr>
      <w:r w:rsidRPr="0019789C">
        <w:rPr>
          <w:rStyle w:val="FootnoteReference"/>
          <w:rFonts w:cs="Arial"/>
        </w:rPr>
        <w:footnoteRef/>
      </w:r>
      <w:r w:rsidRPr="0019789C">
        <w:t xml:space="preserve"> Council of Europe, ‘Council of Europe Disability Strategy 2017-2023’ (March 2017) 5 </w:t>
      </w:r>
      <w:hyperlink r:id="rId8" w:history="1">
        <w:r w:rsidRPr="0019789C">
          <w:rPr>
            <w:rStyle w:val="Hyperlink"/>
            <w:rFonts w:cs="Arial"/>
          </w:rPr>
          <w:t>&lt;https://rm.coe.int/16806fe7d4&gt;</w:t>
        </w:r>
      </w:hyperlink>
      <w:r w:rsidRPr="0019789C">
        <w:t xml:space="preserve"> accessed 15 August 2019.</w:t>
      </w:r>
    </w:p>
  </w:footnote>
  <w:footnote w:id="46">
    <w:p w14:paraId="1091B023" w14:textId="5915788E" w:rsidR="0019789C" w:rsidRPr="0019789C" w:rsidRDefault="0019789C" w:rsidP="001300A7">
      <w:pPr>
        <w:pStyle w:val="fntxt"/>
      </w:pPr>
      <w:r w:rsidRPr="0019789C">
        <w:rPr>
          <w:rStyle w:val="FootnoteReference"/>
          <w:rFonts w:cs="Arial"/>
        </w:rPr>
        <w:footnoteRef/>
      </w:r>
      <w:r w:rsidRPr="0019789C">
        <w:t xml:space="preserve"> ibid, para 56.</w:t>
      </w:r>
    </w:p>
  </w:footnote>
  <w:footnote w:id="47">
    <w:p w14:paraId="401EE14B" w14:textId="5E51B470" w:rsidR="0019789C" w:rsidRPr="0019789C" w:rsidRDefault="0019789C" w:rsidP="001300A7">
      <w:pPr>
        <w:pStyle w:val="fntxt"/>
      </w:pPr>
      <w:r w:rsidRPr="0019789C">
        <w:rPr>
          <w:rStyle w:val="FootnoteReference"/>
          <w:rFonts w:cs="Arial"/>
        </w:rPr>
        <w:footnoteRef/>
      </w:r>
      <w:r w:rsidRPr="0019789C">
        <w:t xml:space="preserve"> ibid, para 15.</w:t>
      </w:r>
    </w:p>
  </w:footnote>
  <w:footnote w:id="48">
    <w:p w14:paraId="7BB5C505" w14:textId="066B812F" w:rsidR="0019789C" w:rsidRPr="0019789C" w:rsidRDefault="0019789C" w:rsidP="001300A7">
      <w:pPr>
        <w:pStyle w:val="fntxt"/>
      </w:pPr>
      <w:r w:rsidRPr="0019789C">
        <w:rPr>
          <w:rStyle w:val="FootnoteReference"/>
          <w:rFonts w:cs="Arial"/>
        </w:rPr>
        <w:footnoteRef/>
      </w:r>
      <w:r w:rsidRPr="0019789C">
        <w:t xml:space="preserve"> ibid, para 91: ‘The biennial report will take into account, among others and where applicable, recommendations by the independent monitoring mechanisms and various other structures within the Council of Europe, relevant case-law of the European Court of Human Rights, disability rights-related events, campaigns and publications, as well as legislative and structural developments at the international, regional, national and local levels.’</w:t>
      </w:r>
    </w:p>
  </w:footnote>
  <w:footnote w:id="49">
    <w:p w14:paraId="07545BAA" w14:textId="77777777"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Botta v Italy</w:t>
      </w:r>
      <w:r w:rsidRPr="0019789C">
        <w:t xml:space="preserve"> App No 21439/93 (1998) 26 EHRR 241; see also </w:t>
      </w:r>
      <w:r w:rsidRPr="0019789C">
        <w:rPr>
          <w:rStyle w:val="fncaseChar"/>
          <w:rFonts w:cs="Arial"/>
        </w:rPr>
        <w:t>Niemietz v Germany</w:t>
      </w:r>
      <w:r w:rsidRPr="0019789C">
        <w:t xml:space="preserve"> App No 13710/88 (1992) 16 EHRR 97.</w:t>
      </w:r>
    </w:p>
  </w:footnote>
  <w:footnote w:id="50">
    <w:p w14:paraId="4A4D2C33" w14:textId="75FF9C53"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Botta </w:t>
      </w:r>
      <w:r>
        <w:rPr>
          <w:rStyle w:val="fncaseChar"/>
          <w:rFonts w:cs="Arial"/>
          <w:i w:val="0"/>
          <w:iCs/>
        </w:rPr>
        <w:t xml:space="preserve">(n </w:t>
      </w:r>
      <w:r>
        <w:rPr>
          <w:rStyle w:val="fncaseChar"/>
          <w:rFonts w:cs="Arial"/>
          <w:i w:val="0"/>
          <w:iCs/>
        </w:rPr>
        <w:fldChar w:fldCharType="begin"/>
      </w:r>
      <w:r>
        <w:rPr>
          <w:rStyle w:val="fncaseChar"/>
          <w:rFonts w:cs="Arial"/>
          <w:i w:val="0"/>
          <w:iCs/>
        </w:rPr>
        <w:instrText xml:space="preserve"> NOTEREF _Ref94102467 \h </w:instrText>
      </w:r>
      <w:r>
        <w:rPr>
          <w:rStyle w:val="fncaseChar"/>
          <w:rFonts w:cs="Arial"/>
          <w:i w:val="0"/>
          <w:iCs/>
        </w:rPr>
      </w:r>
      <w:r>
        <w:rPr>
          <w:rStyle w:val="fncaseChar"/>
          <w:rFonts w:cs="Arial"/>
          <w:i w:val="0"/>
          <w:iCs/>
        </w:rPr>
        <w:fldChar w:fldCharType="separate"/>
      </w:r>
      <w:r w:rsidR="00AD46EC">
        <w:rPr>
          <w:rStyle w:val="fncaseChar"/>
          <w:rFonts w:cs="Arial"/>
          <w:i w:val="0"/>
          <w:iCs/>
        </w:rPr>
        <w:t>49</w:t>
      </w:r>
      <w:r>
        <w:rPr>
          <w:rStyle w:val="fncaseChar"/>
          <w:rFonts w:cs="Arial"/>
          <w:i w:val="0"/>
          <w:iCs/>
        </w:rPr>
        <w:fldChar w:fldCharType="end"/>
      </w:r>
      <w:r>
        <w:rPr>
          <w:rStyle w:val="fncaseChar"/>
          <w:rFonts w:cs="Arial"/>
          <w:i w:val="0"/>
          <w:iCs/>
        </w:rPr>
        <w:t>)</w:t>
      </w:r>
      <w:r w:rsidRPr="0019789C">
        <w:t xml:space="preserve"> [32].</w:t>
      </w:r>
    </w:p>
  </w:footnote>
  <w:footnote w:id="51">
    <w:p w14:paraId="0DA57726" w14:textId="77777777" w:rsidR="0019789C" w:rsidRPr="0019789C" w:rsidRDefault="0019789C" w:rsidP="001300A7">
      <w:pPr>
        <w:pStyle w:val="fntxt"/>
      </w:pPr>
      <w:r w:rsidRPr="0019789C">
        <w:rPr>
          <w:rStyle w:val="FootnoteReference"/>
          <w:rFonts w:cs="Arial"/>
        </w:rPr>
        <w:footnoteRef/>
      </w:r>
      <w:r w:rsidRPr="0019789C">
        <w:t xml:space="preserve"> ibid [27].</w:t>
      </w:r>
    </w:p>
  </w:footnote>
  <w:footnote w:id="52">
    <w:p w14:paraId="1FD89F62" w14:textId="77777777" w:rsidR="0019789C" w:rsidRPr="0019789C" w:rsidRDefault="0019789C" w:rsidP="001300A7">
      <w:pPr>
        <w:pStyle w:val="fntxt"/>
      </w:pPr>
      <w:r w:rsidRPr="0019789C">
        <w:rPr>
          <w:rStyle w:val="FootnoteReference"/>
          <w:rFonts w:cs="Arial"/>
        </w:rPr>
        <w:footnoteRef/>
      </w:r>
      <w:r w:rsidRPr="0019789C">
        <w:t xml:space="preserve"> ibid [33].</w:t>
      </w:r>
    </w:p>
  </w:footnote>
  <w:footnote w:id="53">
    <w:p w14:paraId="54673D61" w14:textId="77777777" w:rsidR="0019789C" w:rsidRPr="0019789C" w:rsidRDefault="0019789C" w:rsidP="001300A7">
      <w:pPr>
        <w:pStyle w:val="fntxt"/>
      </w:pPr>
      <w:r w:rsidRPr="0019789C">
        <w:rPr>
          <w:rStyle w:val="FootnoteReference"/>
          <w:rFonts w:cs="Arial"/>
        </w:rPr>
        <w:footnoteRef/>
      </w:r>
      <w:r w:rsidRPr="0019789C">
        <w:t xml:space="preserve"> ibid [34].</w:t>
      </w:r>
    </w:p>
  </w:footnote>
  <w:footnote w:id="54">
    <w:p w14:paraId="17AA96B8" w14:textId="77777777" w:rsidR="0019789C" w:rsidRPr="0019789C" w:rsidRDefault="0019789C" w:rsidP="001300A7">
      <w:pPr>
        <w:pStyle w:val="fntxt"/>
      </w:pPr>
      <w:r w:rsidRPr="0019789C">
        <w:rPr>
          <w:rStyle w:val="FootnoteReference"/>
          <w:rFonts w:cs="Arial"/>
        </w:rPr>
        <w:footnoteRef/>
      </w:r>
      <w:r w:rsidRPr="0019789C">
        <w:t xml:space="preserve"> ibid [55].</w:t>
      </w:r>
    </w:p>
  </w:footnote>
  <w:footnote w:id="55">
    <w:p w14:paraId="0664DA94"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Zehlanova and Zehnal v Czech Republic</w:t>
      </w:r>
      <w:r w:rsidRPr="0019789C">
        <w:t xml:space="preserve"> App No 38621/97 (ECtHR, 14 May 2002).</w:t>
      </w:r>
    </w:p>
  </w:footnote>
  <w:footnote w:id="56">
    <w:p w14:paraId="6622090D" w14:textId="570E1F3C" w:rsidR="0019789C" w:rsidRPr="0019789C" w:rsidRDefault="0019789C" w:rsidP="001300A7">
      <w:pPr>
        <w:pStyle w:val="fntxt"/>
      </w:pPr>
      <w:r w:rsidRPr="0019789C">
        <w:rPr>
          <w:rStyle w:val="FootnoteReference"/>
          <w:rFonts w:cs="Arial"/>
        </w:rPr>
        <w:footnoteRef/>
      </w:r>
      <w:r w:rsidRPr="0019789C">
        <w:t xml:space="preserve"> Ibid</w:t>
      </w:r>
      <w:r>
        <w:t>,</w:t>
      </w:r>
      <w:r w:rsidRPr="0019789C">
        <w:t xml:space="preserve"> s ‘The Law’, sub-s ‘A. Alleged violation of Article 8 of the Convention’.</w:t>
      </w:r>
    </w:p>
  </w:footnote>
  <w:footnote w:id="57">
    <w:p w14:paraId="0055E025" w14:textId="1EE875B5" w:rsidR="0019789C" w:rsidRPr="0019789C" w:rsidRDefault="0019789C" w:rsidP="001300A7">
      <w:pPr>
        <w:pStyle w:val="fntxt"/>
        <w:rPr>
          <w:rStyle w:val="FootnoteTextChar"/>
          <w:rFonts w:cs="Arial"/>
        </w:rPr>
      </w:pPr>
      <w:r w:rsidRPr="0019789C">
        <w:rPr>
          <w:rStyle w:val="FootnoteReference"/>
          <w:rFonts w:cs="Arial"/>
        </w:rPr>
        <w:footnoteRef/>
      </w:r>
      <w:r w:rsidRPr="0019789C">
        <w:rPr>
          <w:rStyle w:val="FootnoteTextChar"/>
        </w:rPr>
        <w:t xml:space="preserve"> </w:t>
      </w:r>
      <w:r w:rsidRPr="0019789C">
        <w:rPr>
          <w:rStyle w:val="FootnoteTextChar"/>
          <w:rFonts w:cs="Arial"/>
        </w:rPr>
        <w:t xml:space="preserve">See eg </w:t>
      </w:r>
      <w:r w:rsidRPr="0019789C">
        <w:rPr>
          <w:rStyle w:val="fncaseChar"/>
          <w:rFonts w:cs="Arial"/>
        </w:rPr>
        <w:t xml:space="preserve">DG v Poland </w:t>
      </w:r>
      <w:r w:rsidRPr="0019789C">
        <w:rPr>
          <w:rStyle w:val="FootnoteTextChar"/>
          <w:rFonts w:cs="Arial"/>
        </w:rPr>
        <w:t xml:space="preserve">App no 45705/07 (ECtHR, 12 February 2013); and </w:t>
      </w:r>
      <w:r w:rsidRPr="0019789C">
        <w:rPr>
          <w:rStyle w:val="fncaseChar"/>
          <w:rFonts w:cs="Arial"/>
        </w:rPr>
        <w:t>Semikhvostov v Russia</w:t>
      </w:r>
      <w:r w:rsidRPr="0019789C">
        <w:rPr>
          <w:rStyle w:val="FootnoteTextChar"/>
          <w:rFonts w:cs="Arial"/>
        </w:rPr>
        <w:t xml:space="preserve"> App No 2689/12 (ECtHR, 6 February 2014).</w:t>
      </w:r>
    </w:p>
  </w:footnote>
  <w:footnote w:id="58">
    <w:p w14:paraId="52C754E4" w14:textId="1699BD6D"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Enver Sahin v Turkey</w:t>
      </w:r>
      <w:r w:rsidRPr="0019789C">
        <w:t xml:space="preserve"> App no 23065/12 (ECtHR, 30 January 2018).</w:t>
      </w:r>
    </w:p>
  </w:footnote>
  <w:footnote w:id="59">
    <w:p w14:paraId="42C214C9" w14:textId="0707375D" w:rsidR="0019789C" w:rsidRPr="0019789C" w:rsidRDefault="0019789C" w:rsidP="001300A7">
      <w:pPr>
        <w:pStyle w:val="fntxt"/>
      </w:pPr>
      <w:r w:rsidRPr="0019789C">
        <w:rPr>
          <w:rStyle w:val="FootnoteReference"/>
          <w:rFonts w:cs="Arial"/>
        </w:rPr>
        <w:footnoteRef/>
      </w:r>
      <w:r w:rsidRPr="0019789C">
        <w:t xml:space="preserve"> Council of Europe, ‘The European Social Charter’ </w:t>
      </w:r>
      <w:hyperlink r:id="rId9" w:history="1">
        <w:r w:rsidRPr="0019789C">
          <w:rPr>
            <w:rStyle w:val="Hyperlink"/>
            <w:rFonts w:cs="Arial"/>
          </w:rPr>
          <w:t>&lt;www.coe.int/en/web/turin-european-social-charter&gt;</w:t>
        </w:r>
      </w:hyperlink>
      <w:r w:rsidRPr="0019789C">
        <w:t xml:space="preserve"> accessed 1 December 2019.</w:t>
      </w:r>
    </w:p>
  </w:footnote>
  <w:footnote w:id="60">
    <w:p w14:paraId="2AA42D6D" w14:textId="77777777" w:rsidR="0019789C" w:rsidRPr="0019789C" w:rsidRDefault="0019789C" w:rsidP="001300A7">
      <w:pPr>
        <w:pStyle w:val="fntxt"/>
      </w:pPr>
      <w:r w:rsidRPr="0019789C">
        <w:rPr>
          <w:rStyle w:val="FootnoteReference"/>
          <w:rFonts w:cs="Arial"/>
        </w:rPr>
        <w:footnoteRef/>
      </w:r>
      <w:r w:rsidRPr="0019789C">
        <w:t xml:space="preserve"> Additional Protocol to the European Social Charter Providing for a System of Collective Complaints (1995) ETS No 158. See further R Brillat, ‘A New Protocol to the European Social Charter Providing for Collective Complaints’ (1996) 1 European Human Rights Law Review 52; D Harris, ‘The Collective Complaints Procedure’ in Council of Europe (ed), </w:t>
      </w:r>
      <w:r w:rsidRPr="0019789C">
        <w:rPr>
          <w:rStyle w:val="fnbookChar"/>
          <w:rFonts w:cs="Arial"/>
        </w:rPr>
        <w:t>The Social Charter of the 21st Century</w:t>
      </w:r>
      <w:r w:rsidRPr="0019789C">
        <w:t xml:space="preserve"> (Council of Europe Publishing 1997); and H Cullen, ‘The Collective Complaints Mechanism of the European Social Charter’ (2000) 25 European Law Review Supplement (Human Rights Survey) 18.</w:t>
      </w:r>
    </w:p>
  </w:footnote>
  <w:footnote w:id="61">
    <w:p w14:paraId="56EF9E9F" w14:textId="666FEBE5" w:rsidR="0019789C" w:rsidRPr="0019789C" w:rsidRDefault="0019789C" w:rsidP="001300A7">
      <w:pPr>
        <w:pStyle w:val="fntxt"/>
      </w:pPr>
      <w:r w:rsidRPr="0019789C">
        <w:rPr>
          <w:rStyle w:val="FootnoteReference"/>
          <w:rFonts w:cs="Arial"/>
        </w:rPr>
        <w:footnoteRef/>
      </w:r>
      <w:r w:rsidRPr="0019789C">
        <w:t xml:space="preserve"> </w:t>
      </w:r>
      <w:r w:rsidRPr="0019789C">
        <w:rPr>
          <w:rStyle w:val="FootnoteTextChar"/>
          <w:rFonts w:cs="Arial"/>
        </w:rPr>
        <w:t xml:space="preserve">Committee of Ministers, Recommendation No R (92)6 to member States on a coherent policy for people with disabilities, paras 2.6 and 2.7. </w:t>
      </w:r>
    </w:p>
  </w:footnote>
  <w:footnote w:id="62">
    <w:p w14:paraId="09D56880" w14:textId="2AD63386" w:rsidR="0019789C" w:rsidRPr="0019789C" w:rsidRDefault="0019789C" w:rsidP="001300A7">
      <w:pPr>
        <w:pStyle w:val="fntxt"/>
      </w:pPr>
      <w:r w:rsidRPr="0019789C">
        <w:rPr>
          <w:rStyle w:val="FootnoteReference"/>
          <w:rFonts w:cs="Arial"/>
        </w:rPr>
        <w:footnoteRef/>
      </w:r>
      <w:r w:rsidRPr="0019789C">
        <w:t xml:space="preserve"> Council of Europe, ‘Accessibility: principles and guidelines - Adaptation of buildings in an accessible built environment’ (March 2004) </w:t>
      </w:r>
      <w:r w:rsidRPr="0019789C">
        <w:rPr>
          <w:rStyle w:val="Hyperlink"/>
          <w:rFonts w:cs="Arial"/>
        </w:rPr>
        <w:t xml:space="preserve">&lt;https://rm.coe.int/CoERMPublicCommonSearchServices/DisplayDCTMContent?documentId=09000016805a2a24&gt; </w:t>
      </w:r>
      <w:r w:rsidRPr="0019789C">
        <w:t>accessed 5 April 2020.</w:t>
      </w:r>
    </w:p>
  </w:footnote>
  <w:footnote w:id="63">
    <w:p w14:paraId="20236F12" w14:textId="3563A7F9" w:rsidR="0019789C" w:rsidRPr="0019789C" w:rsidRDefault="0019789C" w:rsidP="001300A7">
      <w:pPr>
        <w:pStyle w:val="fntxt"/>
      </w:pPr>
      <w:r w:rsidRPr="0019789C">
        <w:rPr>
          <w:rStyle w:val="FootnoteReference"/>
          <w:rFonts w:cs="Arial"/>
        </w:rPr>
        <w:footnoteRef/>
      </w:r>
      <w:r w:rsidRPr="0019789C">
        <w:t xml:space="preserve"> Recommendation CM/Rec(2009)8 of the Committee of Ministers to member States on achieving full participation through Universal Design; see also Council of Europe Committee of Ministers (2007), Resolution ResAP(2007)3, Achieving full participation through Universal Design; Resolution ResAP(2001)1 on the introduction of the principles of universal design into the curricula of all occupations working on the built environment; Resolution ResAP(2001)3 towards full citizenship of persons with disabilities through inclusive new technologies. </w:t>
      </w:r>
    </w:p>
  </w:footnote>
  <w:footnote w:id="64">
    <w:p w14:paraId="3F6BD37C" w14:textId="77777777"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‘Ensuring Strong Equalities Legislation after the EU Exit’ HC 799 (House of Commons, 2017).</w:t>
      </w:r>
    </w:p>
  </w:footnote>
  <w:footnote w:id="65">
    <w:p w14:paraId="269D192F" w14:textId="6ADA0FAF" w:rsidR="0019789C" w:rsidRPr="0019789C" w:rsidRDefault="0019789C" w:rsidP="001300A7">
      <w:pPr>
        <w:pStyle w:val="fntxt"/>
      </w:pPr>
      <w:r w:rsidRPr="0019789C">
        <w:rPr>
          <w:rStyle w:val="FootnoteReference"/>
          <w:rFonts w:cs="Arial"/>
        </w:rPr>
        <w:footnoteRef/>
      </w:r>
      <w:r w:rsidRPr="0019789C">
        <w:t xml:space="preserve"> ibid 3.</w:t>
      </w:r>
    </w:p>
  </w:footnote>
  <w:footnote w:id="66">
    <w:p w14:paraId="73E96620" w14:textId="6485C64D" w:rsidR="0019789C" w:rsidRPr="0019789C" w:rsidRDefault="0019789C" w:rsidP="001300A7">
      <w:pPr>
        <w:pStyle w:val="fntxt"/>
      </w:pPr>
      <w:r w:rsidRPr="0019789C">
        <w:rPr>
          <w:rStyle w:val="FootnoteReference"/>
          <w:rFonts w:cs="Arial"/>
        </w:rPr>
        <w:footnoteRef/>
      </w:r>
      <w:r w:rsidRPr="0019789C">
        <w:t xml:space="preserve"> See eg, in the disability context, </w:t>
      </w:r>
      <w:r w:rsidRPr="0019789C">
        <w:rPr>
          <w:rStyle w:val="fncaseChar"/>
          <w:rFonts w:cs="Arial"/>
        </w:rPr>
        <w:t>Mathieson v Secretary of State for Work and Pensions</w:t>
      </w:r>
      <w:r w:rsidRPr="0019789C">
        <w:t xml:space="preserve"> [2015] UKSC 47 (concerning the existence of a time cut-off for disability benefits after a recipient had spent a certain length of time in hospital); </w:t>
      </w:r>
      <w:r w:rsidRPr="0019789C">
        <w:rPr>
          <w:rStyle w:val="fncaseChar"/>
          <w:rFonts w:cs="Arial"/>
        </w:rPr>
        <w:t>R (Carmichael and Rourke and others) v Secretary of State for Work and Pensions</w:t>
      </w:r>
      <w:r w:rsidRPr="0019789C">
        <w:t xml:space="preserve"> [2016] UKSC 58 (concerning the impact of rules which financially disadvantaged benefit claimants occupying houses with a spare bedroom, and challenging the impact of the bedroom tax on disabled people); and </w:t>
      </w:r>
      <w:r w:rsidRPr="0019789C">
        <w:rPr>
          <w:rStyle w:val="fncaseChar"/>
          <w:rFonts w:cs="Arial"/>
        </w:rPr>
        <w:t>MH v Secretary of State for Work and Pensions</w:t>
      </w:r>
      <w:r w:rsidRPr="0019789C">
        <w:t xml:space="preserve"> [2017] UKUT 424 (AAC) (concerning whether it was unlawful discrimination to deny Personal Independence Payment benefits to disabled people if they were an in-patient in a hospital or equivalent.).</w:t>
      </w:r>
    </w:p>
  </w:footnote>
  <w:footnote w:id="67">
    <w:p w14:paraId="5BFFD5EE" w14:textId="6DD22170" w:rsidR="0019789C" w:rsidRPr="0019789C" w:rsidRDefault="0019789C" w:rsidP="001300A7">
      <w:pPr>
        <w:pStyle w:val="fntxt"/>
      </w:pPr>
      <w:r w:rsidRPr="0019789C">
        <w:rPr>
          <w:rStyle w:val="FootnoteReference"/>
          <w:rFonts w:cs="Arial"/>
        </w:rPr>
        <w:footnoteRef/>
      </w:r>
      <w:r w:rsidRPr="0019789C">
        <w:t xml:space="preserve"> Equality Act 2006 – and see below Section B1.1(c) for more detailed discussion of the role of the Equality and Human Rights Commission.</w:t>
      </w:r>
    </w:p>
  </w:footnote>
  <w:footnote w:id="68">
    <w:p w14:paraId="00BEF27E" w14:textId="09382A1A" w:rsidR="0019789C" w:rsidRPr="0019789C" w:rsidRDefault="0019789C" w:rsidP="001300A7">
      <w:pPr>
        <w:pStyle w:val="fntxt"/>
      </w:pPr>
      <w:r w:rsidRPr="0019789C">
        <w:rPr>
          <w:rStyle w:val="FootnoteReference"/>
          <w:rFonts w:cs="Arial"/>
        </w:rPr>
        <w:footnoteRef/>
      </w:r>
      <w:r w:rsidRPr="0019789C">
        <w:t xml:space="preserve"> House of Commons Women and Equalities Committee, ‘Building for Equality: Disability and the Built Environment’ HC 631 (House of Commons, 2017) 3; see also ibid, para 28.</w:t>
      </w:r>
    </w:p>
  </w:footnote>
  <w:footnote w:id="69">
    <w:p w14:paraId="40DC3C17" w14:textId="3AE3938C" w:rsidR="0019789C" w:rsidRPr="0019789C" w:rsidRDefault="0019789C" w:rsidP="001300A7">
      <w:pPr>
        <w:pStyle w:val="fntxt"/>
      </w:pPr>
      <w:r w:rsidRPr="0019789C">
        <w:rPr>
          <w:rStyle w:val="FootnoteReference"/>
          <w:rFonts w:cs="Arial"/>
        </w:rPr>
        <w:footnoteRef/>
      </w:r>
      <w:r w:rsidRPr="0019789C">
        <w:t xml:space="preserve"> Office for Disability Issues, ‘Fulfilling Potential: Making it Happen’ (Department for Work and Pensions, 2011-2015) </w:t>
      </w:r>
      <w:r w:rsidRPr="0019789C">
        <w:rPr>
          <w:rStyle w:val="Hyperlink"/>
          <w:rFonts w:cs="Arial"/>
        </w:rPr>
        <w:t>&lt;</w:t>
      </w:r>
      <w:hyperlink r:id="rId10" w:history="1">
        <w:r w:rsidRPr="0019789C">
          <w:rPr>
            <w:rStyle w:val="Hyperlink"/>
            <w:rFonts w:cs="Arial"/>
          </w:rPr>
          <w:t>www.gov.uk/government/collections/fulfilling-potential-working-together-to-improve-the-lives-of-disabled-people</w:t>
        </w:r>
      </w:hyperlink>
      <w:r w:rsidRPr="0019789C">
        <w:rPr>
          <w:rStyle w:val="Hyperlink"/>
          <w:rFonts w:cs="Arial"/>
        </w:rPr>
        <w:t>&gt;</w:t>
      </w:r>
      <w:r w:rsidRPr="0019789C">
        <w:t xml:space="preserve"> accessed 11 April 2020.</w:t>
      </w:r>
    </w:p>
  </w:footnote>
  <w:footnote w:id="70">
    <w:p w14:paraId="5BFA0D41" w14:textId="47A03481" w:rsidR="0019789C" w:rsidRPr="0019789C" w:rsidRDefault="0019789C" w:rsidP="001300A7">
      <w:pPr>
        <w:pStyle w:val="fntxt"/>
      </w:pPr>
      <w:r w:rsidRPr="0019789C">
        <w:rPr>
          <w:rStyle w:val="FootnoteReference"/>
          <w:rFonts w:cs="Arial"/>
        </w:rPr>
        <w:footnoteRef/>
      </w:r>
      <w:r w:rsidRPr="0019789C">
        <w:t xml:space="preserve"> Disability Unit, ‘A National Strategy for Disabled People to Remove Barriers and Increase Participation’ (Disability Unit, 2 April 2020) </w:t>
      </w:r>
      <w:r w:rsidRPr="0019789C">
        <w:rPr>
          <w:rStyle w:val="Hyperlink"/>
          <w:rFonts w:cs="Arial"/>
        </w:rPr>
        <w:t>&lt;</w:t>
      </w:r>
      <w:hyperlink r:id="rId11" w:history="1">
        <w:r w:rsidRPr="0019789C">
          <w:rPr>
            <w:rStyle w:val="Hyperlink"/>
            <w:rFonts w:cs="Arial"/>
          </w:rPr>
          <w:t>www.gov.uk/government/news/a-national-strategy-for-disabled-people-to-remove-barriers-and-increase-participation</w:t>
        </w:r>
      </w:hyperlink>
      <w:r w:rsidRPr="0019789C">
        <w:rPr>
          <w:rStyle w:val="Hyperlink"/>
          <w:rFonts w:cs="Arial"/>
        </w:rPr>
        <w:t>&gt;</w:t>
      </w:r>
      <w:r w:rsidRPr="0019789C">
        <w:t xml:space="preserve"> accessed 11 April 2020.</w:t>
      </w:r>
    </w:p>
  </w:footnote>
  <w:footnote w:id="71">
    <w:p w14:paraId="6F436234" w14:textId="680B201D" w:rsidR="0019789C" w:rsidRPr="0019789C" w:rsidRDefault="0019789C" w:rsidP="001300A7">
      <w:pPr>
        <w:pStyle w:val="fntxt"/>
        <w:rPr>
          <w:rFonts w:eastAsia="Times New Roman"/>
          <w:lang w:eastAsia="en-US"/>
        </w:rPr>
      </w:pPr>
      <w:r w:rsidRPr="0019789C">
        <w:rPr>
          <w:rStyle w:val="FootnoteReference"/>
        </w:rPr>
        <w:footnoteRef/>
      </w:r>
      <w:r w:rsidRPr="0019789C">
        <w:t xml:space="preserve"> </w:t>
      </w:r>
      <w:r w:rsidRPr="0019789C">
        <w:rPr>
          <w:rFonts w:cs="Arial"/>
        </w:rPr>
        <w:t>Department for Work and Pensions,</w:t>
      </w:r>
      <w:r w:rsidRPr="0019789C">
        <w:t xml:space="preserve"> ‘Opportunity Age : Meeting the challenge of ageing in the 21st century’ (DWP, 2005)</w:t>
      </w:r>
      <w:r w:rsidRPr="0019789C">
        <w:rPr>
          <w:rFonts w:eastAsia="Times New Roman"/>
          <w:lang w:eastAsia="en-US"/>
        </w:rPr>
        <w:t xml:space="preserve"> </w:t>
      </w:r>
      <w:hyperlink r:id="rId12" w:history="1">
        <w:r w:rsidRPr="0019789C">
          <w:rPr>
            <w:rStyle w:val="Hyperlink"/>
            <w:rFonts w:cs="Arial"/>
          </w:rPr>
          <w:t>&lt;www.housingcare.org/information/detail-2905-opportunity-age-meeting-the-challenge-of-ageing-in-the-21s.aspx</w:t>
        </w:r>
      </w:hyperlink>
      <w:r w:rsidRPr="0019789C">
        <w:rPr>
          <w:rStyle w:val="Hyperlink"/>
          <w:rFonts w:cs="Arial"/>
        </w:rPr>
        <w:t>&gt;</w:t>
      </w:r>
      <w:r w:rsidRPr="0019789C">
        <w:t xml:space="preserve"> accessed 17 April 2020.</w:t>
      </w:r>
    </w:p>
  </w:footnote>
  <w:footnote w:id="72">
    <w:p w14:paraId="18108552" w14:textId="0DDBDDEB" w:rsidR="0019789C" w:rsidRPr="0019789C" w:rsidRDefault="0019789C" w:rsidP="001300A7">
      <w:pPr>
        <w:pStyle w:val="fntxt"/>
      </w:pPr>
      <w:r w:rsidRPr="0019789C">
        <w:rPr>
          <w:rStyle w:val="FootnoteReference"/>
          <w:rFonts w:cs="Arial"/>
        </w:rPr>
        <w:footnoteRef/>
      </w:r>
      <w:r w:rsidRPr="0019789C">
        <w:t xml:space="preserve"> Government Office for Science, ‘Foresight Report: Future of an Ageing Population’ (7 July 2016, last updated 11 July 2019) </w:t>
      </w:r>
      <w:r w:rsidRPr="0019789C">
        <w:rPr>
          <w:rStyle w:val="Hyperlink"/>
        </w:rPr>
        <w:t>&lt;</w:t>
      </w:r>
      <w:hyperlink r:id="rId13" w:history="1">
        <w:r w:rsidRPr="0019789C">
          <w:rPr>
            <w:rStyle w:val="Hyperlink"/>
            <w:rFonts w:cs="Arial"/>
          </w:rPr>
          <w:t>www.gov.uk/government/publications/future-of-an-ageing-population</w:t>
        </w:r>
      </w:hyperlink>
      <w:r w:rsidRPr="0019789C">
        <w:rPr>
          <w:rStyle w:val="Hyperlink"/>
        </w:rPr>
        <w:t>&gt;</w:t>
      </w:r>
      <w:r w:rsidRPr="0019789C">
        <w:t xml:space="preserve"> accessed 12 April 2020.</w:t>
      </w:r>
    </w:p>
  </w:footnote>
  <w:footnote w:id="73">
    <w:p w14:paraId="68DFED88" w14:textId="46DD2AA1" w:rsidR="0019789C" w:rsidRPr="0019789C" w:rsidRDefault="0019789C" w:rsidP="001300A7">
      <w:pPr>
        <w:pStyle w:val="fntxt"/>
      </w:pPr>
      <w:r w:rsidRPr="0019789C">
        <w:rPr>
          <w:rStyle w:val="FootnoteReference"/>
        </w:rPr>
        <w:footnoteRef/>
      </w:r>
      <w:r w:rsidRPr="0019789C">
        <w:t xml:space="preserve"> </w:t>
      </w:r>
      <w:r w:rsidRPr="0019789C">
        <w:rPr>
          <w:rFonts w:cs="Arial"/>
        </w:rPr>
        <w:t>Government Office for Science,</w:t>
      </w:r>
      <w:r w:rsidRPr="0019789C">
        <w:t xml:space="preserve"> ‘Future of an Ageing – Collection’ (last updated 22 June 2017) </w:t>
      </w:r>
      <w:r w:rsidRPr="0019789C">
        <w:rPr>
          <w:rStyle w:val="Hyperlink"/>
        </w:rPr>
        <w:t>&lt;</w:t>
      </w:r>
      <w:hyperlink r:id="rId14" w:history="1">
        <w:r w:rsidRPr="0019789C">
          <w:rPr>
            <w:rStyle w:val="Hyperlink"/>
            <w:rFonts w:cs="Arial"/>
          </w:rPr>
          <w:t>www.gov.uk/government/collections/future-of-ageing</w:t>
        </w:r>
      </w:hyperlink>
      <w:r w:rsidRPr="0019789C">
        <w:rPr>
          <w:rStyle w:val="Hyperlink"/>
        </w:rPr>
        <w:t>&gt;</w:t>
      </w:r>
      <w:r w:rsidRPr="0019789C">
        <w:t xml:space="preserve"> accessed 12 April 2020.</w:t>
      </w:r>
    </w:p>
  </w:footnote>
  <w:footnote w:id="74">
    <w:p w14:paraId="3262DBE9" w14:textId="2DB94D6A"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Department for Business, Energy and Industrial Strategy,</w:t>
      </w:r>
      <w:r w:rsidRPr="0019789C">
        <w:t xml:space="preserve"> ‘The UK’s Industrial Strategy 2019’ </w:t>
      </w:r>
      <w:r w:rsidRPr="0019789C">
        <w:rPr>
          <w:rStyle w:val="Hyperlink"/>
        </w:rPr>
        <w:t>&lt;</w:t>
      </w:r>
      <w:hyperlink r:id="rId15" w:history="1">
        <w:r w:rsidRPr="0019789C">
          <w:rPr>
            <w:rStyle w:val="Hyperlink"/>
            <w:rFonts w:cstheme="minorBidi"/>
          </w:rPr>
          <w:t>www.gov.uk/government/topical-events/the-uks-industrial-strategy</w:t>
        </w:r>
      </w:hyperlink>
      <w:r w:rsidRPr="0019789C">
        <w:rPr>
          <w:rStyle w:val="Hyperlink"/>
        </w:rPr>
        <w:t>&gt;</w:t>
      </w:r>
      <w:r w:rsidRPr="0019789C">
        <w:t xml:space="preserve"> accessed 12 April 2020.</w:t>
      </w:r>
    </w:p>
  </w:footnote>
  <w:footnote w:id="75">
    <w:p w14:paraId="54341218" w14:textId="38DB96B4" w:rsidR="0019789C" w:rsidRPr="0019789C" w:rsidRDefault="0019789C" w:rsidP="001300A7">
      <w:pPr>
        <w:pStyle w:val="fntxt"/>
      </w:pPr>
      <w:r w:rsidRPr="0019789C">
        <w:rPr>
          <w:rStyle w:val="FootnoteReference"/>
          <w:rFonts w:cs="Arial"/>
        </w:rPr>
        <w:footnoteRef/>
      </w:r>
      <w:r w:rsidRPr="0019789C">
        <w:t xml:space="preserve"> Department for Business, Energy and Industrial Strategy, ‘Industrial Strategy: Building a Britain fit for the Future’ (Stationery Office, 2017) </w:t>
      </w:r>
      <w:hyperlink r:id="rId16" w:history="1">
        <w:r w:rsidRPr="0019789C">
          <w:rPr>
            <w:rStyle w:val="Hyperlink"/>
            <w:rFonts w:cs="Arial"/>
          </w:rPr>
          <w:t>&lt;www.gov.uk/government/publications/industrial-strategy-building-a-britain-fit-for-the-future</w:t>
        </w:r>
      </w:hyperlink>
      <w:r w:rsidRPr="0019789C">
        <w:rPr>
          <w:rStyle w:val="Hyperlink"/>
          <w:rFonts w:cs="Arial"/>
        </w:rPr>
        <w:t>&gt;</w:t>
      </w:r>
      <w:r w:rsidRPr="0019789C">
        <w:t xml:space="preserve"> accessed 12 April 2020.</w:t>
      </w:r>
    </w:p>
  </w:footnote>
  <w:footnote w:id="76">
    <w:p w14:paraId="323CD3A4" w14:textId="77777777" w:rsidR="0019789C" w:rsidRPr="0019789C" w:rsidRDefault="0019789C" w:rsidP="001300A7">
      <w:pPr>
        <w:pStyle w:val="fntxt"/>
      </w:pPr>
      <w:r w:rsidRPr="0019789C">
        <w:rPr>
          <w:rStyle w:val="FootnoteReference"/>
          <w:rFonts w:cs="Arial"/>
        </w:rPr>
        <w:footnoteRef/>
      </w:r>
      <w:r w:rsidRPr="0019789C">
        <w:t xml:space="preserve"> Department for Transport, ‘The Inclusive Transport Strategy: Achieving Equal Access for Disabled People’ (DFT, July 2018).</w:t>
      </w:r>
    </w:p>
  </w:footnote>
  <w:footnote w:id="77">
    <w:p w14:paraId="62900654" w14:textId="5DA9C8FF" w:rsidR="0019789C" w:rsidRPr="0019789C" w:rsidRDefault="0019789C" w:rsidP="001300A7">
      <w:pPr>
        <w:pStyle w:val="fntxt"/>
      </w:pPr>
      <w:r w:rsidRPr="0019789C">
        <w:rPr>
          <w:rStyle w:val="FootnoteReference"/>
          <w:rFonts w:cs="Arial"/>
        </w:rPr>
        <w:footnoteRef/>
      </w:r>
      <w:r w:rsidRPr="0019789C">
        <w:t xml:space="preserve"> ibid, para 1.1.</w:t>
      </w:r>
    </w:p>
  </w:footnote>
  <w:footnote w:id="78">
    <w:p w14:paraId="4A4FB6DB" w14:textId="2B91EE0A" w:rsidR="0019789C" w:rsidRPr="0019789C" w:rsidRDefault="0019789C" w:rsidP="001300A7">
      <w:pPr>
        <w:pStyle w:val="fntxt"/>
      </w:pPr>
      <w:r w:rsidRPr="0019789C">
        <w:rPr>
          <w:rStyle w:val="FootnoteReference"/>
          <w:rFonts w:cs="Arial"/>
        </w:rPr>
        <w:footnoteRef/>
      </w:r>
      <w:r w:rsidRPr="0019789C">
        <w:t xml:space="preserve"> ibid.</w:t>
      </w:r>
    </w:p>
  </w:footnote>
  <w:footnote w:id="79">
    <w:p w14:paraId="6F26D070" w14:textId="147EEA83" w:rsidR="0019789C" w:rsidRPr="0019789C" w:rsidRDefault="0019789C" w:rsidP="001300A7">
      <w:pPr>
        <w:pStyle w:val="fntxt"/>
      </w:pPr>
      <w:r w:rsidRPr="0019789C">
        <w:rPr>
          <w:rStyle w:val="FootnoteReference"/>
          <w:rFonts w:cs="Arial"/>
        </w:rPr>
        <w:footnoteRef/>
      </w:r>
      <w:r w:rsidRPr="0019789C">
        <w:t xml:space="preserve"> ibid, paras 4.26-4.28.</w:t>
      </w:r>
    </w:p>
  </w:footnote>
  <w:footnote w:id="80">
    <w:p w14:paraId="3F175392" w14:textId="240A6AE2" w:rsidR="0019789C" w:rsidRPr="0019789C" w:rsidRDefault="0019789C" w:rsidP="001300A7">
      <w:pPr>
        <w:pStyle w:val="fntxt"/>
      </w:pPr>
      <w:r w:rsidRPr="0019789C">
        <w:rPr>
          <w:rStyle w:val="FootnoteReference"/>
          <w:rFonts w:cs="Arial"/>
        </w:rPr>
        <w:footnoteRef/>
      </w:r>
      <w:r w:rsidRPr="0019789C">
        <w:t xml:space="preserve"> ibid, para 8.16.</w:t>
      </w:r>
    </w:p>
  </w:footnote>
  <w:footnote w:id="81">
    <w:p w14:paraId="7CEDDDAE" w14:textId="3EB3226A" w:rsidR="0019789C" w:rsidRPr="0019789C" w:rsidRDefault="0019789C" w:rsidP="001300A7">
      <w:pPr>
        <w:pStyle w:val="fntxt"/>
      </w:pPr>
      <w:r w:rsidRPr="0019789C">
        <w:rPr>
          <w:rStyle w:val="FootnoteReference"/>
          <w:rFonts w:cs="Arial"/>
        </w:rPr>
        <w:footnoteRef/>
      </w:r>
      <w:r w:rsidRPr="0019789C">
        <w:t xml:space="preserve"> Department for Transport, ‘Guidance: Inclusive Mobility’ (DFT, 15 December 2005).</w:t>
      </w:r>
    </w:p>
  </w:footnote>
  <w:footnote w:id="82">
    <w:p w14:paraId="4C5E4DA7" w14:textId="1DC09BA6" w:rsidR="0019789C" w:rsidRPr="0019789C" w:rsidRDefault="0019789C" w:rsidP="001300A7">
      <w:pPr>
        <w:pStyle w:val="fntxt"/>
      </w:pPr>
      <w:r w:rsidRPr="0019789C">
        <w:rPr>
          <w:rStyle w:val="FootnoteReference"/>
          <w:rFonts w:cs="Arial"/>
        </w:rPr>
        <w:footnoteRef/>
      </w:r>
      <w:r w:rsidRPr="0019789C">
        <w:t xml:space="preserve"> Department for Transport, ‘Using Tactile Paving Surfaces: How to Install and Use Tactile Paving Surfaces to help Visually-Impaired Pedestrians Recognise Potential Hazards and Changes to the Road’ (DFT, 5 June 2007).</w:t>
      </w:r>
    </w:p>
  </w:footnote>
  <w:footnote w:id="83">
    <w:p w14:paraId="6E1DBDBA" w14:textId="0878183B" w:rsidR="0019789C" w:rsidRPr="0019789C" w:rsidRDefault="0019789C" w:rsidP="001300A7">
      <w:pPr>
        <w:pStyle w:val="fntxt"/>
        <w:rPr>
          <w:lang w:val="en-US"/>
        </w:rPr>
      </w:pPr>
      <w:r w:rsidRPr="0019789C">
        <w:rPr>
          <w:rStyle w:val="FootnoteReference"/>
        </w:rPr>
        <w:footnoteRef/>
      </w:r>
      <w:r w:rsidRPr="0019789C">
        <w:t xml:space="preserve"> Department for Transport, ‘</w:t>
      </w:r>
      <w:r w:rsidRPr="0019789C">
        <w:rPr>
          <w:rStyle w:val="FootnoteTextChar"/>
        </w:rPr>
        <w:t xml:space="preserve">Inclusive mobility and tactile paving guidance review’ (DFT, July 2018). </w:t>
      </w:r>
    </w:p>
  </w:footnote>
  <w:footnote w:id="84">
    <w:p w14:paraId="58D5D9CE" w14:textId="0EF62B6E" w:rsidR="0019789C" w:rsidRPr="0019789C" w:rsidRDefault="0019789C" w:rsidP="001300A7">
      <w:pPr>
        <w:pStyle w:val="fntxt"/>
      </w:pPr>
      <w:r w:rsidRPr="0019789C">
        <w:rPr>
          <w:rStyle w:val="FootnoteReference"/>
          <w:rFonts w:cs="Arial"/>
        </w:rPr>
        <w:footnoteRef/>
      </w:r>
      <w:r w:rsidRPr="0019789C">
        <w:t xml:space="preserve"> M </w:t>
      </w:r>
      <w:r w:rsidRPr="0019789C">
        <w:rPr>
          <w:rFonts w:cs="Arial"/>
        </w:rPr>
        <w:t>Jones and others</w:t>
      </w:r>
      <w:r w:rsidRPr="0019789C">
        <w:t>, ‘Accessible Public Realm: Updating Guidance and Further Research’ (Department for Transport, 25 February 2020).</w:t>
      </w:r>
    </w:p>
  </w:footnote>
  <w:footnote w:id="85">
    <w:p w14:paraId="2AA34BD5" w14:textId="77777777" w:rsidR="0019789C" w:rsidRPr="0019789C" w:rsidRDefault="0019789C" w:rsidP="001300A7">
      <w:pPr>
        <w:pStyle w:val="fntxt"/>
      </w:pPr>
      <w:r w:rsidRPr="0019789C">
        <w:rPr>
          <w:rStyle w:val="FootnoteReference"/>
          <w:rFonts w:cs="Arial"/>
        </w:rPr>
        <w:footnoteRef/>
      </w:r>
      <w:r w:rsidRPr="0019789C">
        <w:t xml:space="preserve"> ibid 8; see also J Dales and A Priestley, ‘</w:t>
      </w:r>
      <w:r w:rsidRPr="0019789C">
        <w:rPr>
          <w:rFonts w:eastAsia="Times New Roman"/>
        </w:rPr>
        <w:t>Accessible Public Realm: Updating Guidance and Further Research - Technical Annex 1: Tactile paving (RQ1 &amp; 4)’ (TRL Limited, Client Project Report CPR2714 – prepared for the Department for Transport, January 2020).</w:t>
      </w:r>
    </w:p>
  </w:footnote>
  <w:footnote w:id="86">
    <w:p w14:paraId="55A106EA" w14:textId="77777777" w:rsidR="0019789C" w:rsidRPr="0019789C" w:rsidRDefault="0019789C" w:rsidP="001300A7">
      <w:pPr>
        <w:pStyle w:val="fntxt"/>
      </w:pPr>
      <w:r w:rsidRPr="0019789C">
        <w:rPr>
          <w:rStyle w:val="FootnoteReference"/>
          <w:rFonts w:cs="Arial"/>
        </w:rPr>
        <w:footnoteRef/>
      </w:r>
      <w:r w:rsidRPr="0019789C">
        <w:t xml:space="preserve"> ibid 14.</w:t>
      </w:r>
    </w:p>
  </w:footnote>
  <w:footnote w:id="87">
    <w:p w14:paraId="310D18E8"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88">
    <w:p w14:paraId="546C1B59" w14:textId="77777777" w:rsidR="0019789C" w:rsidRPr="0019789C" w:rsidRDefault="0019789C" w:rsidP="001300A7">
      <w:pPr>
        <w:pStyle w:val="fntxt"/>
      </w:pPr>
      <w:r w:rsidRPr="0019789C">
        <w:rPr>
          <w:rStyle w:val="FootnoteReference"/>
          <w:rFonts w:cs="Arial"/>
        </w:rPr>
        <w:footnoteRef/>
      </w:r>
      <w:r w:rsidRPr="0019789C">
        <w:t xml:space="preserve"> ibid 18.</w:t>
      </w:r>
    </w:p>
  </w:footnote>
  <w:footnote w:id="89">
    <w:p w14:paraId="5261F714"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90">
    <w:p w14:paraId="2BF5B9B2" w14:textId="5AFD98C4" w:rsidR="0019789C" w:rsidRPr="0019789C" w:rsidRDefault="0019789C" w:rsidP="001300A7">
      <w:pPr>
        <w:pStyle w:val="fntxt"/>
        <w:rPr>
          <w:rFonts w:eastAsia="Times New Roman"/>
        </w:rPr>
      </w:pPr>
      <w:r w:rsidRPr="0019789C">
        <w:rPr>
          <w:rStyle w:val="FootnoteReference"/>
          <w:rFonts w:cs="Arial"/>
        </w:rPr>
        <w:footnoteRef/>
      </w:r>
      <w:r w:rsidRPr="0019789C">
        <w:t xml:space="preserve"> ibid 25; see also R </w:t>
      </w:r>
      <w:r w:rsidRPr="0019789C">
        <w:rPr>
          <w:rFonts w:eastAsia="Times New Roman"/>
        </w:rPr>
        <w:t>Posner and R Sharp, ‘Accessible Public Realm: Updating Guidance and Further Research - Technical Annex 4: Inclusion of mental health (RQ3)’ (TRL Limited, Client Project Report CPR2714 – prepared for the Department for Transport, January 2020).</w:t>
      </w:r>
    </w:p>
  </w:footnote>
  <w:footnote w:id="91">
    <w:p w14:paraId="0CE1A09B" w14:textId="77777777" w:rsidR="0019789C" w:rsidRPr="0019789C" w:rsidRDefault="0019789C" w:rsidP="001300A7">
      <w:pPr>
        <w:pStyle w:val="fntxt"/>
      </w:pPr>
      <w:r w:rsidRPr="0019789C">
        <w:rPr>
          <w:rStyle w:val="FootnoteReference"/>
          <w:rFonts w:cs="Arial"/>
        </w:rPr>
        <w:footnoteRef/>
      </w:r>
      <w:r w:rsidRPr="0019789C">
        <w:t xml:space="preserve"> ibid 26.</w:t>
      </w:r>
    </w:p>
  </w:footnote>
  <w:footnote w:id="92">
    <w:p w14:paraId="46DB23F7" w14:textId="77777777" w:rsidR="0019789C" w:rsidRPr="0019789C" w:rsidRDefault="0019789C" w:rsidP="001300A7">
      <w:pPr>
        <w:pStyle w:val="fntxt"/>
      </w:pPr>
      <w:r w:rsidRPr="0019789C">
        <w:rPr>
          <w:rStyle w:val="FootnoteReference"/>
          <w:rFonts w:cs="Arial"/>
        </w:rPr>
        <w:footnoteRef/>
      </w:r>
      <w:r w:rsidRPr="0019789C">
        <w:t xml:space="preserve"> ibid 26-27.</w:t>
      </w:r>
    </w:p>
  </w:footnote>
  <w:footnote w:id="93">
    <w:p w14:paraId="1F11A162" w14:textId="5B313DE6" w:rsidR="0019789C" w:rsidRPr="0019789C" w:rsidRDefault="0019789C" w:rsidP="001300A7">
      <w:pPr>
        <w:pStyle w:val="fntxt"/>
      </w:pPr>
      <w:r w:rsidRPr="0019789C">
        <w:rPr>
          <w:rStyle w:val="FootnoteReference"/>
          <w:rFonts w:cs="Arial"/>
        </w:rPr>
        <w:footnoteRef/>
      </w:r>
      <w:r w:rsidRPr="0019789C">
        <w:t xml:space="preserve"> Department for Transport, ‘Manual for Streets’ (29 March 2007) &lt;</w:t>
      </w:r>
      <w:hyperlink r:id="rId17" w:history="1">
        <w:r w:rsidRPr="0019789C">
          <w:rPr>
            <w:rStyle w:val="Hyperlink"/>
            <w:rFonts w:cstheme="minorBidi"/>
          </w:rPr>
          <w:t>www.gov.uk/government/publications/manual-for-streets</w:t>
        </w:r>
      </w:hyperlink>
      <w:r w:rsidRPr="0019789C">
        <w:t>&gt; accessed 11 November 2019.</w:t>
      </w:r>
    </w:p>
  </w:footnote>
  <w:footnote w:id="94">
    <w:p w14:paraId="0F9F4BF4" w14:textId="0B20777A" w:rsidR="0019789C" w:rsidRPr="0019789C" w:rsidRDefault="0019789C" w:rsidP="001300A7">
      <w:pPr>
        <w:pStyle w:val="fntxt"/>
      </w:pPr>
      <w:r w:rsidRPr="0019789C">
        <w:rPr>
          <w:rStyle w:val="FootnoteReference"/>
          <w:rFonts w:cs="Arial"/>
        </w:rPr>
        <w:footnoteRef/>
      </w:r>
      <w:r w:rsidRPr="0019789C">
        <w:t xml:space="preserve"> Department for Transport, ‘Manual for Streets 2’ (29 September 2010) &lt;</w:t>
      </w:r>
      <w:hyperlink r:id="rId18" w:history="1">
        <w:r w:rsidRPr="0019789C">
          <w:rPr>
            <w:rStyle w:val="Hyperlink"/>
            <w:rFonts w:cstheme="minorBidi"/>
          </w:rPr>
          <w:t>www.gov.uk/government/publications/manual-for-streets-2</w:t>
        </w:r>
      </w:hyperlink>
      <w:r w:rsidRPr="0019789C">
        <w:t>&gt; accessed 11 November 2019.</w:t>
      </w:r>
    </w:p>
  </w:footnote>
  <w:footnote w:id="95">
    <w:p w14:paraId="6D318D4E" w14:textId="7751BDC5" w:rsidR="0019789C" w:rsidRPr="0019789C" w:rsidRDefault="0019789C" w:rsidP="001300A7">
      <w:pPr>
        <w:pStyle w:val="fntxt"/>
      </w:pPr>
      <w:r w:rsidRPr="0019789C">
        <w:rPr>
          <w:rStyle w:val="FootnoteReference"/>
          <w:rFonts w:cs="Arial"/>
        </w:rPr>
        <w:footnoteRef/>
      </w:r>
      <w:r w:rsidRPr="0019789C">
        <w:t xml:space="preserve"> Department for Transport, ‘Manual for Streets</w:t>
      </w:r>
      <w:r>
        <w:t xml:space="preserve">’ </w:t>
      </w:r>
      <w:r w:rsidRPr="0019789C">
        <w:t xml:space="preserve">(n </w:t>
      </w:r>
      <w:r w:rsidRPr="0019789C">
        <w:fldChar w:fldCharType="begin"/>
      </w:r>
      <w:r w:rsidRPr="0019789C">
        <w:instrText xml:space="preserve"> NOTEREF _Ref39594734 \h  \* MERGEFORMAT </w:instrText>
      </w:r>
      <w:r w:rsidRPr="0019789C">
        <w:fldChar w:fldCharType="separate"/>
      </w:r>
      <w:r w:rsidR="00AD46EC">
        <w:t>93</w:t>
      </w:r>
      <w:r w:rsidRPr="0019789C">
        <w:fldChar w:fldCharType="end"/>
      </w:r>
      <w:r w:rsidRPr="0019789C">
        <w:t>) ch 3.</w:t>
      </w:r>
    </w:p>
  </w:footnote>
  <w:footnote w:id="96">
    <w:p w14:paraId="2106ECFD" w14:textId="55671DFF" w:rsidR="0019789C" w:rsidRPr="0019789C" w:rsidRDefault="0019789C" w:rsidP="001300A7">
      <w:pPr>
        <w:pStyle w:val="fntxt"/>
      </w:pPr>
      <w:r w:rsidRPr="0019789C">
        <w:rPr>
          <w:rStyle w:val="FootnoteReference"/>
          <w:rFonts w:cs="Arial"/>
        </w:rPr>
        <w:footnoteRef/>
      </w:r>
      <w:r w:rsidRPr="0019789C">
        <w:t xml:space="preserve"> Department for Transport, ‘The Inclusive Transport Strategy’ (n </w:t>
      </w:r>
      <w:r w:rsidRPr="0019789C">
        <w:fldChar w:fldCharType="begin"/>
      </w:r>
      <w:r w:rsidRPr="0019789C">
        <w:instrText xml:space="preserve"> NOTEREF _Ref39668283 \h  \* MERGEFORMAT </w:instrText>
      </w:r>
      <w:r w:rsidRPr="0019789C">
        <w:fldChar w:fldCharType="separate"/>
      </w:r>
      <w:r w:rsidR="00AD46EC">
        <w:t>76</w:t>
      </w:r>
      <w:r w:rsidRPr="0019789C">
        <w:fldChar w:fldCharType="end"/>
      </w:r>
      <w:r w:rsidRPr="0019789C">
        <w:t>) para 8.13.</w:t>
      </w:r>
    </w:p>
  </w:footnote>
  <w:footnote w:id="97">
    <w:p w14:paraId="21BE5EEF" w14:textId="269FA9CF"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Department for Transport,</w:t>
      </w:r>
      <w:r w:rsidRPr="0019789C">
        <w:t xml:space="preserve"> Traffic Management and Streetscape, Local Transport Note 1/08 (2008).</w:t>
      </w:r>
    </w:p>
  </w:footnote>
  <w:footnote w:id="98">
    <w:p w14:paraId="1F4CB312" w14:textId="0658D8A4"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Department for Transport,</w:t>
      </w:r>
      <w:r w:rsidRPr="0019789C">
        <w:t xml:space="preserve"> How to Develop Safe Streets for Mixed Use, Local Transport Note 3/08 (2008).</w:t>
      </w:r>
    </w:p>
  </w:footnote>
  <w:footnote w:id="99">
    <w:p w14:paraId="5C7E6E83" w14:textId="525685AC"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Department for Transport,</w:t>
      </w:r>
      <w:r w:rsidRPr="0019789C">
        <w:t xml:space="preserve"> Using Railings to Make Roads Safer for Pedestrians, Local Transport Note 2/09 (2009).</w:t>
      </w:r>
    </w:p>
  </w:footnote>
  <w:footnote w:id="100">
    <w:p w14:paraId="79628189" w14:textId="695C87A4"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Department for Transport</w:t>
      </w:r>
      <w:r w:rsidRPr="0019789C">
        <w:t>, Shared Use Routes for Pedestrians and Cyclists, Local Transport Note 1/12, (2012)</w:t>
      </w:r>
    </w:p>
  </w:footnote>
  <w:footnote w:id="101">
    <w:p w14:paraId="3612C0CF" w14:textId="2EEE12F1"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Department for Transport,</w:t>
      </w:r>
      <w:r w:rsidRPr="0019789C">
        <w:t xml:space="preserve"> Local transport note: Shared space (1/11) (15 December 2011) </w:t>
      </w:r>
      <w:r w:rsidRPr="0019789C">
        <w:rPr>
          <w:rStyle w:val="Hyperlink"/>
        </w:rPr>
        <w:t>&lt;</w:t>
      </w:r>
      <w:hyperlink r:id="rId19" w:history="1">
        <w:r w:rsidRPr="0019789C">
          <w:rPr>
            <w:rStyle w:val="Hyperlink"/>
            <w:rFonts w:cs="Arial"/>
          </w:rPr>
          <w:t>www.gov.uk/government/publications/local-transport-note-ltn-1-11-shared-space&gt;</w:t>
        </w:r>
      </w:hyperlink>
      <w:r w:rsidRPr="0019789C">
        <w:t>.</w:t>
      </w:r>
    </w:p>
  </w:footnote>
  <w:footnote w:id="102">
    <w:p w14:paraId="7DCDB490" w14:textId="16087489" w:rsidR="0019789C" w:rsidRPr="0019789C" w:rsidRDefault="0019789C" w:rsidP="001300A7">
      <w:pPr>
        <w:pStyle w:val="fntxt"/>
      </w:pPr>
      <w:r w:rsidRPr="0019789C">
        <w:rPr>
          <w:rStyle w:val="FootnoteReference"/>
          <w:rFonts w:cs="Arial"/>
        </w:rPr>
        <w:footnoteRef/>
      </w:r>
      <w:r w:rsidRPr="0019789C">
        <w:t xml:space="preserve"> See also Chartered Institute for Highways and Transport, ‘Creating better streets: Inclusive and accessible places - Reviewing shared space’ (2018). </w:t>
      </w:r>
    </w:p>
  </w:footnote>
  <w:footnote w:id="103">
    <w:p w14:paraId="5794EACD" w14:textId="46BDB96E" w:rsidR="0019789C" w:rsidRPr="0019789C" w:rsidRDefault="0019789C" w:rsidP="001300A7">
      <w:pPr>
        <w:pStyle w:val="fntxt"/>
        <w:rPr>
          <w:lang w:val="en-US"/>
        </w:rPr>
      </w:pPr>
      <w:r w:rsidRPr="0019789C">
        <w:rPr>
          <w:rStyle w:val="FootnoteReference"/>
          <w:rFonts w:cs="Arial"/>
        </w:rPr>
        <w:footnoteRef/>
      </w:r>
      <w:r w:rsidRPr="0019789C">
        <w:t xml:space="preserve"> Lord Holmes of Richmond MBE, ‘Accidents by Design: The Holmes Report on “shared space” in the United Kingdom’ (July 2015) </w:t>
      </w:r>
      <w:hyperlink r:id="rId20" w:history="1">
        <w:r w:rsidRPr="0019789C">
          <w:rPr>
            <w:rStyle w:val="Hyperlink"/>
            <w:rFonts w:cs="Arial"/>
          </w:rPr>
          <w:t>&lt;http://chrisholmes.co.uk/wp-content/uploads/2015/07/Holmes-Report-on-Shared-Space-.pdf&gt;</w:t>
        </w:r>
      </w:hyperlink>
      <w:r w:rsidRPr="0019789C">
        <w:rPr>
          <w:rStyle w:val="Hyperlink"/>
          <w:rFonts w:cs="Arial"/>
        </w:rPr>
        <w:t xml:space="preserve"> </w:t>
      </w:r>
      <w:r w:rsidRPr="0019789C">
        <w:t xml:space="preserve">accessed 2 November 2019. See also C Coleman, ‘Halt city “shared spaces”, says report by Lord Holmes’ (BBC, 3 July 2015) </w:t>
      </w:r>
      <w:hyperlink r:id="rId21" w:history="1">
        <w:r w:rsidRPr="0019789C">
          <w:rPr>
            <w:rStyle w:val="Hyperlink"/>
            <w:rFonts w:cs="Arial"/>
          </w:rPr>
          <w:t>&lt;www.bbc.co.uk/news/uk-33303031&gt;</w:t>
        </w:r>
      </w:hyperlink>
      <w:r w:rsidRPr="0019789C">
        <w:rPr>
          <w:rStyle w:val="Hyperlink"/>
          <w:rFonts w:cs="Arial"/>
        </w:rPr>
        <w:t>.</w:t>
      </w:r>
    </w:p>
  </w:footnote>
  <w:footnote w:id="104">
    <w:p w14:paraId="3F6B6E86" w14:textId="6741A6BC" w:rsidR="0019789C" w:rsidRPr="0019789C" w:rsidRDefault="0019789C" w:rsidP="001300A7">
      <w:pPr>
        <w:pStyle w:val="fntxt"/>
      </w:pPr>
      <w:r w:rsidRPr="0019789C">
        <w:rPr>
          <w:rStyle w:val="FootnoteReference"/>
          <w:rFonts w:cs="Arial"/>
        </w:rPr>
        <w:footnoteRef/>
      </w:r>
      <w:r w:rsidRPr="0019789C">
        <w:t xml:space="preserve"> House of Lords Select Committee on the Equality Act 2010 and Disability, ‘The Equality Act 2010: The Impact on Disabled People’ HL Paper 17 (2015-2016).</w:t>
      </w:r>
    </w:p>
  </w:footnote>
  <w:footnote w:id="105">
    <w:p w14:paraId="177BE113" w14:textId="5C08BCB3" w:rsidR="0019789C" w:rsidRPr="0019789C" w:rsidRDefault="0019789C" w:rsidP="001300A7">
      <w:pPr>
        <w:pStyle w:val="fntxt"/>
        <w:rPr>
          <w:lang w:val="en-US"/>
        </w:rPr>
      </w:pPr>
      <w:r w:rsidRPr="0019789C">
        <w:rPr>
          <w:rStyle w:val="FootnoteReference"/>
          <w:rFonts w:cs="Arial"/>
        </w:rPr>
        <w:footnoteRef/>
      </w:r>
      <w:r w:rsidRPr="0019789C">
        <w:t xml:space="preserve"> ibid, para 323.</w:t>
      </w:r>
    </w:p>
  </w:footnote>
  <w:footnote w:id="106">
    <w:p w14:paraId="067659F1" w14:textId="14B179C1" w:rsidR="0019789C" w:rsidRPr="0019789C" w:rsidRDefault="0019789C" w:rsidP="001300A7">
      <w:pPr>
        <w:pStyle w:val="fntxt"/>
        <w:rPr>
          <w:lang w:val="en-US"/>
        </w:rPr>
      </w:pPr>
      <w:r w:rsidRPr="0019789C">
        <w:rPr>
          <w:rStyle w:val="FootnoteReference"/>
          <w:rFonts w:cs="Arial"/>
        </w:rPr>
        <w:footnoteRef/>
      </w:r>
      <w:r w:rsidRPr="0019789C">
        <w:t xml:space="preserve"> ibid, para 323.</w:t>
      </w:r>
    </w:p>
  </w:footnote>
  <w:footnote w:id="107">
    <w:p w14:paraId="05652355" w14:textId="2F8405A1" w:rsidR="0019789C" w:rsidRPr="0019789C" w:rsidRDefault="0019789C" w:rsidP="001300A7">
      <w:pPr>
        <w:pStyle w:val="fntxt"/>
        <w:rPr>
          <w:lang w:val="en-US"/>
        </w:rPr>
      </w:pPr>
      <w:r w:rsidRPr="0019789C">
        <w:rPr>
          <w:rStyle w:val="FootnoteReference"/>
          <w:rFonts w:cs="Arial"/>
        </w:rPr>
        <w:footnoteRef/>
      </w:r>
      <w:r w:rsidRPr="0019789C">
        <w:t xml:space="preserve"> ibid, para 324.</w:t>
      </w:r>
    </w:p>
  </w:footnote>
  <w:footnote w:id="108">
    <w:p w14:paraId="140930E0" w14:textId="5906B0B1" w:rsidR="0019789C" w:rsidRPr="0019789C" w:rsidRDefault="0019789C" w:rsidP="001300A7">
      <w:pPr>
        <w:pStyle w:val="fntxt"/>
      </w:pPr>
      <w:r w:rsidRPr="0019789C">
        <w:rPr>
          <w:rStyle w:val="FootnoteReference"/>
          <w:rFonts w:cs="Arial"/>
        </w:rPr>
        <w:footnoteRef/>
      </w:r>
      <w:r w:rsidRPr="0019789C">
        <w:t xml:space="preserve"> Minister for Women and Equalities, ‘Government Response to the House of Lords Select Committee Report on The Equality Act 2010: The impact on disabled people’, Cm 9283 (July 2016) 33. </w:t>
      </w:r>
    </w:p>
  </w:footnote>
  <w:footnote w:id="109">
    <w:p w14:paraId="0EF4BD91" w14:textId="600381FB"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23.</w:t>
      </w:r>
    </w:p>
  </w:footnote>
  <w:footnote w:id="110">
    <w:p w14:paraId="3FA4AF4E" w14:textId="77777777" w:rsidR="0019789C" w:rsidRPr="0019789C" w:rsidRDefault="0019789C" w:rsidP="001300A7">
      <w:pPr>
        <w:pStyle w:val="fntxt"/>
        <w:rPr>
          <w:lang w:val="en-US"/>
        </w:rPr>
      </w:pPr>
      <w:r w:rsidRPr="0019789C">
        <w:rPr>
          <w:rStyle w:val="FootnoteReference"/>
          <w:rFonts w:cs="Arial"/>
        </w:rPr>
        <w:footnoteRef/>
      </w:r>
      <w:r w:rsidRPr="0019789C">
        <w:t xml:space="preserve"> Chartered Institute of Highways and Transport, ‘Creating Better Streets’ (CIHT, 2017).</w:t>
      </w:r>
    </w:p>
  </w:footnote>
  <w:footnote w:id="111">
    <w:p w14:paraId="2BE62A70" w14:textId="65AF295B" w:rsidR="0019789C" w:rsidRPr="0019789C" w:rsidRDefault="0019789C" w:rsidP="001300A7">
      <w:pPr>
        <w:pStyle w:val="fntxt"/>
        <w:rPr>
          <w:lang w:val="en-US"/>
        </w:rPr>
      </w:pPr>
      <w:r w:rsidRPr="0019789C">
        <w:rPr>
          <w:rStyle w:val="FootnoteReference"/>
          <w:rFonts w:cs="Arial"/>
        </w:rPr>
        <w:footnoteRef/>
      </w:r>
      <w:r w:rsidRPr="0019789C">
        <w:t xml:space="preserve">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 para 173.</w:t>
      </w:r>
    </w:p>
  </w:footnote>
  <w:footnote w:id="112">
    <w:p w14:paraId="37F6E221" w14:textId="7BAA6D39" w:rsidR="0019789C" w:rsidRPr="0019789C" w:rsidRDefault="0019789C" w:rsidP="001300A7">
      <w:pPr>
        <w:pStyle w:val="fntxt"/>
        <w:rPr>
          <w:lang w:val="en-US"/>
        </w:rPr>
      </w:pPr>
      <w:r w:rsidRPr="0019789C">
        <w:rPr>
          <w:rStyle w:val="FootnoteReference"/>
          <w:rFonts w:cs="Arial"/>
        </w:rPr>
        <w:footnoteRef/>
      </w:r>
      <w:r w:rsidRPr="0019789C">
        <w:t xml:space="preserve"> ibid, recommendations 36-41.</w:t>
      </w:r>
    </w:p>
  </w:footnote>
  <w:footnote w:id="113">
    <w:p w14:paraId="154DE4DB" w14:textId="2BAE91E9" w:rsidR="0019789C" w:rsidRPr="0019789C" w:rsidRDefault="0019789C" w:rsidP="001300A7">
      <w:pPr>
        <w:pStyle w:val="fntxt"/>
        <w:rPr>
          <w:lang w:val="en-US"/>
        </w:rPr>
      </w:pPr>
      <w:r w:rsidRPr="0019789C">
        <w:rPr>
          <w:rStyle w:val="FootnoteReference"/>
          <w:rFonts w:cs="Arial"/>
        </w:rPr>
        <w:footnoteRef/>
      </w:r>
      <w:r w:rsidRPr="0019789C">
        <w:t xml:space="preserve"> Disabled Persons Transport Advisory Committee, ‘Position on ‘Shared Space’’ (13 July 2018) &lt;</w:t>
      </w:r>
      <w:hyperlink r:id="rId22" w:history="1">
        <w:r w:rsidRPr="0019789C">
          <w:rPr>
            <w:rStyle w:val="Hyperlink"/>
            <w:rFonts w:cs="Arial"/>
          </w:rPr>
          <w:t>www.gov.uk/government/publications/dptacs-position-on-shared-space/dptac-position-on-shared-space</w:t>
        </w:r>
      </w:hyperlink>
      <w:r w:rsidRPr="0019789C">
        <w:rPr>
          <w:rFonts w:cs="Arial"/>
        </w:rPr>
        <w:t>&gt;</w:t>
      </w:r>
      <w:r w:rsidRPr="0019789C">
        <w:t xml:space="preserve"> accessed 13 April 2020.</w:t>
      </w:r>
    </w:p>
  </w:footnote>
  <w:footnote w:id="114">
    <w:p w14:paraId="6851695E" w14:textId="253595DC" w:rsidR="0019789C" w:rsidRPr="0019789C" w:rsidRDefault="0019789C" w:rsidP="001300A7">
      <w:pPr>
        <w:pStyle w:val="fntxt"/>
      </w:pPr>
      <w:r w:rsidRPr="0019789C">
        <w:rPr>
          <w:rStyle w:val="FootnoteReference"/>
          <w:rFonts w:cs="Arial"/>
        </w:rPr>
        <w:footnoteRef/>
      </w:r>
      <w:r w:rsidRPr="0019789C">
        <w:t xml:space="preserve"> Department for Transport, ‘The Inclusive Transport Strategy’ (n </w:t>
      </w:r>
      <w:r w:rsidRPr="0019789C">
        <w:fldChar w:fldCharType="begin"/>
      </w:r>
      <w:r w:rsidRPr="0019789C">
        <w:instrText xml:space="preserve"> NOTEREF _Ref39668283 \h  \* MERGEFORMAT </w:instrText>
      </w:r>
      <w:r w:rsidRPr="0019789C">
        <w:fldChar w:fldCharType="separate"/>
      </w:r>
      <w:r w:rsidR="00AD46EC">
        <w:t>76</w:t>
      </w:r>
      <w:r w:rsidRPr="0019789C">
        <w:fldChar w:fldCharType="end"/>
      </w:r>
      <w:r w:rsidRPr="0019789C">
        <w:t>) paras 8.9 – 8.11.</w:t>
      </w:r>
    </w:p>
  </w:footnote>
  <w:footnote w:id="115">
    <w:p w14:paraId="0A36EAC3" w14:textId="54A1AEE9" w:rsidR="0019789C" w:rsidRPr="0019789C" w:rsidRDefault="0019789C" w:rsidP="001300A7">
      <w:pPr>
        <w:pStyle w:val="fntxt"/>
        <w:rPr>
          <w:lang w:val="en-US"/>
        </w:rPr>
      </w:pPr>
      <w:r w:rsidRPr="0019789C">
        <w:rPr>
          <w:rStyle w:val="FootnoteReference"/>
        </w:rPr>
        <w:footnoteRef/>
      </w:r>
      <w:r w:rsidRPr="0019789C">
        <w:t xml:space="preserve"> M Page, ‘</w:t>
      </w:r>
      <w:r w:rsidRPr="0019789C">
        <w:rPr>
          <w:lang w:val="en-US" w:eastAsia="en-US"/>
        </w:rPr>
        <w:t>Pavement and on-street parking in England</w:t>
      </w:r>
      <w:r w:rsidRPr="0019789C">
        <w:t>’ (House of Commons Briefing Paper No CBP 1170, 14 January 2020) 3.</w:t>
      </w:r>
    </w:p>
  </w:footnote>
  <w:footnote w:id="116">
    <w:p w14:paraId="164423C0" w14:textId="7C623D06" w:rsidR="0019789C" w:rsidRPr="0019789C" w:rsidRDefault="0019789C" w:rsidP="001300A7">
      <w:pPr>
        <w:pStyle w:val="fntxt"/>
      </w:pPr>
      <w:r w:rsidRPr="0019789C">
        <w:rPr>
          <w:rStyle w:val="FootnoteReference"/>
          <w:rFonts w:cs="Arial"/>
        </w:rPr>
        <w:footnoteRef/>
      </w:r>
      <w:r w:rsidRPr="0019789C">
        <w:t xml:space="preserve"> ibid, para 8.30.</w:t>
      </w:r>
    </w:p>
  </w:footnote>
  <w:footnote w:id="117">
    <w:p w14:paraId="45C31DB7" w14:textId="545C8459" w:rsidR="0019789C" w:rsidRPr="0019789C" w:rsidRDefault="0019789C" w:rsidP="001300A7">
      <w:pPr>
        <w:pStyle w:val="fntxt"/>
      </w:pPr>
      <w:r w:rsidRPr="0019789C">
        <w:rPr>
          <w:rStyle w:val="FootnoteReference"/>
          <w:rFonts w:cs="Arial"/>
        </w:rPr>
        <w:footnoteRef/>
      </w:r>
      <w:r w:rsidRPr="0019789C">
        <w:t xml:space="preserve"> House of Commons Transport Committee, ‘Pavement Parking’ HC 1982 (9 September 2019) 3.</w:t>
      </w:r>
    </w:p>
  </w:footnote>
  <w:footnote w:id="118">
    <w:p w14:paraId="5A8E871A" w14:textId="4B048A24" w:rsidR="0019789C" w:rsidRPr="0019789C" w:rsidRDefault="0019789C" w:rsidP="001300A7">
      <w:pPr>
        <w:pStyle w:val="fntxt"/>
        <w:rPr>
          <w:lang w:val="en-US"/>
        </w:rPr>
      </w:pPr>
      <w:r w:rsidRPr="0019789C">
        <w:rPr>
          <w:rStyle w:val="FootnoteReference"/>
        </w:rPr>
        <w:footnoteRef/>
      </w:r>
      <w:r w:rsidRPr="0019789C">
        <w:t xml:space="preserve"> ibid, paras 59-62.</w:t>
      </w:r>
    </w:p>
  </w:footnote>
  <w:footnote w:id="119">
    <w:p w14:paraId="77E49B3F" w14:textId="1372B2E4" w:rsidR="0019789C" w:rsidRPr="0019789C" w:rsidRDefault="0019789C" w:rsidP="009D15FF">
      <w:pPr>
        <w:pStyle w:val="FootnoteText"/>
        <w:ind w:left="0" w:firstLine="0"/>
      </w:pPr>
      <w:r w:rsidRPr="0019789C">
        <w:rPr>
          <w:rStyle w:val="FootnoteReference"/>
        </w:rPr>
        <w:footnoteRef/>
      </w:r>
      <w:r w:rsidRPr="0019789C">
        <w:t xml:space="preserve"> See more at </w:t>
      </w:r>
      <w:r>
        <w:t>Department for Transport, ‘Pavement Parking: Options for Change’ (last updated 30 October 2020 &lt;</w:t>
      </w:r>
      <w:hyperlink r:id="rId23" w:history="1">
        <w:r w:rsidRPr="00494FED">
          <w:rPr>
            <w:rStyle w:val="Hyperlink"/>
            <w:rFonts w:cstheme="minorBidi"/>
          </w:rPr>
          <w:t>https://www.gov.uk/government/consultations/managing-pavement-parking/pavement-parking-options-for-change</w:t>
        </w:r>
      </w:hyperlink>
      <w:r>
        <w:t>&gt; accessed 15 November 2020</w:t>
      </w:r>
      <w:r w:rsidRPr="0019789C">
        <w:t>.</w:t>
      </w:r>
    </w:p>
  </w:footnote>
  <w:footnote w:id="120">
    <w:p w14:paraId="4F1C461B" w14:textId="37D400EE" w:rsidR="0019789C" w:rsidRPr="0019789C" w:rsidRDefault="0019789C" w:rsidP="001300A7">
      <w:pPr>
        <w:pStyle w:val="fntxt"/>
      </w:pPr>
      <w:r w:rsidRPr="0019789C">
        <w:rPr>
          <w:rStyle w:val="FootnoteReference"/>
          <w:rFonts w:cs="Arial"/>
        </w:rPr>
        <w:footnoteRef/>
      </w:r>
      <w:r w:rsidRPr="0019789C">
        <w:t xml:space="preserve"> Department for Transport, ‘The Inclusive Transport Strategy’ (n </w:t>
      </w:r>
      <w:r w:rsidRPr="0019789C">
        <w:fldChar w:fldCharType="begin"/>
      </w:r>
      <w:r w:rsidRPr="0019789C">
        <w:instrText xml:space="preserve"> NOTEREF _Ref39668283 \h  \* MERGEFORMAT </w:instrText>
      </w:r>
      <w:r w:rsidRPr="0019789C">
        <w:fldChar w:fldCharType="separate"/>
      </w:r>
      <w:r w:rsidR="00AD46EC">
        <w:t>76</w:t>
      </w:r>
      <w:r w:rsidRPr="0019789C">
        <w:fldChar w:fldCharType="end"/>
      </w:r>
      <w:r w:rsidRPr="0019789C">
        <w:t>) para 8.15.</w:t>
      </w:r>
    </w:p>
  </w:footnote>
  <w:footnote w:id="121">
    <w:p w14:paraId="0ABA4CFC" w14:textId="78C44B39" w:rsidR="0019789C" w:rsidRPr="0019789C" w:rsidRDefault="0019789C" w:rsidP="001300A7">
      <w:pPr>
        <w:pStyle w:val="fntxt"/>
      </w:pPr>
      <w:r w:rsidRPr="0019789C">
        <w:rPr>
          <w:rStyle w:val="FootnoteReference"/>
          <w:rFonts w:cs="Arial"/>
        </w:rPr>
        <w:footnoteRef/>
      </w:r>
      <w:r w:rsidRPr="0019789C">
        <w:t xml:space="preserve"> ibid, para 8.16.</w:t>
      </w:r>
    </w:p>
  </w:footnote>
  <w:footnote w:id="122">
    <w:p w14:paraId="16551EB8" w14:textId="6ACBB2F7" w:rsidR="0019789C" w:rsidRPr="0019789C" w:rsidRDefault="0019789C" w:rsidP="001300A7">
      <w:pPr>
        <w:pStyle w:val="fntxt"/>
      </w:pPr>
      <w:r w:rsidRPr="0019789C">
        <w:rPr>
          <w:rStyle w:val="FootnoteReference"/>
          <w:rFonts w:cs="Arial"/>
        </w:rPr>
        <w:footnoteRef/>
      </w:r>
      <w:r w:rsidRPr="0019789C">
        <w:t xml:space="preserve"> Highways Act 1835.</w:t>
      </w:r>
    </w:p>
  </w:footnote>
  <w:footnote w:id="123">
    <w:p w14:paraId="1B937AE8" w14:textId="62437050" w:rsidR="0019789C" w:rsidRPr="0019789C" w:rsidRDefault="0019789C" w:rsidP="001300A7">
      <w:pPr>
        <w:pStyle w:val="fntxt"/>
      </w:pPr>
      <w:r w:rsidRPr="0019789C">
        <w:rPr>
          <w:rStyle w:val="FootnoteReference"/>
          <w:rFonts w:cs="Arial"/>
        </w:rPr>
        <w:footnoteRef/>
      </w:r>
      <w:r w:rsidRPr="0019789C">
        <w:t xml:space="preserve"> Department for Transport and Department for Business, Energy and Industrial Strategy, ‘Future of Transport Regulatory Review: Call for Evidence on Micromobility Vehicles, Flexible Bus Services and Mobility as a Service’ (March 2020).</w:t>
      </w:r>
    </w:p>
  </w:footnote>
  <w:footnote w:id="124">
    <w:p w14:paraId="2828047D" w14:textId="50388879" w:rsidR="0019789C" w:rsidRPr="0019789C" w:rsidRDefault="0019789C" w:rsidP="001300A7">
      <w:pPr>
        <w:pStyle w:val="fntxt"/>
      </w:pPr>
      <w:r w:rsidRPr="0019789C">
        <w:rPr>
          <w:rStyle w:val="FootnoteReference"/>
          <w:rFonts w:cs="Arial"/>
        </w:rPr>
        <w:footnoteRef/>
      </w:r>
      <w:r w:rsidRPr="0019789C">
        <w:t xml:space="preserve"> Department for Transport, ‘Cycling and Walking Investment Strategy’ (21 April 2017).</w:t>
      </w:r>
    </w:p>
  </w:footnote>
  <w:footnote w:id="125">
    <w:p w14:paraId="2240F7F1" w14:textId="04BF3DF2" w:rsidR="0019789C" w:rsidRPr="0019789C" w:rsidRDefault="0019789C" w:rsidP="001300A7">
      <w:pPr>
        <w:pStyle w:val="fntxt"/>
      </w:pPr>
      <w:r w:rsidRPr="0019789C">
        <w:rPr>
          <w:rStyle w:val="FootnoteReference"/>
          <w:rFonts w:cs="Arial"/>
        </w:rPr>
        <w:footnoteRef/>
      </w:r>
      <w:r w:rsidRPr="0019789C">
        <w:t xml:space="preserve"> Department for Transport, ‘Cycling and Walking Investment Strategy’ (n </w:t>
      </w:r>
      <w:r w:rsidRPr="0019789C">
        <w:fldChar w:fldCharType="begin"/>
      </w:r>
      <w:r w:rsidRPr="0019789C">
        <w:instrText xml:space="preserve"> NOTEREF _Ref39673997 \h  \* MERGEFORMAT </w:instrText>
      </w:r>
      <w:r w:rsidRPr="0019789C">
        <w:fldChar w:fldCharType="separate"/>
      </w:r>
      <w:r w:rsidR="00AD46EC">
        <w:t>124</w:t>
      </w:r>
      <w:r w:rsidRPr="0019789C">
        <w:fldChar w:fldCharType="end"/>
      </w:r>
      <w:r w:rsidRPr="0019789C">
        <w:t xml:space="preserve">) para 7, 1.6. See also House of Commons Transport Committee, ‘Active Travel: Increasing Levels of Walking and Cycling in England’ HC 1487 (House of Commons, 23 July 2019). </w:t>
      </w:r>
    </w:p>
  </w:footnote>
  <w:footnote w:id="126">
    <w:p w14:paraId="3174ABCC"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127">
    <w:p w14:paraId="76900B02" w14:textId="1C1C20A9" w:rsidR="0019789C" w:rsidRPr="0019789C" w:rsidRDefault="0019789C" w:rsidP="001300A7">
      <w:pPr>
        <w:pStyle w:val="fntxt"/>
      </w:pPr>
      <w:r w:rsidRPr="0019789C">
        <w:rPr>
          <w:rStyle w:val="FootnoteReference"/>
          <w:rFonts w:cs="Arial"/>
        </w:rPr>
        <w:footnoteRef/>
      </w:r>
      <w:r w:rsidRPr="0019789C">
        <w:t xml:space="preserve"> College of Policing, ‘Policing our Roads Together - </w:t>
      </w:r>
      <w:r w:rsidRPr="0019789C">
        <w:rPr>
          <w:rFonts w:eastAsia="Times New Roman"/>
          <w:lang w:val="en-US" w:eastAsia="en-US"/>
        </w:rPr>
        <w:t xml:space="preserve">A 3 year strategy 2018 – 2021’ </w:t>
      </w:r>
      <w:r w:rsidRPr="0019789C">
        <w:rPr>
          <w:rStyle w:val="Hyperlink"/>
        </w:rPr>
        <w:t>&lt;</w:t>
      </w:r>
      <w:hyperlink r:id="rId24" w:history="1">
        <w:r w:rsidRPr="0019789C">
          <w:rPr>
            <w:rStyle w:val="Hyperlink"/>
            <w:rFonts w:cs="Arial"/>
          </w:rPr>
          <w:t>http://library.college.police.uk/docs/appref/Policing-our-Roads-Together-partners-copy.pdf</w:t>
        </w:r>
      </w:hyperlink>
      <w:r w:rsidRPr="0019789C">
        <w:rPr>
          <w:rStyle w:val="Hyperlink"/>
        </w:rPr>
        <w:t>&gt;</w:t>
      </w:r>
      <w:r w:rsidRPr="0019789C">
        <w:t xml:space="preserve"> accessed 2 April 2020. </w:t>
      </w:r>
    </w:p>
  </w:footnote>
  <w:footnote w:id="128">
    <w:p w14:paraId="6C6D6351" w14:textId="7E1DBA46" w:rsidR="0019789C" w:rsidRPr="0019789C" w:rsidRDefault="0019789C" w:rsidP="001300A7">
      <w:pPr>
        <w:pStyle w:val="fntxt"/>
      </w:pPr>
      <w:r w:rsidRPr="0019789C">
        <w:rPr>
          <w:rStyle w:val="FootnoteReference"/>
          <w:rFonts w:cs="Arial"/>
        </w:rPr>
        <w:footnoteRef/>
      </w:r>
      <w:r w:rsidRPr="0019789C">
        <w:t xml:space="preserve"> Ministry of Housing, Communities &amp; Local Government, ‘</w:t>
      </w:r>
      <w:r w:rsidRPr="0019789C">
        <w:rPr>
          <w:iCs/>
        </w:rPr>
        <w:t>National Planning Policy Framework’</w:t>
      </w:r>
      <w:r w:rsidRPr="0019789C">
        <w:t xml:space="preserve"> (last updated 19 June 2019) para 91 </w:t>
      </w:r>
      <w:hyperlink r:id="rId25" w:history="1">
        <w:r w:rsidRPr="0019789C">
          <w:rPr>
            <w:rStyle w:val="Hyperlink"/>
            <w:rFonts w:cs="Arial"/>
          </w:rPr>
          <w:t>&lt;www.gov.uk/government/publications/national-planning-policy-framework--2&gt;</w:t>
        </w:r>
      </w:hyperlink>
      <w:r w:rsidRPr="0019789C">
        <w:t xml:space="preserve"> accessed 2 November 2019. </w:t>
      </w:r>
    </w:p>
  </w:footnote>
  <w:footnote w:id="129">
    <w:p w14:paraId="1377CC86" w14:textId="77777777" w:rsidR="0019789C" w:rsidRPr="0019789C" w:rsidRDefault="0019789C" w:rsidP="001300A7">
      <w:pPr>
        <w:pStyle w:val="fntxt"/>
      </w:pPr>
      <w:r w:rsidRPr="0019789C">
        <w:rPr>
          <w:rStyle w:val="FootnoteReference"/>
          <w:rFonts w:cs="Arial"/>
        </w:rPr>
        <w:footnoteRef/>
      </w:r>
      <w:r w:rsidRPr="0019789C">
        <w:t xml:space="preserve"> T Cosgrove QC and B Du Feu, ‘Interpreting planning policy: a judicial plea for simplicity and an end to excessive legalism that is likely to fall on deaf ears’ [2019] Journal of Planning &amp; Environment Law; </w:t>
      </w:r>
      <w:r w:rsidRPr="0019789C">
        <w:rPr>
          <w:rStyle w:val="fncaseChar"/>
        </w:rPr>
        <w:t>Barwood Strategic Land II LLP v East Staffordshire BC, Secretary of State for Communities and Local Government</w:t>
      </w:r>
      <w:r w:rsidRPr="0019789C">
        <w:t xml:space="preserve"> [2017] EWCA Civ 893 [50].</w:t>
      </w:r>
    </w:p>
  </w:footnote>
  <w:footnote w:id="130">
    <w:p w14:paraId="3B87FE3B" w14:textId="304ED084" w:rsidR="0019789C" w:rsidRPr="0019789C" w:rsidRDefault="0019789C" w:rsidP="001300A7">
      <w:pPr>
        <w:pStyle w:val="fntxt"/>
      </w:pPr>
      <w:r w:rsidRPr="0019789C">
        <w:rPr>
          <w:rStyle w:val="FootnoteReference"/>
          <w:rFonts w:cs="Arial"/>
        </w:rPr>
        <w:footnoteRef/>
      </w:r>
      <w:r w:rsidRPr="0019789C">
        <w:t xml:space="preserve"> A point noted by the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 20-21.</w:t>
      </w:r>
    </w:p>
  </w:footnote>
  <w:footnote w:id="131">
    <w:p w14:paraId="6B30F52C" w14:textId="18776BC9" w:rsidR="0019789C" w:rsidRPr="0019789C" w:rsidRDefault="0019789C" w:rsidP="001300A7">
      <w:pPr>
        <w:pStyle w:val="fntxt"/>
        <w:rPr>
          <w:lang w:val="en-US"/>
        </w:rPr>
      </w:pPr>
      <w:r w:rsidRPr="0019789C">
        <w:rPr>
          <w:rStyle w:val="FootnoteReference"/>
          <w:rFonts w:cs="Arial"/>
        </w:rPr>
        <w:footnoteRef/>
      </w:r>
      <w:r w:rsidRPr="0019789C">
        <w:t xml:space="preserve"> Ministry of Housing, Communities &amp; Local Government, ‘Design: process and tools’ (last updated 1 October 2019) </w:t>
      </w:r>
      <w:hyperlink r:id="rId26" w:history="1">
        <w:r w:rsidRPr="0019789C">
          <w:rPr>
            <w:rStyle w:val="Hyperlink"/>
            <w:rFonts w:cs="Arial"/>
          </w:rPr>
          <w:t>&lt;www.gov.uk/guidance/design&gt;</w:t>
        </w:r>
      </w:hyperlink>
      <w:r w:rsidRPr="0019789C">
        <w:t xml:space="preserve"> accessed 2 November 2019; see also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 20-21.</w:t>
      </w:r>
    </w:p>
  </w:footnote>
  <w:footnote w:id="132">
    <w:p w14:paraId="6DB87E1E" w14:textId="0DA6F841" w:rsidR="0019789C" w:rsidRPr="0019789C" w:rsidRDefault="0019789C" w:rsidP="001300A7">
      <w:pPr>
        <w:pStyle w:val="fntxt"/>
      </w:pPr>
      <w:r w:rsidRPr="0019789C">
        <w:rPr>
          <w:rStyle w:val="FootnoteReference"/>
          <w:rFonts w:cs="Arial"/>
        </w:rPr>
        <w:footnoteRef/>
      </w:r>
      <w:r w:rsidRPr="0019789C">
        <w:t xml:space="preserve">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 paras 55-65 and 72-76.</w:t>
      </w:r>
    </w:p>
  </w:footnote>
  <w:footnote w:id="133">
    <w:p w14:paraId="1ED77287" w14:textId="69151C76" w:rsidR="0019789C" w:rsidRPr="0019789C" w:rsidRDefault="0019789C" w:rsidP="001300A7">
      <w:pPr>
        <w:pStyle w:val="fntxt"/>
      </w:pPr>
      <w:r w:rsidRPr="0019789C">
        <w:rPr>
          <w:rStyle w:val="FootnoteReference"/>
          <w:rFonts w:cs="Arial"/>
        </w:rPr>
        <w:footnoteRef/>
      </w:r>
      <w:r w:rsidRPr="0019789C">
        <w:t xml:space="preserve"> Chartered Institute for Highways and Transportation, ‘Better planning, better transport, better places’ (CIHT, August 2019) &lt;</w:t>
      </w:r>
      <w:hyperlink r:id="rId27" w:history="1">
        <w:r w:rsidRPr="0019789C">
          <w:rPr>
            <w:rStyle w:val="Hyperlink"/>
            <w:rFonts w:cstheme="minorBidi"/>
          </w:rPr>
          <w:t>www.ciht.org.uk/media/10218/ciht-better-planning-a4_updated_linked_.pdf</w:t>
        </w:r>
      </w:hyperlink>
      <w:r w:rsidRPr="0019789C">
        <w:t>&gt; accessed 2 November 2019.</w:t>
      </w:r>
    </w:p>
  </w:footnote>
  <w:footnote w:id="134">
    <w:p w14:paraId="553C58FE" w14:textId="194FA1E6" w:rsidR="0019789C" w:rsidRPr="0019789C" w:rsidRDefault="0019789C" w:rsidP="001300A7">
      <w:pPr>
        <w:pStyle w:val="fntxt"/>
      </w:pPr>
      <w:r w:rsidRPr="0019789C">
        <w:rPr>
          <w:rStyle w:val="FootnoteReference"/>
          <w:rFonts w:cs="Arial"/>
        </w:rPr>
        <w:footnoteRef/>
      </w:r>
      <w:r w:rsidRPr="0019789C">
        <w:t xml:space="preserve">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 xml:space="preserve">) paras 66-72. See also a similar recommendation about accessibility in Chartered Institute for Highways and Transportation, ‘Better Planning, Better Transport, Better Places’ (n </w:t>
      </w:r>
      <w:r w:rsidRPr="0019789C">
        <w:fldChar w:fldCharType="begin"/>
      </w:r>
      <w:r w:rsidRPr="0019789C">
        <w:instrText xml:space="preserve"> NOTEREF _Ref39674022 \h  \* MERGEFORMAT </w:instrText>
      </w:r>
      <w:r w:rsidRPr="0019789C">
        <w:fldChar w:fldCharType="separate"/>
      </w:r>
      <w:r w:rsidR="00AD46EC">
        <w:t>133</w:t>
      </w:r>
      <w:r w:rsidRPr="0019789C">
        <w:fldChar w:fldCharType="end"/>
      </w:r>
      <w:r w:rsidRPr="0019789C">
        <w:t>) ch 7.</w:t>
      </w:r>
    </w:p>
  </w:footnote>
  <w:footnote w:id="135">
    <w:p w14:paraId="705669AB" w14:textId="6E8513E5" w:rsidR="0019789C" w:rsidRPr="0019789C" w:rsidRDefault="0019789C" w:rsidP="001300A7">
      <w:pPr>
        <w:pStyle w:val="fntxt"/>
      </w:pPr>
      <w:r w:rsidRPr="0019789C">
        <w:rPr>
          <w:rStyle w:val="FootnoteReference"/>
          <w:rFonts w:cs="Arial"/>
        </w:rPr>
        <w:footnoteRef/>
      </w:r>
      <w:r w:rsidRPr="0019789C">
        <w:t xml:space="preserve"> Equality and Human Rights Commission (EHRC), ‘Disability Advisory Committee’ </w:t>
      </w:r>
      <w:hyperlink r:id="rId28" w:history="1">
        <w:r w:rsidRPr="0019789C">
          <w:rPr>
            <w:rStyle w:val="Hyperlink"/>
            <w:rFonts w:cs="Arial"/>
          </w:rPr>
          <w:t>&lt;www.equalityhumanrights.com/en/who-we-are/disability-advisory-committee</w:t>
        </w:r>
      </w:hyperlink>
      <w:r w:rsidRPr="0019789C">
        <w:rPr>
          <w:rStyle w:val="Hyperlink"/>
          <w:rFonts w:cs="Arial"/>
        </w:rPr>
        <w:t>&gt;</w:t>
      </w:r>
      <w:r w:rsidRPr="0019789C">
        <w:t xml:space="preserve"> accessed 16 April 2020.</w:t>
      </w:r>
    </w:p>
  </w:footnote>
  <w:footnote w:id="136">
    <w:p w14:paraId="792E8FF1" w14:textId="02592EF5" w:rsidR="0019789C" w:rsidRPr="0019789C" w:rsidRDefault="0019789C" w:rsidP="001300A7">
      <w:pPr>
        <w:pStyle w:val="fntxt"/>
      </w:pPr>
      <w:r w:rsidRPr="0019789C">
        <w:rPr>
          <w:rStyle w:val="FootnoteReference"/>
          <w:rFonts w:cs="Arial"/>
        </w:rPr>
        <w:footnoteRef/>
      </w:r>
      <w:r w:rsidRPr="0019789C">
        <w:t xml:space="preserve"> Office for Disability Issues, ‘Office for Disability Issues announces its new regional stakeholder network’ (3 December 2018) </w:t>
      </w:r>
      <w:hyperlink r:id="rId29" w:history="1">
        <w:r w:rsidRPr="0019789C">
          <w:rPr>
            <w:rStyle w:val="Hyperlink"/>
            <w:rFonts w:cs="Arial"/>
          </w:rPr>
          <w:t>&lt;www.gov.uk/government/news/office-for-disability-issues-announces-its-new-regional-stakeholder-network</w:t>
        </w:r>
      </w:hyperlink>
      <w:r w:rsidRPr="0019789C">
        <w:rPr>
          <w:rStyle w:val="Hyperlink"/>
        </w:rPr>
        <w:t>&gt;</w:t>
      </w:r>
      <w:r w:rsidRPr="0019789C">
        <w:t xml:space="preserve"> accessed 16 April 2020.</w:t>
      </w:r>
    </w:p>
  </w:footnote>
  <w:footnote w:id="137">
    <w:p w14:paraId="26F6750A" w14:textId="326B1CBC" w:rsidR="0019789C" w:rsidRPr="0019789C" w:rsidRDefault="0019789C" w:rsidP="001300A7">
      <w:pPr>
        <w:pStyle w:val="fntxt"/>
      </w:pPr>
      <w:r w:rsidRPr="0019789C">
        <w:rPr>
          <w:rStyle w:val="FootnoteReference"/>
          <w:rFonts w:cs="Arial"/>
        </w:rPr>
        <w:footnoteRef/>
      </w:r>
      <w:r w:rsidRPr="0019789C">
        <w:t xml:space="preserve"> Department for Work and Pensions, ‘</w:t>
      </w:r>
      <w:r w:rsidRPr="0019789C">
        <w:rPr>
          <w:rStyle w:val="FootnoteTextChar"/>
        </w:rPr>
        <w:t xml:space="preserve">UK Advisory Forum on Ageing’ </w:t>
      </w:r>
      <w:hyperlink r:id="rId30" w:history="1">
        <w:r w:rsidRPr="0019789C">
          <w:rPr>
            <w:rStyle w:val="Hyperlink"/>
            <w:rFonts w:cs="Arial"/>
          </w:rPr>
          <w:t>&lt;www.gov.uk/government/groups/uk-advisory-forum-on-ageing</w:t>
        </w:r>
      </w:hyperlink>
      <w:r w:rsidRPr="0019789C">
        <w:rPr>
          <w:rStyle w:val="Hyperlink"/>
        </w:rPr>
        <w:t>&gt;</w:t>
      </w:r>
      <w:r w:rsidRPr="0019789C">
        <w:t xml:space="preserve"> accessed 16 April 2020.</w:t>
      </w:r>
    </w:p>
  </w:footnote>
  <w:footnote w:id="138">
    <w:p w14:paraId="19003E31" w14:textId="523A26D3" w:rsidR="0019789C" w:rsidRPr="0019789C" w:rsidRDefault="0019789C" w:rsidP="001300A7">
      <w:pPr>
        <w:pStyle w:val="fntxt"/>
      </w:pPr>
      <w:r w:rsidRPr="0019789C">
        <w:rPr>
          <w:rStyle w:val="FootnoteReference"/>
          <w:rFonts w:cs="Arial"/>
        </w:rPr>
        <w:footnoteRef/>
      </w:r>
      <w:r w:rsidRPr="0019789C">
        <w:t xml:space="preserve"> Housing and Social Justice Directorate, ‘Fairer Scotland Action Plan’ (Scottish Government, 2016) </w:t>
      </w:r>
      <w:hyperlink r:id="rId31" w:history="1">
        <w:r w:rsidRPr="0019789C">
          <w:rPr>
            <w:rStyle w:val="Hyperlink"/>
            <w:rFonts w:cs="Arial"/>
          </w:rPr>
          <w:t>&lt;www.gov.scot/publications/fairer-scotland-action-plan/</w:t>
        </w:r>
      </w:hyperlink>
      <w:r w:rsidRPr="0019789C">
        <w:rPr>
          <w:rStyle w:val="Hyperlink"/>
          <w:rFonts w:cs="Arial"/>
        </w:rPr>
        <w:t>&gt;</w:t>
      </w:r>
      <w:r w:rsidRPr="0019789C">
        <w:t xml:space="preserve"> accessed 16 April 2020.</w:t>
      </w:r>
    </w:p>
  </w:footnote>
  <w:footnote w:id="139">
    <w:p w14:paraId="15179B33" w14:textId="4D242FFE"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w:t>
      </w:r>
    </w:p>
  </w:footnote>
  <w:footnote w:id="140">
    <w:p w14:paraId="0E1DEC63" w14:textId="251AA1C4" w:rsidR="0019789C" w:rsidRPr="0019789C" w:rsidRDefault="0019789C" w:rsidP="001300A7">
      <w:pPr>
        <w:pStyle w:val="fntxt"/>
      </w:pPr>
      <w:r w:rsidRPr="0019789C">
        <w:rPr>
          <w:rStyle w:val="FootnoteReference"/>
          <w:rFonts w:cs="Arial"/>
        </w:rPr>
        <w:footnoteRef/>
      </w:r>
      <w:r w:rsidRPr="0019789C">
        <w:t xml:space="preserve"> Amended by the Equality Act 2010 (Specific Duties) (Scotland) Amendment Regulations 2015; and the by the Equality Act 2010 (Specific Duties) (Scotland) Amendment Regulations 2016.</w:t>
      </w:r>
    </w:p>
  </w:footnote>
  <w:footnote w:id="141">
    <w:p w14:paraId="32D6AE5A" w14:textId="058AB618" w:rsidR="0019789C" w:rsidRPr="0019789C" w:rsidRDefault="0019789C" w:rsidP="001300A7">
      <w:pPr>
        <w:pStyle w:val="fntxt"/>
      </w:pPr>
      <w:r w:rsidRPr="0019789C">
        <w:rPr>
          <w:rStyle w:val="FootnoteReference"/>
          <w:rFonts w:cs="Arial"/>
        </w:rPr>
        <w:footnoteRef/>
      </w:r>
      <w:r w:rsidRPr="0019789C">
        <w:t xml:space="preserve"> Equality Act 2010 (Specific Duties) Regulations 2011.</w:t>
      </w:r>
    </w:p>
  </w:footnote>
  <w:footnote w:id="142">
    <w:p w14:paraId="5E76FA3A" w14:textId="66D70D3D" w:rsidR="0019789C" w:rsidRPr="0019789C" w:rsidRDefault="0019789C" w:rsidP="001300A7">
      <w:pPr>
        <w:pStyle w:val="fntxt"/>
      </w:pPr>
      <w:r w:rsidRPr="0019789C">
        <w:rPr>
          <w:rStyle w:val="FootnoteReference"/>
          <w:rFonts w:cs="Arial"/>
        </w:rPr>
        <w:footnoteRef/>
      </w:r>
      <w:r w:rsidRPr="0019789C">
        <w:t xml:space="preserve"> An obligation explained further in Equality and Human Rights Commission (EHRC), ‘Involvement in the Public Sector Equality Duty: A Guide for Public Authorities’ (EHRC, July 2016).</w:t>
      </w:r>
    </w:p>
  </w:footnote>
  <w:footnote w:id="143">
    <w:p w14:paraId="46CDB488" w14:textId="1BF044EC" w:rsidR="0019789C" w:rsidRPr="0019789C" w:rsidRDefault="0019789C" w:rsidP="001300A7">
      <w:pPr>
        <w:pStyle w:val="fntxt"/>
      </w:pPr>
      <w:r w:rsidRPr="0019789C">
        <w:rPr>
          <w:rStyle w:val="FootnoteReference"/>
          <w:rFonts w:cs="Arial"/>
        </w:rPr>
        <w:footnoteRef/>
      </w:r>
      <w:r w:rsidRPr="0019789C">
        <w:t xml:space="preserve"> Local Government and Communities Directorate, ‘A Fairer Scotland for Disabled People: Delivery Plan’ (2016) </w:t>
      </w:r>
      <w:r w:rsidRPr="0019789C">
        <w:rPr>
          <w:rStyle w:val="Hyperlink"/>
        </w:rPr>
        <w:t>&lt;</w:t>
      </w:r>
      <w:hyperlink r:id="rId32" w:history="1">
        <w:r w:rsidRPr="0019789C">
          <w:rPr>
            <w:rStyle w:val="Hyperlink"/>
            <w:rFonts w:cs="Arial"/>
          </w:rPr>
          <w:t>www.gov.scot/publications/fairer-scotland-disabled-people-delivery-plan-2021-united-nations-convention/pages/12/</w:t>
        </w:r>
      </w:hyperlink>
      <w:r w:rsidRPr="0019789C">
        <w:rPr>
          <w:rStyle w:val="Hyperlink"/>
        </w:rPr>
        <w:t>&gt;</w:t>
      </w:r>
      <w:r w:rsidRPr="0019789C">
        <w:t xml:space="preserve"> accessed 18 April 2020.</w:t>
      </w:r>
    </w:p>
  </w:footnote>
  <w:footnote w:id="144">
    <w:p w14:paraId="6A6628AC" w14:textId="6B90C429" w:rsidR="0019789C" w:rsidRPr="0019789C" w:rsidRDefault="0019789C" w:rsidP="001300A7">
      <w:pPr>
        <w:pStyle w:val="fntxt"/>
      </w:pPr>
      <w:r w:rsidRPr="0019789C">
        <w:rPr>
          <w:rStyle w:val="FootnoteReference"/>
          <w:rFonts w:cs="Arial"/>
        </w:rPr>
        <w:footnoteRef/>
      </w:r>
      <w:r w:rsidRPr="0019789C">
        <w:t xml:space="preserve"> Local Government and Communities Directorate, ‘A Fairer Scotland for Older People: A Framework for Action’ (2019) </w:t>
      </w:r>
      <w:r w:rsidRPr="0019789C">
        <w:rPr>
          <w:rStyle w:val="Hyperlink"/>
        </w:rPr>
        <w:t>&lt;</w:t>
      </w:r>
      <w:hyperlink r:id="rId33" w:history="1">
        <w:r w:rsidRPr="0019789C">
          <w:rPr>
            <w:rStyle w:val="Hyperlink"/>
            <w:rFonts w:cs="Arial"/>
          </w:rPr>
          <w:t>www.gov.scot/publications/fairer-scotland-older-people-framework-action/</w:t>
        </w:r>
      </w:hyperlink>
      <w:r w:rsidRPr="0019789C">
        <w:rPr>
          <w:rStyle w:val="Hyperlink"/>
        </w:rPr>
        <w:t>&gt;</w:t>
      </w:r>
      <w:r w:rsidRPr="0019789C">
        <w:t xml:space="preserve"> accessed 18 April 2020.</w:t>
      </w:r>
    </w:p>
  </w:footnote>
  <w:footnote w:id="145">
    <w:p w14:paraId="54E1BA74" w14:textId="293CB974" w:rsidR="0019789C" w:rsidRPr="0019789C" w:rsidRDefault="0019789C" w:rsidP="001300A7">
      <w:pPr>
        <w:pStyle w:val="fntxt"/>
      </w:pPr>
      <w:r w:rsidRPr="0019789C">
        <w:rPr>
          <w:rStyle w:val="FootnoteReference"/>
          <w:rFonts w:cs="Arial"/>
        </w:rPr>
        <w:footnoteRef/>
      </w:r>
      <w:r w:rsidRPr="0019789C">
        <w:t xml:space="preserve"> ibid, Foreword.</w:t>
      </w:r>
    </w:p>
  </w:footnote>
  <w:footnote w:id="146">
    <w:p w14:paraId="33820C6F" w14:textId="2BC23C1A" w:rsidR="0019789C" w:rsidRPr="0019789C" w:rsidRDefault="0019789C" w:rsidP="001300A7">
      <w:pPr>
        <w:pStyle w:val="fntxt"/>
      </w:pPr>
      <w:r w:rsidRPr="0019789C">
        <w:rPr>
          <w:rStyle w:val="FootnoteReference"/>
          <w:rFonts w:cs="Arial"/>
        </w:rPr>
        <w:footnoteRef/>
      </w:r>
      <w:r w:rsidRPr="0019789C">
        <w:t xml:space="preserve"> Transport Scotland, ‘Going Further: Scotland’s Accessible Travel Framework’ </w:t>
      </w:r>
      <w:hyperlink r:id="rId34" w:history="1">
        <w:r w:rsidRPr="0019789C">
          <w:rPr>
            <w:rStyle w:val="Hyperlink"/>
            <w:rFonts w:cs="Arial"/>
          </w:rPr>
          <w:t>&lt;www.transport.gov.scot/publication/going-further-scotland-s-accessible-travel-framework/&gt;</w:t>
        </w:r>
      </w:hyperlink>
      <w:r w:rsidRPr="0019789C">
        <w:t xml:space="preserve"> accessed 3 February 2020.</w:t>
      </w:r>
    </w:p>
  </w:footnote>
  <w:footnote w:id="147">
    <w:p w14:paraId="1F23DDDC" w14:textId="66EB55C5" w:rsidR="0019789C" w:rsidRPr="0019789C" w:rsidRDefault="0019789C" w:rsidP="001300A7">
      <w:pPr>
        <w:pStyle w:val="fntxt"/>
      </w:pPr>
      <w:r w:rsidRPr="0019789C">
        <w:rPr>
          <w:rStyle w:val="FootnoteReference"/>
          <w:rFonts w:cs="Arial"/>
        </w:rPr>
        <w:footnoteRef/>
      </w:r>
      <w:r w:rsidRPr="0019789C">
        <w:t xml:space="preserve"> ibid.</w:t>
      </w:r>
    </w:p>
  </w:footnote>
  <w:footnote w:id="148">
    <w:p w14:paraId="30A6F648" w14:textId="3F8B54A1" w:rsidR="0019789C" w:rsidRPr="0019789C" w:rsidRDefault="0019789C" w:rsidP="001300A7">
      <w:pPr>
        <w:pStyle w:val="fntxt"/>
      </w:pPr>
      <w:r w:rsidRPr="0019789C">
        <w:rPr>
          <w:rStyle w:val="FootnoteReference"/>
          <w:rFonts w:cs="Arial"/>
        </w:rPr>
        <w:footnoteRef/>
      </w:r>
      <w:r w:rsidRPr="0019789C">
        <w:t xml:space="preserve"> ibid, Introduction.</w:t>
      </w:r>
    </w:p>
  </w:footnote>
  <w:footnote w:id="149">
    <w:p w14:paraId="1EDC1C58" w14:textId="48561A24" w:rsidR="0019789C" w:rsidRPr="0019789C" w:rsidRDefault="0019789C" w:rsidP="001300A7">
      <w:pPr>
        <w:pStyle w:val="fntxt"/>
      </w:pPr>
      <w:r w:rsidRPr="0019789C">
        <w:rPr>
          <w:rStyle w:val="FootnoteReference"/>
          <w:rFonts w:cs="Arial"/>
        </w:rPr>
        <w:footnoteRef/>
      </w:r>
      <w:r w:rsidRPr="0019789C">
        <w:t xml:space="preserve"> Local Government and Communities Directorate, ‘A Fairer Scotland for Disabled People: Delivery Plan’ (n </w:t>
      </w:r>
      <w:r w:rsidRPr="0019789C">
        <w:fldChar w:fldCharType="begin"/>
      </w:r>
      <w:r w:rsidRPr="0019789C">
        <w:instrText xml:space="preserve"> NOTEREF _Ref94097768 \h  \* MERGEFORMAT </w:instrText>
      </w:r>
      <w:r w:rsidRPr="0019789C">
        <w:fldChar w:fldCharType="separate"/>
      </w:r>
      <w:r w:rsidR="00AD46EC">
        <w:t>143</w:t>
      </w:r>
      <w:r w:rsidRPr="0019789C">
        <w:fldChar w:fldCharType="end"/>
      </w:r>
      <w:r w:rsidRPr="0019789C">
        <w:t>) para 67.</w:t>
      </w:r>
    </w:p>
  </w:footnote>
  <w:footnote w:id="150">
    <w:p w14:paraId="7C2B49B8" w14:textId="25D2429F" w:rsidR="0019789C" w:rsidRPr="0019789C" w:rsidRDefault="0019789C" w:rsidP="001300A7">
      <w:pPr>
        <w:pStyle w:val="fntxt"/>
      </w:pPr>
      <w:r w:rsidRPr="0019789C">
        <w:rPr>
          <w:rStyle w:val="FootnoteReference"/>
          <w:rFonts w:cs="Arial"/>
        </w:rPr>
        <w:footnoteRef/>
      </w:r>
      <w:r w:rsidRPr="0019789C">
        <w:t xml:space="preserve"> Transport (Scotland) Bill 2019, Part 4’ see process of the bill and debate at The Scottish Parliament, ‘Transport (Scotland) Bill’ </w:t>
      </w:r>
      <w:hyperlink r:id="rId35" w:history="1">
        <w:r w:rsidRPr="0019789C">
          <w:rPr>
            <w:rStyle w:val="Hyperlink"/>
            <w:rFonts w:cs="Arial"/>
          </w:rPr>
          <w:t>&lt;www.parliament.scot/parliamentarybusiness/Bills/108683.aspx&gt;</w:t>
        </w:r>
      </w:hyperlink>
      <w:r w:rsidRPr="0019789C">
        <w:t xml:space="preserve"> accessed 3 February 2020</w:t>
      </w:r>
    </w:p>
  </w:footnote>
  <w:footnote w:id="151">
    <w:p w14:paraId="7FF1CD32" w14:textId="0E528763" w:rsidR="0019789C" w:rsidRPr="0019789C" w:rsidRDefault="0019789C" w:rsidP="001300A7">
      <w:pPr>
        <w:pStyle w:val="fntxt"/>
      </w:pPr>
      <w:r w:rsidRPr="0019789C">
        <w:rPr>
          <w:rStyle w:val="FootnoteReference"/>
          <w:rFonts w:cs="Arial"/>
        </w:rPr>
        <w:footnoteRef/>
      </w:r>
      <w:r w:rsidRPr="0019789C">
        <w:t xml:space="preserve"> Transport Scotland, ‘National Transport Strategy: Protecting our climate and improving lives’ (2019) 5 </w:t>
      </w:r>
      <w:hyperlink r:id="rId36" w:history="1">
        <w:r w:rsidRPr="0019789C">
          <w:rPr>
            <w:rStyle w:val="Hyperlink"/>
            <w:rFonts w:cs="Arial"/>
          </w:rPr>
          <w:t>&lt;www.transport.gov.scot/our-approach/national-transport-strategy/&gt;</w:t>
        </w:r>
      </w:hyperlink>
      <w:r w:rsidRPr="0019789C">
        <w:t xml:space="preserve"> accessed 3 February 2020.</w:t>
      </w:r>
    </w:p>
  </w:footnote>
  <w:footnote w:id="152">
    <w:p w14:paraId="0A309DAD" w14:textId="3454E157" w:rsidR="0019789C" w:rsidRPr="0019789C" w:rsidRDefault="0019789C" w:rsidP="001300A7">
      <w:pPr>
        <w:pStyle w:val="fntxt"/>
      </w:pPr>
      <w:r w:rsidRPr="0019789C">
        <w:rPr>
          <w:rStyle w:val="FootnoteReference"/>
          <w:rFonts w:cs="Arial"/>
        </w:rPr>
        <w:footnoteRef/>
      </w:r>
      <w:r w:rsidRPr="0019789C">
        <w:t xml:space="preserve"> ibid.</w:t>
      </w:r>
    </w:p>
  </w:footnote>
  <w:footnote w:id="153">
    <w:p w14:paraId="7A59F677" w14:textId="77777777" w:rsidR="0019789C" w:rsidRPr="0019789C" w:rsidRDefault="0019789C" w:rsidP="001300A7">
      <w:pPr>
        <w:pStyle w:val="fntxt"/>
      </w:pPr>
      <w:r w:rsidRPr="0019789C">
        <w:rPr>
          <w:rStyle w:val="FootnoteReference"/>
          <w:rFonts w:cs="Arial"/>
        </w:rPr>
        <w:footnoteRef/>
      </w:r>
      <w:r w:rsidRPr="0019789C">
        <w:t xml:space="preserve"> ibid 4 (‘wheeling’ refers to travelling by wheelchair).</w:t>
      </w:r>
    </w:p>
  </w:footnote>
  <w:footnote w:id="154">
    <w:p w14:paraId="68512472" w14:textId="77777777" w:rsidR="0019789C" w:rsidRPr="0019789C" w:rsidRDefault="0019789C" w:rsidP="001300A7">
      <w:pPr>
        <w:pStyle w:val="fntxt"/>
      </w:pPr>
      <w:r w:rsidRPr="0019789C">
        <w:rPr>
          <w:rStyle w:val="FootnoteReference"/>
          <w:rFonts w:cs="Arial"/>
        </w:rPr>
        <w:footnoteRef/>
      </w:r>
      <w:r w:rsidRPr="0019789C">
        <w:t xml:space="preserve"> ibid 59.</w:t>
      </w:r>
    </w:p>
  </w:footnote>
  <w:footnote w:id="155">
    <w:p w14:paraId="55624AA6" w14:textId="0F20883B" w:rsidR="0019789C" w:rsidRPr="0019789C" w:rsidRDefault="0019789C" w:rsidP="001300A7">
      <w:pPr>
        <w:pStyle w:val="fntxt"/>
      </w:pPr>
      <w:r w:rsidRPr="0019789C">
        <w:rPr>
          <w:rStyle w:val="FootnoteReference"/>
          <w:rFonts w:cs="Arial"/>
        </w:rPr>
        <w:footnoteRef/>
      </w:r>
      <w:r w:rsidRPr="0019789C">
        <w:t xml:space="preserve"> Transport Scotland, ‘</w:t>
      </w:r>
      <w:r w:rsidRPr="0019789C">
        <w:rPr>
          <w:rFonts w:eastAsia="Times New Roman"/>
          <w:lang w:val="en-US" w:eastAsia="en-US"/>
        </w:rPr>
        <w:t xml:space="preserve">A Long-Term Vision for Active Travel in Scotland 2030’ (November 2014) </w:t>
      </w:r>
      <w:r w:rsidRPr="0019789C">
        <w:rPr>
          <w:rStyle w:val="Hyperlink"/>
        </w:rPr>
        <w:t>&lt;</w:t>
      </w:r>
      <w:hyperlink r:id="rId37" w:history="1">
        <w:r w:rsidRPr="0019789C">
          <w:rPr>
            <w:rStyle w:val="Hyperlink"/>
            <w:rFonts w:cs="Arial"/>
          </w:rPr>
          <w:t>www.transport.gov.scot/publication/scottish-government-s-long-term-vision-for-active-travel-in-scotland/</w:t>
        </w:r>
      </w:hyperlink>
      <w:r w:rsidRPr="0019789C">
        <w:rPr>
          <w:rStyle w:val="Hyperlink"/>
        </w:rPr>
        <w:t>&gt;</w:t>
      </w:r>
      <w:r w:rsidRPr="0019789C">
        <w:t xml:space="preserve"> accessed 16 April 2020.</w:t>
      </w:r>
    </w:p>
  </w:footnote>
  <w:footnote w:id="156">
    <w:p w14:paraId="36D69BEB" w14:textId="77777777" w:rsidR="0019789C" w:rsidRPr="0019789C" w:rsidRDefault="0019789C" w:rsidP="001300A7">
      <w:pPr>
        <w:pStyle w:val="fntxt"/>
      </w:pPr>
      <w:r w:rsidRPr="0019789C">
        <w:rPr>
          <w:rStyle w:val="FootnoteReference"/>
          <w:rFonts w:cs="Arial"/>
        </w:rPr>
        <w:footnoteRef/>
      </w:r>
      <w:r w:rsidRPr="0019789C">
        <w:t xml:space="preserve"> ibid 13.</w:t>
      </w:r>
    </w:p>
  </w:footnote>
  <w:footnote w:id="157">
    <w:p w14:paraId="62286980" w14:textId="77777777" w:rsidR="0019789C" w:rsidRPr="0019789C" w:rsidRDefault="0019789C" w:rsidP="001300A7">
      <w:pPr>
        <w:pStyle w:val="fntxt"/>
      </w:pPr>
      <w:r w:rsidRPr="0019789C">
        <w:rPr>
          <w:rStyle w:val="FootnoteReference"/>
          <w:rFonts w:cs="Arial"/>
        </w:rPr>
        <w:footnoteRef/>
      </w:r>
      <w:r w:rsidRPr="0019789C">
        <w:t xml:space="preserve"> ibid 4.</w:t>
      </w:r>
    </w:p>
  </w:footnote>
  <w:footnote w:id="158">
    <w:p w14:paraId="0A208A5A" w14:textId="6E16F9CD" w:rsidR="0019789C" w:rsidRPr="0019789C" w:rsidRDefault="0019789C" w:rsidP="001300A7">
      <w:pPr>
        <w:pStyle w:val="fntxt"/>
      </w:pPr>
      <w:r w:rsidRPr="0019789C">
        <w:rPr>
          <w:rStyle w:val="FootnoteReference"/>
          <w:rFonts w:cs="Arial"/>
        </w:rPr>
        <w:footnoteRef/>
      </w:r>
      <w:r w:rsidRPr="0019789C">
        <w:t xml:space="preserve"> Transport Scotland, ‘Active Travel Task Force Delivery Plan’ (June 2018) 3 </w:t>
      </w:r>
      <w:hyperlink r:id="rId38" w:history="1">
        <w:r w:rsidRPr="0019789C">
          <w:rPr>
            <w:rStyle w:val="Hyperlink"/>
            <w:rFonts w:cs="Arial"/>
          </w:rPr>
          <w:t>&lt;www.transport.gov.scot/publication/active-travel-taskforce-delivery-plan/&gt;</w:t>
        </w:r>
      </w:hyperlink>
      <w:r w:rsidRPr="0019789C">
        <w:t xml:space="preserve"> accessed 3 February 2020.</w:t>
      </w:r>
    </w:p>
  </w:footnote>
  <w:footnote w:id="159">
    <w:p w14:paraId="02473837" w14:textId="3AC82798" w:rsidR="0019789C" w:rsidRPr="0019789C" w:rsidRDefault="0019789C" w:rsidP="001300A7">
      <w:pPr>
        <w:pStyle w:val="fntxt"/>
      </w:pPr>
      <w:r w:rsidRPr="0019789C">
        <w:rPr>
          <w:rStyle w:val="FootnoteReference"/>
          <w:rFonts w:cs="Arial"/>
        </w:rPr>
        <w:footnoteRef/>
      </w:r>
      <w:r w:rsidRPr="0019789C">
        <w:t xml:space="preserve"> ibid 4.</w:t>
      </w:r>
    </w:p>
  </w:footnote>
  <w:footnote w:id="160">
    <w:p w14:paraId="54FD7400" w14:textId="1E2C0601" w:rsidR="0019789C" w:rsidRPr="0019789C" w:rsidRDefault="0019789C" w:rsidP="001300A7">
      <w:pPr>
        <w:pStyle w:val="fntxt"/>
      </w:pPr>
      <w:r w:rsidRPr="0019789C">
        <w:rPr>
          <w:rStyle w:val="FootnoteReference"/>
          <w:rFonts w:cs="Arial"/>
        </w:rPr>
        <w:footnoteRef/>
      </w:r>
      <w:r w:rsidRPr="0019789C">
        <w:t xml:space="preserve"> ibid 6</w:t>
      </w:r>
    </w:p>
  </w:footnote>
  <w:footnote w:id="161">
    <w:p w14:paraId="2DCBAB30" w14:textId="4E7AE01C" w:rsidR="0019789C" w:rsidRPr="0019789C" w:rsidRDefault="0019789C" w:rsidP="001300A7">
      <w:pPr>
        <w:pStyle w:val="fntxt"/>
      </w:pPr>
      <w:r w:rsidRPr="0019789C">
        <w:rPr>
          <w:rStyle w:val="FootnoteReference"/>
          <w:rFonts w:cs="Arial"/>
        </w:rPr>
        <w:footnoteRef/>
      </w:r>
      <w:r w:rsidRPr="0019789C">
        <w:t xml:space="preserve"> ibid 24.</w:t>
      </w:r>
    </w:p>
  </w:footnote>
  <w:footnote w:id="162">
    <w:p w14:paraId="018050AF" w14:textId="027A1A6C" w:rsidR="0019789C" w:rsidRPr="0019789C" w:rsidRDefault="0019789C" w:rsidP="001300A7">
      <w:pPr>
        <w:pStyle w:val="fntxt"/>
      </w:pPr>
      <w:r w:rsidRPr="0019789C">
        <w:rPr>
          <w:rStyle w:val="FootnoteReference"/>
          <w:rFonts w:cs="Arial"/>
        </w:rPr>
        <w:footnoteRef/>
      </w:r>
      <w:r w:rsidRPr="0019789C">
        <w:t xml:space="preserve"> Scottish Government. ‘Designing Streets: A Policy Statement for Scotland’ (March 2010) </w:t>
      </w:r>
      <w:hyperlink r:id="rId39" w:history="1">
        <w:r w:rsidRPr="0019789C">
          <w:rPr>
            <w:rStyle w:val="Hyperlink"/>
            <w:rFonts w:cs="Arial"/>
          </w:rPr>
          <w:t>&lt;www.gov.scot/publications/designing-streets-policy-statement-scotland/&gt;</w:t>
        </w:r>
      </w:hyperlink>
      <w:r w:rsidRPr="0019789C">
        <w:rPr>
          <w:rStyle w:val="Hyperlink"/>
          <w:rFonts w:cs="Arial"/>
        </w:rPr>
        <w:t xml:space="preserve"> </w:t>
      </w:r>
      <w:r w:rsidRPr="0019789C">
        <w:t>accessed 3 February 2020.</w:t>
      </w:r>
    </w:p>
  </w:footnote>
  <w:footnote w:id="163">
    <w:p w14:paraId="4FE999E8" w14:textId="3CC8CFAA" w:rsidR="0019789C" w:rsidRPr="0019789C" w:rsidRDefault="0019789C" w:rsidP="001300A7">
      <w:pPr>
        <w:pStyle w:val="fntxt"/>
      </w:pPr>
      <w:r w:rsidRPr="0019789C">
        <w:rPr>
          <w:rStyle w:val="FootnoteReference"/>
          <w:rFonts w:cs="Arial"/>
        </w:rPr>
        <w:footnoteRef/>
      </w:r>
      <w:r w:rsidRPr="0019789C">
        <w:t xml:space="preserve"> ibid 18.</w:t>
      </w:r>
    </w:p>
  </w:footnote>
  <w:footnote w:id="164">
    <w:p w14:paraId="5A9FCE3C" w14:textId="03D645A3" w:rsidR="0019789C" w:rsidRPr="0019789C" w:rsidRDefault="0019789C" w:rsidP="001300A7">
      <w:pPr>
        <w:pStyle w:val="fntxt"/>
      </w:pPr>
      <w:r w:rsidRPr="0019789C">
        <w:rPr>
          <w:rStyle w:val="FootnoteReference"/>
          <w:rFonts w:cs="Arial"/>
        </w:rPr>
        <w:footnoteRef/>
      </w:r>
      <w:r w:rsidRPr="0019789C">
        <w:t xml:space="preserve"> Local Government and Communities Directorate, ‘Scottish Planning Policy’ (2014).</w:t>
      </w:r>
    </w:p>
  </w:footnote>
  <w:footnote w:id="165">
    <w:p w14:paraId="0D037372" w14:textId="70B77639" w:rsidR="0019789C" w:rsidRPr="0019789C" w:rsidRDefault="0019789C" w:rsidP="001300A7">
      <w:pPr>
        <w:pStyle w:val="fntxt"/>
        <w:rPr>
          <w:lang w:val="en-US"/>
        </w:rPr>
      </w:pPr>
      <w:r w:rsidRPr="0019789C">
        <w:rPr>
          <w:rStyle w:val="FootnoteReference"/>
        </w:rPr>
        <w:footnoteRef/>
      </w:r>
      <w:r w:rsidRPr="0019789C">
        <w:t xml:space="preserve"> </w:t>
      </w:r>
      <w:r w:rsidRPr="0019789C">
        <w:rPr>
          <w:rStyle w:val="FootnoteTextChar"/>
        </w:rPr>
        <w:t>Local Government and Communities Directorate, ‘PAN 78: Planning and Building Standards Advice Note: Inclusive Design’ (Scottish Government, 2006)</w:t>
      </w:r>
    </w:p>
  </w:footnote>
  <w:footnote w:id="166">
    <w:p w14:paraId="36610D6C" w14:textId="771E01D6" w:rsidR="0019789C" w:rsidRPr="0019789C" w:rsidRDefault="0019789C" w:rsidP="001300A7">
      <w:pPr>
        <w:pStyle w:val="fntxt"/>
      </w:pPr>
      <w:r w:rsidRPr="0019789C">
        <w:rPr>
          <w:rStyle w:val="FootnoteReference"/>
          <w:rFonts w:cs="Arial"/>
        </w:rPr>
        <w:footnoteRef/>
      </w:r>
      <w:r w:rsidRPr="0019789C">
        <w:t xml:space="preserve"> The Town and Country Planning (Development Management Procedure) (Scotland) Regulations 2008.</w:t>
      </w:r>
    </w:p>
  </w:footnote>
  <w:footnote w:id="167">
    <w:p w14:paraId="79D702D0" w14:textId="695AF2D5" w:rsidR="0019789C" w:rsidRPr="0019789C" w:rsidRDefault="0019789C" w:rsidP="001300A7">
      <w:pPr>
        <w:pStyle w:val="fntxt"/>
      </w:pPr>
      <w:r w:rsidRPr="0019789C">
        <w:rPr>
          <w:rStyle w:val="FootnoteReference"/>
          <w:rFonts w:cs="Arial"/>
        </w:rPr>
        <w:footnoteRef/>
      </w:r>
      <w:r w:rsidRPr="0019789C">
        <w:t xml:space="preserve"> Local Government and Communities Directorate, ‘A Fairer Scotland for Older People: A Framework for Action’ (</w:t>
      </w:r>
      <w:r w:rsidRPr="0019789C">
        <w:fldChar w:fldCharType="begin"/>
      </w:r>
      <w:r w:rsidRPr="0019789C">
        <w:instrText xml:space="preserve"> NOTEREF _Ref94097857 \h  \* MERGEFORMAT </w:instrText>
      </w:r>
      <w:r w:rsidRPr="0019789C">
        <w:fldChar w:fldCharType="separate"/>
      </w:r>
      <w:r w:rsidR="00AD46EC">
        <w:t>144</w:t>
      </w:r>
      <w:r w:rsidRPr="0019789C">
        <w:fldChar w:fldCharType="end"/>
      </w:r>
      <w:r w:rsidRPr="0019789C">
        <w:t>) 39.</w:t>
      </w:r>
    </w:p>
  </w:footnote>
  <w:footnote w:id="168">
    <w:p w14:paraId="782EF404" w14:textId="59E476EE" w:rsidR="0019789C" w:rsidRPr="0019789C" w:rsidRDefault="0019789C" w:rsidP="001300A7">
      <w:pPr>
        <w:pStyle w:val="fntxt"/>
      </w:pPr>
      <w:r w:rsidRPr="0019789C">
        <w:rPr>
          <w:rStyle w:val="FootnoteReference"/>
          <w:rFonts w:cs="Arial"/>
        </w:rPr>
        <w:footnoteRef/>
      </w:r>
      <w:r w:rsidRPr="0019789C">
        <w:t xml:space="preserve"> ibid.</w:t>
      </w:r>
    </w:p>
  </w:footnote>
  <w:footnote w:id="169">
    <w:p w14:paraId="09EC542A" w14:textId="24C6AEA8"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 xml:space="preserve">Leeds City Council, ‘Best Council Plan’ </w:t>
      </w:r>
      <w:r w:rsidRPr="0019789C">
        <w:rPr>
          <w:rStyle w:val="Hyperlink"/>
        </w:rPr>
        <w:t>&lt;</w:t>
      </w:r>
      <w:hyperlink r:id="rId40" w:history="1">
        <w:r w:rsidRPr="0019789C">
          <w:rPr>
            <w:rStyle w:val="Hyperlink"/>
            <w:lang w:val="en-US"/>
          </w:rPr>
          <w:t>www.leeds.gov.uk/your-council/plans-and-strategies/council-plans</w:t>
        </w:r>
      </w:hyperlink>
      <w:r w:rsidRPr="0019789C">
        <w:rPr>
          <w:rStyle w:val="Hyperlink"/>
        </w:rPr>
        <w:t>&gt;</w:t>
      </w:r>
      <w:r w:rsidRPr="0019789C">
        <w:rPr>
          <w:lang w:val="en-US"/>
        </w:rPr>
        <w:t xml:space="preserve"> accessed 5 April 2020.</w:t>
      </w:r>
    </w:p>
  </w:footnote>
  <w:footnote w:id="170">
    <w:p w14:paraId="7BB7D6D2" w14:textId="752716CE"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 xml:space="preserve">Leeds City Council, ‘Best Council Plan </w:t>
      </w:r>
      <w:r w:rsidRPr="0019789C">
        <w:rPr>
          <w:rFonts w:eastAsia="Times New Roman"/>
          <w:lang w:val="en-US" w:eastAsia="en-US"/>
        </w:rPr>
        <w:t xml:space="preserve">2019/20 – 2020/21 - </w:t>
      </w:r>
      <w:r w:rsidRPr="0019789C">
        <w:t xml:space="preserve">Tackling poverty and reducing inequalities’ (February 2019) 4-5 </w:t>
      </w:r>
      <w:r w:rsidRPr="0019789C">
        <w:rPr>
          <w:rStyle w:val="Hyperlink"/>
        </w:rPr>
        <w:t>&lt;</w:t>
      </w:r>
      <w:hyperlink r:id="rId41" w:history="1">
        <w:r w:rsidRPr="0019789C">
          <w:rPr>
            <w:rStyle w:val="Hyperlink"/>
          </w:rPr>
          <w:t>www.leeds.gov.uk/docs/Best%20council%20plan%20-%20in%20full.pdf</w:t>
        </w:r>
      </w:hyperlink>
      <w:r w:rsidRPr="0019789C">
        <w:rPr>
          <w:rStyle w:val="Hyperlink"/>
        </w:rPr>
        <w:t xml:space="preserve">&gt; </w:t>
      </w:r>
      <w:r w:rsidRPr="0019789C">
        <w:t>accessed 5 April 2020.</w:t>
      </w:r>
    </w:p>
  </w:footnote>
  <w:footnote w:id="171">
    <w:p w14:paraId="6C987A98" w14:textId="503EA729"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4-5 and 16-17.</w:t>
      </w:r>
    </w:p>
  </w:footnote>
  <w:footnote w:id="172">
    <w:p w14:paraId="71B75F3D" w14:textId="51C7684F"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16-17.</w:t>
      </w:r>
    </w:p>
  </w:footnote>
  <w:footnote w:id="173">
    <w:p w14:paraId="09B144A6" w14:textId="77A2CA61" w:rsidR="0019789C" w:rsidRPr="0019789C" w:rsidRDefault="0019789C" w:rsidP="001300A7">
      <w:pPr>
        <w:pStyle w:val="fntxt"/>
      </w:pPr>
      <w:r w:rsidRPr="0019789C">
        <w:rPr>
          <w:rStyle w:val="FootnoteReference"/>
        </w:rPr>
        <w:footnoteRef/>
      </w:r>
      <w:r w:rsidRPr="0019789C">
        <w:t xml:space="preserve"> </w:t>
      </w:r>
      <w:r w:rsidRPr="0019789C">
        <w:rPr>
          <w:rStyle w:val="FootnoteTextChar"/>
        </w:rPr>
        <w:t xml:space="preserve">Leeds City Council, ‘Equality and Diversity Policy’ (October 2016) </w:t>
      </w:r>
      <w:r w:rsidRPr="0019789C">
        <w:t xml:space="preserve">1-2 </w:t>
      </w:r>
      <w:r w:rsidRPr="0019789C">
        <w:rPr>
          <w:rStyle w:val="Hyperlink"/>
        </w:rPr>
        <w:t>&lt;</w:t>
      </w:r>
      <w:hyperlink r:id="rId42" w:history="1">
        <w:r w:rsidRPr="0019789C">
          <w:rPr>
            <w:rStyle w:val="Hyperlink"/>
          </w:rPr>
          <w:t>www.leeds.gov.uk/docs/Equality%20and%20Diversity%20Policy%202016.pdf</w:t>
        </w:r>
      </w:hyperlink>
      <w:r w:rsidRPr="0019789C">
        <w:rPr>
          <w:rStyle w:val="Hyperlink"/>
        </w:rPr>
        <w:t>&gt;</w:t>
      </w:r>
      <w:r w:rsidRPr="0019789C">
        <w:rPr>
          <w:rStyle w:val="FootnoteTextChar"/>
        </w:rPr>
        <w:t xml:space="preserve"> accessed 5 April 2020.</w:t>
      </w:r>
    </w:p>
  </w:footnote>
  <w:footnote w:id="174">
    <w:p w14:paraId="70A35018"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2.</w:t>
      </w:r>
    </w:p>
  </w:footnote>
  <w:footnote w:id="175">
    <w:p w14:paraId="78D353A2" w14:textId="3B3ADAA8" w:rsidR="0019789C" w:rsidRPr="0019789C" w:rsidRDefault="0019789C" w:rsidP="001300A7">
      <w:pPr>
        <w:pStyle w:val="fntxt"/>
        <w:rPr>
          <w:lang w:val="en-US"/>
        </w:rPr>
      </w:pPr>
      <w:r w:rsidRPr="0019789C">
        <w:rPr>
          <w:rStyle w:val="FootnoteReference"/>
          <w:rFonts w:cs="Arial"/>
        </w:rPr>
        <w:footnoteRef/>
      </w:r>
      <w:r w:rsidRPr="0019789C">
        <w:t xml:space="preserve"> Leeds City Council, ‘Equality Improvement Priorities and Measures 2018-2022 </w:t>
      </w:r>
      <w:r w:rsidRPr="0019789C">
        <w:rPr>
          <w:rFonts w:eastAsia="Times New Roman"/>
          <w:lang w:val="en-US" w:eastAsia="en-GB"/>
        </w:rPr>
        <w:t xml:space="preserve">- Full list of priorities and performance indicators/measures’ (last updated August 2019) </w:t>
      </w:r>
      <w:r w:rsidRPr="0019789C">
        <w:rPr>
          <w:rStyle w:val="Hyperlink"/>
        </w:rPr>
        <w:t>&lt;</w:t>
      </w:r>
      <w:hyperlink r:id="rId43" w:history="1">
        <w:r w:rsidRPr="0019789C">
          <w:rPr>
            <w:rStyle w:val="Hyperlink"/>
          </w:rPr>
          <w:t>www.leeds.gov.uk/your-council/equality-and-diversity/equality-improvement-priorities</w:t>
        </w:r>
      </w:hyperlink>
      <w:r w:rsidRPr="0019789C">
        <w:rPr>
          <w:rStyle w:val="Hyperlink"/>
        </w:rPr>
        <w:t>&gt;</w:t>
      </w:r>
      <w:r w:rsidRPr="0019789C">
        <w:t xml:space="preserve"> accessed 5 April 2020.</w:t>
      </w:r>
    </w:p>
  </w:footnote>
  <w:footnote w:id="176">
    <w:p w14:paraId="0FD859D3" w14:textId="4392EA81"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w:t>
      </w:r>
    </w:p>
  </w:footnote>
  <w:footnote w:id="177">
    <w:p w14:paraId="43507D60" w14:textId="5BE33CC4"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 xml:space="preserve">Leeds City Council, ‘Equality Progress 2018-2019’ </w:t>
      </w:r>
      <w:r w:rsidRPr="0019789C">
        <w:rPr>
          <w:rStyle w:val="Hyperlink"/>
        </w:rPr>
        <w:t>&lt;</w:t>
      </w:r>
      <w:hyperlink r:id="rId44" w:history="1">
        <w:r w:rsidRPr="0019789C">
          <w:rPr>
            <w:rStyle w:val="Hyperlink"/>
          </w:rPr>
          <w:t>www.leeds.gov.uk/docs/Annual%20Report%202019%20online%20version.pdf</w:t>
        </w:r>
      </w:hyperlink>
      <w:r w:rsidRPr="0019789C">
        <w:rPr>
          <w:rStyle w:val="Hyperlink"/>
        </w:rPr>
        <w:t>&gt;</w:t>
      </w:r>
      <w:r w:rsidRPr="0019789C">
        <w:rPr>
          <w:lang w:val="en-US"/>
        </w:rPr>
        <w:t xml:space="preserve"> accessed 5 April 2020.</w:t>
      </w:r>
    </w:p>
  </w:footnote>
  <w:footnote w:id="178">
    <w:p w14:paraId="1738634B" w14:textId="595C0752" w:rsidR="0019789C" w:rsidRPr="0019789C" w:rsidRDefault="0019789C" w:rsidP="001300A7">
      <w:pPr>
        <w:pStyle w:val="fntxt"/>
        <w:rPr>
          <w:lang w:val="en-US"/>
        </w:rPr>
      </w:pPr>
      <w:r w:rsidRPr="0019789C">
        <w:rPr>
          <w:rStyle w:val="FootnoteReference"/>
        </w:rPr>
        <w:footnoteRef/>
      </w:r>
      <w:r w:rsidRPr="0019789C">
        <w:t xml:space="preserve"> ibid 67.</w:t>
      </w:r>
    </w:p>
  </w:footnote>
  <w:footnote w:id="179">
    <w:p w14:paraId="6DF7D888" w14:textId="7E6411A1" w:rsidR="0019789C" w:rsidRPr="0019789C" w:rsidRDefault="0019789C" w:rsidP="001300A7">
      <w:pPr>
        <w:pStyle w:val="fntxt"/>
        <w:rPr>
          <w:lang w:val="en-US"/>
        </w:rPr>
      </w:pPr>
      <w:r w:rsidRPr="0019789C">
        <w:rPr>
          <w:rStyle w:val="FootnoteReference"/>
        </w:rPr>
        <w:footnoteRef/>
      </w:r>
      <w:r w:rsidRPr="0019789C">
        <w:t xml:space="preserve"> ibid 69.</w:t>
      </w:r>
    </w:p>
  </w:footnote>
  <w:footnote w:id="180">
    <w:p w14:paraId="0F6450D2" w14:textId="0B1B9C6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65-66.</w:t>
      </w:r>
    </w:p>
  </w:footnote>
  <w:footnote w:id="181">
    <w:p w14:paraId="566E9DF3" w14:textId="379F0DF6" w:rsidR="0019789C" w:rsidRPr="0019789C" w:rsidRDefault="0019789C" w:rsidP="001300A7">
      <w:pPr>
        <w:pStyle w:val="fntxt"/>
        <w:rPr>
          <w:lang w:val="en-US"/>
        </w:rPr>
      </w:pPr>
      <w:r w:rsidRPr="0019789C">
        <w:rPr>
          <w:rStyle w:val="FootnoteReference"/>
        </w:rPr>
        <w:footnoteRef/>
      </w:r>
      <w:r w:rsidRPr="0019789C">
        <w:t xml:space="preserve"> Leeds City Council, ‘Access and Inclusion Policy’ &lt;</w:t>
      </w:r>
      <w:hyperlink r:id="rId45" w:history="1">
        <w:r w:rsidRPr="0019789C">
          <w:rPr>
            <w:rStyle w:val="Hyperlink"/>
            <w:rFonts w:cstheme="minorBidi"/>
          </w:rPr>
          <w:t>www.leeds.gov.uk/docs/Access%20and%20Inclusion%20Policy%20V2.pdf</w:t>
        </w:r>
      </w:hyperlink>
      <w:r w:rsidRPr="0019789C">
        <w:t>&gt;</w:t>
      </w:r>
      <w:r w:rsidRPr="0019789C">
        <w:rPr>
          <w:rStyle w:val="Hyperlink"/>
        </w:rPr>
        <w:t xml:space="preserve"> </w:t>
      </w:r>
      <w:r w:rsidRPr="0019789C">
        <w:t>accessed 22 April 2020.</w:t>
      </w:r>
    </w:p>
  </w:footnote>
  <w:footnote w:id="182">
    <w:p w14:paraId="3742F080" w14:textId="175DC90E"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1.</w:t>
      </w:r>
    </w:p>
  </w:footnote>
  <w:footnote w:id="183">
    <w:p w14:paraId="6C2281B1" w14:textId="71BA1C60" w:rsidR="0019789C" w:rsidRPr="0019789C" w:rsidRDefault="0019789C" w:rsidP="001300A7">
      <w:pPr>
        <w:pStyle w:val="fntxt"/>
      </w:pPr>
      <w:r w:rsidRPr="0019789C">
        <w:rPr>
          <w:rStyle w:val="FootnoteReference"/>
        </w:rPr>
        <w:footnoteRef/>
      </w:r>
      <w:r w:rsidRPr="0019789C">
        <w:t xml:space="preserve"> </w:t>
      </w:r>
      <w:r w:rsidRPr="0019789C">
        <w:rPr>
          <w:lang w:val="en-US"/>
        </w:rPr>
        <w:t xml:space="preserve">See above eg the strategies mentioned in </w:t>
      </w:r>
      <w:r w:rsidRPr="0019789C">
        <w:t>A6.1.1 Equality and Inclusion (a) and (b).</w:t>
      </w:r>
    </w:p>
  </w:footnote>
  <w:footnote w:id="184">
    <w:p w14:paraId="333838C1" w14:textId="2558DA80" w:rsidR="0019789C" w:rsidRPr="0019789C" w:rsidRDefault="0019789C" w:rsidP="001300A7">
      <w:pPr>
        <w:pStyle w:val="fntxt"/>
        <w:rPr>
          <w:rFonts w:eastAsia="Times New Roman"/>
          <w:lang w:val="en-US" w:eastAsia="en-US"/>
        </w:rPr>
      </w:pPr>
      <w:r w:rsidRPr="0019789C">
        <w:rPr>
          <w:rStyle w:val="FootnoteReference"/>
        </w:rPr>
        <w:footnoteRef/>
      </w:r>
      <w:r w:rsidRPr="0019789C">
        <w:t xml:space="preserve"> Leeds City Council, ‘Support for adults with learning disabilities’ </w:t>
      </w:r>
      <w:r w:rsidRPr="0019789C">
        <w:rPr>
          <w:rStyle w:val="Hyperlink"/>
        </w:rPr>
        <w:t>&lt;</w:t>
      </w:r>
      <w:hyperlink r:id="rId46" w:history="1">
        <w:r w:rsidRPr="0019789C">
          <w:rPr>
            <w:rStyle w:val="Hyperlink"/>
            <w:rFonts w:cstheme="minorBidi"/>
          </w:rPr>
          <w:t>www.leeds.gov.uk/residents/health-and-social-care/adult-social-care/learning-disability-community-support-service</w:t>
        </w:r>
      </w:hyperlink>
      <w:r w:rsidRPr="0019789C">
        <w:rPr>
          <w:rStyle w:val="Hyperlink"/>
        </w:rPr>
        <w:t>&gt;</w:t>
      </w:r>
      <w:r w:rsidRPr="0019789C">
        <w:t xml:space="preserve"> accessed 22 April 2020; Leeds City Council, ‘</w:t>
      </w:r>
      <w:r w:rsidRPr="0019789C">
        <w:rPr>
          <w:rFonts w:eastAsia="Times New Roman"/>
          <w:lang w:val="en-US" w:eastAsia="en-US"/>
        </w:rPr>
        <w:t xml:space="preserve">Leeds Local Offer: Special Educational Needs and Disability’ </w:t>
      </w:r>
      <w:r w:rsidRPr="0019789C">
        <w:rPr>
          <w:rStyle w:val="Hyperlink"/>
        </w:rPr>
        <w:t>&lt;</w:t>
      </w:r>
      <w:hyperlink r:id="rId47" w:history="1">
        <w:r w:rsidRPr="0019789C">
          <w:rPr>
            <w:rStyle w:val="Hyperlink"/>
          </w:rPr>
          <w:t>www.leeds.gov.uk/residents/children-families-and-carers/local-offer/leeds-local-offer/special-educational-needs-disability</w:t>
        </w:r>
      </w:hyperlink>
      <w:r w:rsidRPr="0019789C">
        <w:rPr>
          <w:rStyle w:val="Hyperlink"/>
        </w:rPr>
        <w:t xml:space="preserve">&gt; </w:t>
      </w:r>
      <w:r w:rsidRPr="0019789C">
        <w:t>accessed 22 April 2020.</w:t>
      </w:r>
    </w:p>
  </w:footnote>
  <w:footnote w:id="185">
    <w:p w14:paraId="438A7C6B" w14:textId="5CC334F1" w:rsidR="0019789C" w:rsidRPr="0019789C" w:rsidRDefault="0019789C" w:rsidP="001300A7">
      <w:pPr>
        <w:pStyle w:val="fntxt"/>
        <w:rPr>
          <w:color w:val="263238"/>
        </w:rPr>
      </w:pPr>
      <w:r w:rsidRPr="0019789C">
        <w:rPr>
          <w:rStyle w:val="FootnoteReference"/>
          <w:rFonts w:cs="Arial"/>
        </w:rPr>
        <w:footnoteRef/>
      </w:r>
      <w:r w:rsidRPr="0019789C">
        <w:t xml:space="preserve"> </w:t>
      </w:r>
      <w:r w:rsidRPr="0019789C">
        <w:rPr>
          <w:rStyle w:val="FootnoteTextChar"/>
        </w:rPr>
        <w:t xml:space="preserve">Leeds City Council, ‘Age Friendly Leeds - Strategy and action plan 2019 – 2022’ (2018) </w:t>
      </w:r>
      <w:r w:rsidRPr="0019789C">
        <w:rPr>
          <w:rStyle w:val="Hyperlink"/>
        </w:rPr>
        <w:t>&lt;</w:t>
      </w:r>
      <w:hyperlink r:id="rId48" w:history="1">
        <w:r w:rsidRPr="0019789C">
          <w:rPr>
            <w:rStyle w:val="Hyperlink"/>
            <w:rFonts w:cs="Arial"/>
          </w:rPr>
          <w:t>https://extranet.who.int/agefriendlyworld/wp-content/uploads/2019/05/AgeFriendlyLeeds-strategy-and-action-plan-2019-2022.pdf</w:t>
        </w:r>
      </w:hyperlink>
      <w:r w:rsidRPr="0019789C">
        <w:rPr>
          <w:rStyle w:val="Hyperlink"/>
        </w:rPr>
        <w:t>&gt;</w:t>
      </w:r>
      <w:r w:rsidRPr="0019789C">
        <w:t xml:space="preserve"> accessed 22 April 2020.</w:t>
      </w:r>
    </w:p>
  </w:footnote>
  <w:footnote w:id="186">
    <w:p w14:paraId="233F6801" w14:textId="1CFB1D98" w:rsidR="0019789C" w:rsidRPr="0019789C" w:rsidRDefault="0019789C" w:rsidP="001300A7">
      <w:pPr>
        <w:pStyle w:val="fntxt"/>
      </w:pPr>
      <w:r w:rsidRPr="0019789C">
        <w:rPr>
          <w:rStyle w:val="FootnoteReference"/>
        </w:rPr>
        <w:footnoteRef/>
      </w:r>
      <w:r w:rsidRPr="0019789C">
        <w:t xml:space="preserve"> See above </w:t>
      </w:r>
      <w:r w:rsidRPr="0019789C">
        <w:rPr>
          <w:lang w:val="en-US"/>
        </w:rPr>
        <w:t xml:space="preserve">in </w:t>
      </w:r>
      <w:r w:rsidRPr="0019789C">
        <w:t>A6.1.1 Equality and Inclusion (a).</w:t>
      </w:r>
    </w:p>
  </w:footnote>
  <w:footnote w:id="187">
    <w:p w14:paraId="72688F7A" w14:textId="0F7151ED" w:rsidR="0019789C" w:rsidRPr="0019789C" w:rsidRDefault="0019789C" w:rsidP="001300A7">
      <w:pPr>
        <w:pStyle w:val="fntxt"/>
        <w:rPr>
          <w:lang w:val="en-US"/>
        </w:rPr>
      </w:pPr>
      <w:r w:rsidRPr="0019789C">
        <w:rPr>
          <w:rStyle w:val="FootnoteReference"/>
        </w:rPr>
        <w:footnoteRef/>
      </w:r>
      <w:r w:rsidRPr="0019789C">
        <w:t xml:space="preserve"> </w:t>
      </w:r>
      <w:r w:rsidRPr="0019789C">
        <w:rPr>
          <w:rStyle w:val="FootnoteTextChar"/>
        </w:rPr>
        <w:t xml:space="preserve">Leeds City Council, ‘Age Friendly Leeds - Strategy and action plan 2019 – 2022’ (n </w:t>
      </w:r>
      <w:r w:rsidRPr="0019789C">
        <w:rPr>
          <w:rStyle w:val="FootnoteTextChar"/>
        </w:rPr>
        <w:fldChar w:fldCharType="begin"/>
      </w:r>
      <w:r w:rsidRPr="0019789C">
        <w:rPr>
          <w:rStyle w:val="FootnoteTextChar"/>
        </w:rPr>
        <w:instrText xml:space="preserve"> NOTEREF _Ref39674040 \h  \* MERGEFORMAT </w:instrText>
      </w:r>
      <w:r w:rsidRPr="0019789C">
        <w:rPr>
          <w:rStyle w:val="FootnoteTextChar"/>
        </w:rPr>
      </w:r>
      <w:r w:rsidRPr="0019789C">
        <w:rPr>
          <w:rStyle w:val="FootnoteTextChar"/>
        </w:rPr>
        <w:fldChar w:fldCharType="separate"/>
      </w:r>
      <w:r w:rsidR="00AD46EC">
        <w:rPr>
          <w:rStyle w:val="FootnoteTextChar"/>
        </w:rPr>
        <w:t>185</w:t>
      </w:r>
      <w:r w:rsidRPr="0019789C">
        <w:rPr>
          <w:rStyle w:val="FootnoteTextChar"/>
        </w:rPr>
        <w:fldChar w:fldCharType="end"/>
      </w:r>
      <w:r w:rsidRPr="0019789C">
        <w:rPr>
          <w:rStyle w:val="FootnoteTextChar"/>
        </w:rPr>
        <w:t>)</w:t>
      </w:r>
      <w:r w:rsidRPr="0019789C">
        <w:rPr>
          <w:lang w:val="en-US"/>
        </w:rPr>
        <w:t xml:space="preserve"> 7.</w:t>
      </w:r>
    </w:p>
  </w:footnote>
  <w:footnote w:id="188">
    <w:p w14:paraId="2D4A5F54" w14:textId="47FB2B1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8.</w:t>
      </w:r>
    </w:p>
  </w:footnote>
  <w:footnote w:id="189">
    <w:p w14:paraId="4FE24462" w14:textId="7A2F4CF1" w:rsidR="0019789C" w:rsidRPr="0019789C" w:rsidRDefault="0019789C" w:rsidP="001300A7">
      <w:pPr>
        <w:pStyle w:val="fntxt"/>
        <w:rPr>
          <w:lang w:val="en-US"/>
        </w:rPr>
      </w:pPr>
      <w:r w:rsidRPr="0019789C">
        <w:rPr>
          <w:rStyle w:val="FootnoteReference"/>
        </w:rPr>
        <w:footnoteRef/>
      </w:r>
      <w:r w:rsidRPr="0019789C">
        <w:t xml:space="preserve"> ibid 9.</w:t>
      </w:r>
    </w:p>
  </w:footnote>
  <w:footnote w:id="190">
    <w:p w14:paraId="3D094108" w14:textId="67CFC8B3" w:rsidR="0019789C" w:rsidRPr="0019789C" w:rsidRDefault="0019789C" w:rsidP="001300A7">
      <w:pPr>
        <w:pStyle w:val="fntxt"/>
        <w:rPr>
          <w:color w:val="263238"/>
        </w:rPr>
      </w:pPr>
      <w:r w:rsidRPr="0019789C">
        <w:rPr>
          <w:rStyle w:val="FootnoteReference"/>
        </w:rPr>
        <w:footnoteRef/>
      </w:r>
      <w:r w:rsidRPr="0019789C">
        <w:t xml:space="preserve"> </w:t>
      </w:r>
      <w:r w:rsidRPr="0019789C">
        <w:rPr>
          <w:lang w:val="en-US"/>
        </w:rPr>
        <w:t>Leeds City Council, ‘</w:t>
      </w:r>
      <w:r w:rsidRPr="0019789C">
        <w:rPr>
          <w:rStyle w:val="eop"/>
          <w:rFonts w:cs="Arial"/>
          <w:lang w:val="en-US"/>
        </w:rPr>
        <w:t xml:space="preserve">Leeds Children and Young People’s Plan 2018-2023’ </w:t>
      </w:r>
      <w:r w:rsidRPr="0019789C">
        <w:rPr>
          <w:rStyle w:val="Hyperlink"/>
        </w:rPr>
        <w:t>&lt;</w:t>
      </w:r>
      <w:hyperlink r:id="rId49" w:history="1">
        <w:r w:rsidRPr="0019789C">
          <w:rPr>
            <w:rStyle w:val="Hyperlink"/>
            <w:rFonts w:cs="Arial"/>
            <w:lang w:val="en-US"/>
          </w:rPr>
          <w:t>www.leeds.gov.uk/childfriendlyleeds/Documents/CMT18-022%20Childrens%20and%20YP%20Plan%2018-23.pdf</w:t>
        </w:r>
      </w:hyperlink>
      <w:r w:rsidRPr="0019789C">
        <w:rPr>
          <w:rStyle w:val="Hyperlink"/>
        </w:rPr>
        <w:t>&gt;</w:t>
      </w:r>
      <w:r w:rsidRPr="0019789C">
        <w:rPr>
          <w:rStyle w:val="eop"/>
          <w:rFonts w:cs="Arial"/>
          <w:lang w:val="en-US"/>
        </w:rPr>
        <w:t xml:space="preserve"> </w:t>
      </w:r>
      <w:r w:rsidRPr="0019789C">
        <w:t>accessed 22 April 2020.</w:t>
      </w:r>
    </w:p>
  </w:footnote>
  <w:footnote w:id="191">
    <w:p w14:paraId="74D1EE64" w14:textId="023BB89D" w:rsidR="0019789C" w:rsidRPr="0019789C" w:rsidRDefault="0019789C" w:rsidP="001300A7">
      <w:pPr>
        <w:pStyle w:val="fntxt"/>
        <w:rPr>
          <w:lang w:val="en-US"/>
        </w:rPr>
      </w:pPr>
      <w:r w:rsidRPr="0019789C">
        <w:rPr>
          <w:rStyle w:val="FootnoteReference"/>
        </w:rPr>
        <w:footnoteRef/>
      </w:r>
      <w:r w:rsidRPr="0019789C">
        <w:t xml:space="preserve"> ibid 3.</w:t>
      </w:r>
    </w:p>
  </w:footnote>
  <w:footnote w:id="192">
    <w:p w14:paraId="296BEF2D" w14:textId="29535E29" w:rsidR="0019789C" w:rsidRPr="0019789C" w:rsidRDefault="0019789C" w:rsidP="001300A7">
      <w:pPr>
        <w:pStyle w:val="fntxt"/>
      </w:pPr>
      <w:r w:rsidRPr="0019789C">
        <w:rPr>
          <w:rStyle w:val="FootnoteReference"/>
          <w:rFonts w:cs="Arial"/>
        </w:rPr>
        <w:footnoteRef/>
      </w:r>
      <w:r w:rsidRPr="0019789C">
        <w:t xml:space="preserve"> Leeds City Council, ‘Leeds Transport Strategy - Interim December 2016’ </w:t>
      </w:r>
      <w:r w:rsidRPr="0019789C">
        <w:rPr>
          <w:rStyle w:val="Hyperlink"/>
        </w:rPr>
        <w:t>&lt;</w:t>
      </w:r>
      <w:hyperlink r:id="rId50" w:history="1">
        <w:r w:rsidRPr="0019789C">
          <w:rPr>
            <w:rStyle w:val="Hyperlink"/>
            <w:rFonts w:cstheme="minorBidi"/>
          </w:rPr>
          <w:t>www.leeds.gov.uk/docs/Leeds%20Transport%20Strategy.pdf</w:t>
        </w:r>
      </w:hyperlink>
      <w:r w:rsidRPr="0019789C">
        <w:rPr>
          <w:rStyle w:val="Hyperlink"/>
        </w:rPr>
        <w:t>&gt;</w:t>
      </w:r>
      <w:r w:rsidRPr="0019789C">
        <w:t xml:space="preserve"> accessed 27 April 2020.</w:t>
      </w:r>
    </w:p>
  </w:footnote>
  <w:footnote w:id="193">
    <w:p w14:paraId="2CC34D97" w14:textId="7E502149" w:rsidR="0019789C" w:rsidRPr="0019789C" w:rsidRDefault="0019789C" w:rsidP="001300A7">
      <w:pPr>
        <w:pStyle w:val="fntxt"/>
      </w:pPr>
      <w:r w:rsidRPr="0019789C">
        <w:rPr>
          <w:rStyle w:val="FootnoteReference"/>
          <w:rFonts w:cs="Arial"/>
        </w:rPr>
        <w:footnoteRef/>
      </w:r>
      <w:r w:rsidRPr="0019789C">
        <w:t xml:space="preserve"> West Yorkshire Combined Authority, ‘Transport Strategy 2040’ </w:t>
      </w:r>
      <w:r w:rsidRPr="0019789C">
        <w:rPr>
          <w:rStyle w:val="Hyperlink"/>
        </w:rPr>
        <w:t>&lt;</w:t>
      </w:r>
      <w:hyperlink r:id="rId51" w:history="1">
        <w:r w:rsidRPr="0019789C">
          <w:rPr>
            <w:rStyle w:val="Hyperlink"/>
            <w:rFonts w:cs="Arial"/>
          </w:rPr>
          <w:t>www.westyorks-ca.gov.uk/media/2379/transport-strategy-2040.pdf</w:t>
        </w:r>
      </w:hyperlink>
      <w:r w:rsidRPr="0019789C">
        <w:rPr>
          <w:rStyle w:val="Hyperlink"/>
        </w:rPr>
        <w:t>&gt;</w:t>
      </w:r>
      <w:r w:rsidRPr="0019789C">
        <w:t xml:space="preserve"> accessed 27 April 2020.</w:t>
      </w:r>
    </w:p>
  </w:footnote>
  <w:footnote w:id="194">
    <w:p w14:paraId="5B847531" w14:textId="6319D7EA" w:rsidR="0019789C" w:rsidRPr="0019789C" w:rsidRDefault="0019789C" w:rsidP="001300A7">
      <w:pPr>
        <w:pStyle w:val="fntxt"/>
      </w:pPr>
      <w:r w:rsidRPr="0019789C">
        <w:rPr>
          <w:rStyle w:val="FootnoteReference"/>
          <w:rFonts w:cs="Arial"/>
        </w:rPr>
        <w:footnoteRef/>
      </w:r>
      <w:r w:rsidRPr="0019789C">
        <w:t xml:space="preserve"> Leeds City Council, ‘Connecting Leeds’ </w:t>
      </w:r>
      <w:r w:rsidRPr="0019789C">
        <w:rPr>
          <w:rStyle w:val="Hyperlink"/>
        </w:rPr>
        <w:t>&lt;</w:t>
      </w:r>
      <w:hyperlink r:id="rId52" w:history="1">
        <w:r w:rsidRPr="0019789C">
          <w:rPr>
            <w:rStyle w:val="Hyperlink"/>
          </w:rPr>
          <w:t>www.leeds.gov.uk/parking-roads-and-travel/road-improvement-schemes/connecting-leeds</w:t>
        </w:r>
      </w:hyperlink>
      <w:r w:rsidRPr="0019789C">
        <w:rPr>
          <w:rStyle w:val="Hyperlink"/>
        </w:rPr>
        <w:t>&gt;</w:t>
      </w:r>
      <w:r w:rsidRPr="0019789C">
        <w:t xml:space="preserve"> accessed 19 April 2020.</w:t>
      </w:r>
    </w:p>
  </w:footnote>
  <w:footnote w:id="195">
    <w:p w14:paraId="57650AD1" w14:textId="5CE3DE12" w:rsidR="0019789C" w:rsidRPr="0019789C" w:rsidRDefault="0019789C" w:rsidP="001300A7">
      <w:pPr>
        <w:pStyle w:val="fntxt"/>
        <w:rPr>
          <w:lang w:val="en-US"/>
        </w:rPr>
      </w:pPr>
      <w:r w:rsidRPr="0019789C">
        <w:rPr>
          <w:rStyle w:val="FootnoteReference"/>
        </w:rPr>
        <w:footnoteRef/>
      </w:r>
      <w:r w:rsidRPr="0019789C">
        <w:t xml:space="preserve"> Leeds City Council, ‘Leeds Transport Strategy - Interim December 2016’ (n </w:t>
      </w:r>
      <w:r w:rsidRPr="0019789C">
        <w:fldChar w:fldCharType="begin"/>
      </w:r>
      <w:r w:rsidRPr="0019789C">
        <w:instrText xml:space="preserve"> NOTEREF _Ref39674086 \h  \* MERGEFORMAT </w:instrText>
      </w:r>
      <w:r w:rsidRPr="0019789C">
        <w:fldChar w:fldCharType="separate"/>
      </w:r>
      <w:r w:rsidR="00AD46EC">
        <w:t>192</w:t>
      </w:r>
      <w:r w:rsidRPr="0019789C">
        <w:fldChar w:fldCharType="end"/>
      </w:r>
      <w:r w:rsidRPr="0019789C">
        <w:t>).</w:t>
      </w:r>
    </w:p>
  </w:footnote>
  <w:footnote w:id="196">
    <w:p w14:paraId="1500B887" w14:textId="0D60A1FF" w:rsidR="0019789C" w:rsidRPr="0019789C" w:rsidRDefault="0019789C" w:rsidP="001300A7">
      <w:pPr>
        <w:pStyle w:val="fntxt"/>
        <w:rPr>
          <w:lang w:val="en-US"/>
        </w:rPr>
      </w:pPr>
      <w:r w:rsidRPr="0019789C">
        <w:rPr>
          <w:rStyle w:val="FootnoteReference"/>
        </w:rPr>
        <w:footnoteRef/>
      </w:r>
      <w:r w:rsidRPr="0019789C">
        <w:t xml:space="preserve"> West Yorkshire Combined Authority, ‘Transport Strategy 2040’ (n </w:t>
      </w:r>
      <w:r w:rsidRPr="0019789C">
        <w:fldChar w:fldCharType="begin"/>
      </w:r>
      <w:r w:rsidRPr="0019789C">
        <w:instrText xml:space="preserve"> NOTEREF _Ref39674098 \h  \* MERGEFORMAT </w:instrText>
      </w:r>
      <w:r w:rsidRPr="0019789C">
        <w:fldChar w:fldCharType="separate"/>
      </w:r>
      <w:r w:rsidR="00AD46EC">
        <w:t>193</w:t>
      </w:r>
      <w:r w:rsidRPr="0019789C">
        <w:fldChar w:fldCharType="end"/>
      </w:r>
      <w:r w:rsidRPr="0019789C">
        <w:t>) 6.</w:t>
      </w:r>
    </w:p>
  </w:footnote>
  <w:footnote w:id="197">
    <w:p w14:paraId="30257E52" w14:textId="14D156AE" w:rsidR="0019789C" w:rsidRPr="0019789C" w:rsidRDefault="0019789C" w:rsidP="001300A7">
      <w:pPr>
        <w:pStyle w:val="fntxt"/>
      </w:pPr>
      <w:r w:rsidRPr="0019789C">
        <w:rPr>
          <w:rStyle w:val="FootnoteReference"/>
          <w:rFonts w:cs="Arial"/>
        </w:rPr>
        <w:footnoteRef/>
      </w:r>
      <w:r w:rsidRPr="0019789C">
        <w:t xml:space="preserve"> ibid 34.</w:t>
      </w:r>
    </w:p>
  </w:footnote>
  <w:footnote w:id="198">
    <w:p w14:paraId="638C1371" w14:textId="43FDAB48" w:rsidR="0019789C" w:rsidRPr="0019789C" w:rsidRDefault="0019789C" w:rsidP="001300A7">
      <w:pPr>
        <w:pStyle w:val="fntxt"/>
        <w:rPr>
          <w:rStyle w:val="FootnoteTextChar"/>
        </w:rPr>
      </w:pPr>
      <w:r w:rsidRPr="0019789C">
        <w:rPr>
          <w:rStyle w:val="FootnoteReference"/>
          <w:rFonts w:cs="Arial"/>
        </w:rPr>
        <w:footnoteRef/>
      </w:r>
      <w:r w:rsidRPr="0019789C">
        <w:t xml:space="preserve"> Leeds City Council, Roads and Pavements’ </w:t>
      </w:r>
      <w:r w:rsidRPr="0019789C">
        <w:rPr>
          <w:rStyle w:val="Hyperlink"/>
        </w:rPr>
        <w:t>&lt;</w:t>
      </w:r>
      <w:hyperlink r:id="rId53" w:history="1">
        <w:r w:rsidRPr="0019789C">
          <w:rPr>
            <w:rStyle w:val="Hyperlink"/>
            <w:rFonts w:cstheme="minorBidi"/>
          </w:rPr>
          <w:t>https://my.leeds.gov.uk/Pages/KnowledgeBase/RoadsAndPavements.aspx</w:t>
        </w:r>
      </w:hyperlink>
      <w:r w:rsidRPr="0019789C">
        <w:rPr>
          <w:rStyle w:val="Hyperlink"/>
        </w:rPr>
        <w:t>&gt;</w:t>
      </w:r>
      <w:r w:rsidRPr="0019789C">
        <w:rPr>
          <w:rStyle w:val="FootnoteTextChar"/>
        </w:rPr>
        <w:t xml:space="preserve"> accessed 29 April 2020.</w:t>
      </w:r>
    </w:p>
  </w:footnote>
  <w:footnote w:id="199">
    <w:p w14:paraId="58EB02EC" w14:textId="75A0C2C4" w:rsidR="0019789C" w:rsidRPr="0019789C" w:rsidRDefault="0019789C" w:rsidP="001300A7">
      <w:pPr>
        <w:pStyle w:val="fntxt"/>
        <w:rPr>
          <w:rStyle w:val="FootnoteTextChar"/>
          <w:lang w:val="en-US" w:eastAsia="en-US"/>
        </w:rPr>
      </w:pPr>
      <w:r w:rsidRPr="0019789C">
        <w:rPr>
          <w:rStyle w:val="FootnoteReference"/>
          <w:rFonts w:cs="Arial"/>
        </w:rPr>
        <w:footnoteRef/>
      </w:r>
      <w:r w:rsidRPr="0019789C">
        <w:t xml:space="preserve"> </w:t>
      </w:r>
      <w:r w:rsidRPr="0019789C">
        <w:rPr>
          <w:rStyle w:val="FootnoteTextChar"/>
        </w:rPr>
        <w:t xml:space="preserve">See, for details of a consultation about introducing such PSPOs in other parts of Leeds: Leeds City Council, ‘Public Spaces Protection Orders (PSPOs)’ </w:t>
      </w:r>
      <w:r w:rsidRPr="0019789C">
        <w:rPr>
          <w:rStyle w:val="Hyperlink"/>
        </w:rPr>
        <w:t>&lt;</w:t>
      </w:r>
      <w:hyperlink r:id="rId54" w:history="1">
        <w:r w:rsidRPr="0019789C">
          <w:rPr>
            <w:rStyle w:val="Hyperlink"/>
          </w:rPr>
          <w:t>www.leeds.gov.uk/residents/environmental-health/public-spaces-protection-orders-consultation</w:t>
        </w:r>
      </w:hyperlink>
      <w:r w:rsidRPr="0019789C">
        <w:rPr>
          <w:rStyle w:val="Hyperlink"/>
        </w:rPr>
        <w:t>&gt;</w:t>
      </w:r>
      <w:r w:rsidRPr="0019789C">
        <w:rPr>
          <w:rStyle w:val="FootnoteTextChar"/>
        </w:rPr>
        <w:t xml:space="preserve"> accessed 19 April 2020.</w:t>
      </w:r>
    </w:p>
  </w:footnote>
  <w:footnote w:id="200">
    <w:p w14:paraId="1C178761" w14:textId="335CE2B3" w:rsidR="0019789C" w:rsidRPr="0019789C" w:rsidRDefault="0019789C" w:rsidP="001300A7">
      <w:pPr>
        <w:pStyle w:val="fntxt"/>
      </w:pPr>
      <w:r w:rsidRPr="0019789C">
        <w:rPr>
          <w:rStyle w:val="FootnoteReference"/>
          <w:rFonts w:cs="Arial"/>
        </w:rPr>
        <w:footnoteRef/>
      </w:r>
      <w:r w:rsidRPr="0019789C">
        <w:t xml:space="preserve"> Leeds City Council, ‘Adopted Local Plan’ </w:t>
      </w:r>
      <w:r w:rsidRPr="0019789C">
        <w:rPr>
          <w:rStyle w:val="Hyperlink"/>
        </w:rPr>
        <w:t>&lt;</w:t>
      </w:r>
      <w:hyperlink r:id="rId55" w:history="1">
        <w:r w:rsidRPr="0019789C">
          <w:rPr>
            <w:rStyle w:val="Hyperlink"/>
          </w:rPr>
          <w:t>www.leeds.gov.uk/planning/planning-policy/adopted-local-plan</w:t>
        </w:r>
      </w:hyperlink>
      <w:r w:rsidRPr="0019789C">
        <w:rPr>
          <w:rStyle w:val="Hyperlink"/>
        </w:rPr>
        <w:t>&gt;</w:t>
      </w:r>
      <w:r w:rsidRPr="0019789C">
        <w:t xml:space="preserve"> accessed 24 April 2020.</w:t>
      </w:r>
    </w:p>
  </w:footnote>
  <w:footnote w:id="201">
    <w:p w14:paraId="3AB2332B" w14:textId="0D71AC7F" w:rsidR="0019789C" w:rsidRPr="0019789C" w:rsidRDefault="0019789C" w:rsidP="001300A7">
      <w:pPr>
        <w:pStyle w:val="fntxt"/>
      </w:pPr>
      <w:r w:rsidRPr="0019789C">
        <w:rPr>
          <w:rStyle w:val="FootnoteReference"/>
        </w:rPr>
        <w:footnoteRef/>
      </w:r>
      <w:r w:rsidRPr="0019789C">
        <w:t xml:space="preserve"> </w:t>
      </w:r>
      <w:r w:rsidRPr="0019789C">
        <w:rPr>
          <w:lang w:val="en-US"/>
        </w:rPr>
        <w:t>Leeds City Council, ‘</w:t>
      </w:r>
      <w:r w:rsidRPr="0019789C">
        <w:t xml:space="preserve">Adopted Supplementary Planning Documents’ </w:t>
      </w:r>
      <w:r w:rsidRPr="0019789C">
        <w:rPr>
          <w:rStyle w:val="Hyperlink"/>
        </w:rPr>
        <w:t>&lt;</w:t>
      </w:r>
      <w:hyperlink r:id="rId56" w:history="1">
        <w:r w:rsidRPr="0019789C">
          <w:rPr>
            <w:rStyle w:val="Hyperlink"/>
            <w:rFonts w:cs="Arial"/>
          </w:rPr>
          <w:t>www.leeds.gov.uk/planning/planning-policy/supplementary-planning-documents-and-guidance/adopted-supplementary-planning-documents</w:t>
        </w:r>
      </w:hyperlink>
      <w:r w:rsidRPr="0019789C">
        <w:rPr>
          <w:rStyle w:val="Hyperlink"/>
        </w:rPr>
        <w:t>&gt;</w:t>
      </w:r>
      <w:r w:rsidRPr="0019789C">
        <w:rPr>
          <w:rStyle w:val="Hyperlink"/>
          <w:rFonts w:cstheme="minorBidi"/>
          <w:color w:val="000000" w:themeColor="text1"/>
        </w:rPr>
        <w:t xml:space="preserve"> </w:t>
      </w:r>
      <w:r w:rsidRPr="0019789C">
        <w:rPr>
          <w:bCs/>
        </w:rPr>
        <w:t>accessed 24 April 2020</w:t>
      </w:r>
      <w:r w:rsidRPr="0019789C">
        <w:rPr>
          <w:lang w:val="en-US"/>
        </w:rPr>
        <w:t>.</w:t>
      </w:r>
    </w:p>
  </w:footnote>
  <w:footnote w:id="202">
    <w:p w14:paraId="4DB15EB7" w14:textId="5CF331D7" w:rsidR="0019789C" w:rsidRPr="0019789C" w:rsidRDefault="0019789C" w:rsidP="001300A7">
      <w:pPr>
        <w:pStyle w:val="fntxt"/>
      </w:pPr>
      <w:r w:rsidRPr="0019789C">
        <w:rPr>
          <w:rStyle w:val="FootnoteReference"/>
          <w:rFonts w:cs="Arial"/>
        </w:rPr>
        <w:footnoteRef/>
      </w:r>
      <w:r w:rsidRPr="0019789C">
        <w:t xml:space="preserve"> Leeds City Council, ‘</w:t>
      </w:r>
      <w:r w:rsidRPr="0019789C">
        <w:rPr>
          <w:rFonts w:eastAsia="Times New Roman"/>
          <w:lang w:eastAsia="en-GB"/>
        </w:rPr>
        <w:t>Accessible Leeds, Supplementary Planning Document: Leeds Local Development Framework Development Plan Document’ (November 2016)</w:t>
      </w:r>
      <w:r w:rsidRPr="0019789C">
        <w:t xml:space="preserve"> </w:t>
      </w:r>
      <w:r w:rsidRPr="0019789C">
        <w:rPr>
          <w:rStyle w:val="Hyperlink"/>
        </w:rPr>
        <w:t>&lt;</w:t>
      </w:r>
      <w:hyperlink r:id="rId57" w:history="1">
        <w:r w:rsidRPr="0019789C">
          <w:rPr>
            <w:rStyle w:val="Hyperlink"/>
          </w:rPr>
          <w:t>www.leeds.gov.uk/docs/Accessible%20Leeds%20SPD.pdf</w:t>
        </w:r>
      </w:hyperlink>
      <w:r w:rsidRPr="0019789C">
        <w:rPr>
          <w:rStyle w:val="Hyperlink"/>
        </w:rPr>
        <w:t>&gt;</w:t>
      </w:r>
      <w:r w:rsidRPr="0019789C">
        <w:rPr>
          <w:rStyle w:val="Hyperlink"/>
          <w:rFonts w:cstheme="minorBidi"/>
          <w:color w:val="000000" w:themeColor="text1"/>
        </w:rPr>
        <w:t xml:space="preserve"> </w:t>
      </w:r>
      <w:r w:rsidRPr="0019789C">
        <w:rPr>
          <w:bCs/>
        </w:rPr>
        <w:t>accessed 24 April 2020.</w:t>
      </w:r>
    </w:p>
  </w:footnote>
  <w:footnote w:id="203">
    <w:p w14:paraId="0A42D709" w14:textId="78ACEACC" w:rsidR="0019789C" w:rsidRPr="0019789C" w:rsidRDefault="0019789C" w:rsidP="001300A7">
      <w:pPr>
        <w:pStyle w:val="fntxt"/>
        <w:rPr>
          <w:lang w:val="en-US"/>
        </w:rPr>
      </w:pPr>
      <w:r w:rsidRPr="0019789C">
        <w:rPr>
          <w:rStyle w:val="FootnoteReference"/>
        </w:rPr>
        <w:footnoteRef/>
      </w:r>
      <w:r w:rsidRPr="0019789C">
        <w:t xml:space="preserve"> ibid 2.</w:t>
      </w:r>
    </w:p>
  </w:footnote>
  <w:footnote w:id="204">
    <w:p w14:paraId="77AB84CF" w14:textId="4EA6F003" w:rsidR="0019789C" w:rsidRPr="0019789C" w:rsidRDefault="0019789C" w:rsidP="001300A7">
      <w:pPr>
        <w:pStyle w:val="fntxt"/>
        <w:rPr>
          <w:lang w:val="en-US"/>
        </w:rPr>
      </w:pPr>
      <w:r w:rsidRPr="0019789C">
        <w:rPr>
          <w:rStyle w:val="FootnoteReference"/>
        </w:rPr>
        <w:footnoteRef/>
      </w:r>
      <w:r w:rsidRPr="0019789C">
        <w:t xml:space="preserve"> ibid 3.</w:t>
      </w:r>
    </w:p>
  </w:footnote>
  <w:footnote w:id="205">
    <w:p w14:paraId="53A7B68B" w14:textId="78CBFDA9" w:rsidR="0019789C" w:rsidRPr="0019789C" w:rsidRDefault="0019789C" w:rsidP="001300A7">
      <w:pPr>
        <w:pStyle w:val="fntxt"/>
      </w:pPr>
      <w:r w:rsidRPr="0019789C">
        <w:rPr>
          <w:rStyle w:val="FootnoteReference"/>
        </w:rPr>
        <w:footnoteRef/>
      </w:r>
      <w:r w:rsidRPr="0019789C">
        <w:t xml:space="preserve"> Leeds City Council, ‘</w:t>
      </w:r>
      <w:r w:rsidRPr="0019789C">
        <w:rPr>
          <w:rFonts w:eastAsia="Times New Roman"/>
          <w:lang w:val="en-US" w:eastAsia="en-US"/>
        </w:rPr>
        <w:t xml:space="preserve">Street Design Guide - </w:t>
      </w:r>
      <w:r w:rsidRPr="0019789C">
        <w:t xml:space="preserve">Leeds Local Development Framework’ (Supplementary Planning Document, Main Report, August 2009) </w:t>
      </w:r>
      <w:r w:rsidRPr="0019789C">
        <w:rPr>
          <w:rStyle w:val="Hyperlink"/>
        </w:rPr>
        <w:t>&lt;</w:t>
      </w:r>
      <w:hyperlink r:id="rId58" w:history="1">
        <w:r w:rsidRPr="0019789C">
          <w:rPr>
            <w:rStyle w:val="Hyperlink"/>
          </w:rPr>
          <w:t>www.leeds.gov.uk/docs/Street%20Design%20Guide%20-%20main%20report.pdf</w:t>
        </w:r>
      </w:hyperlink>
      <w:r w:rsidRPr="0019789C">
        <w:rPr>
          <w:rStyle w:val="Hyperlink"/>
        </w:rPr>
        <w:t xml:space="preserve">&gt; </w:t>
      </w:r>
      <w:r w:rsidRPr="0019789C">
        <w:rPr>
          <w:bCs/>
        </w:rPr>
        <w:t>accessed 24 April 2020</w:t>
      </w:r>
      <w:r w:rsidRPr="0019789C">
        <w:t>.</w:t>
      </w:r>
    </w:p>
  </w:footnote>
  <w:footnote w:id="206">
    <w:p w14:paraId="349E589A" w14:textId="5C4ACD94"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 xml:space="preserve">ibid </w:t>
      </w:r>
      <w:r w:rsidRPr="0019789C">
        <w:t>2, para 1.07.</w:t>
      </w:r>
    </w:p>
  </w:footnote>
  <w:footnote w:id="207">
    <w:p w14:paraId="1952E549" w14:textId="02D26C8E"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43-44.</w:t>
      </w:r>
    </w:p>
  </w:footnote>
  <w:footnote w:id="208">
    <w:p w14:paraId="00F6765B" w14:textId="0CA618D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49.</w:t>
      </w:r>
    </w:p>
  </w:footnote>
  <w:footnote w:id="209">
    <w:p w14:paraId="1B26E06D" w14:textId="505DCD2E"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49-50.</w:t>
      </w:r>
    </w:p>
  </w:footnote>
  <w:footnote w:id="210">
    <w:p w14:paraId="1DFFA7BF" w14:textId="44CF4690" w:rsidR="0019789C" w:rsidRPr="0019789C" w:rsidRDefault="0019789C" w:rsidP="001300A7">
      <w:pPr>
        <w:pStyle w:val="fntxt"/>
        <w:rPr>
          <w:rFonts w:eastAsia="Times New Roman"/>
          <w:lang w:val="en-US" w:eastAsia="en-GB"/>
        </w:rPr>
      </w:pPr>
      <w:r w:rsidRPr="0019789C">
        <w:rPr>
          <w:rStyle w:val="FootnoteReference"/>
        </w:rPr>
        <w:footnoteRef/>
      </w:r>
      <w:r w:rsidRPr="0019789C">
        <w:t xml:space="preserve"> Leeds City Council, ‘</w:t>
      </w:r>
      <w:r w:rsidRPr="0019789C">
        <w:rPr>
          <w:rFonts w:eastAsia="Times New Roman"/>
          <w:lang w:val="en-US" w:eastAsia="en-GB"/>
        </w:rPr>
        <w:t xml:space="preserve">Designing for Community Safety: A Residential Design Guide. Leeds Local Development Framework’ (May 2007) </w:t>
      </w:r>
      <w:hyperlink r:id="rId59" w:history="1">
        <w:r w:rsidRPr="0019789C">
          <w:rPr>
            <w:rStyle w:val="Hyperlink"/>
            <w:rFonts w:eastAsia="Times New Roman" w:cs="Arial"/>
            <w:lang w:val="en-US" w:eastAsia="en-GB"/>
          </w:rPr>
          <w:t>&lt;www.leeds.gov.uk/docs/FPI_DCS_001%20Community%20Safety%20SPD.pdf</w:t>
        </w:r>
      </w:hyperlink>
      <w:r w:rsidRPr="0019789C">
        <w:rPr>
          <w:rStyle w:val="Hyperlink"/>
          <w:rFonts w:eastAsia="Times New Roman" w:cs="Arial"/>
          <w:lang w:val="en-US" w:eastAsia="en-GB"/>
        </w:rPr>
        <w:t xml:space="preserve">&gt; </w:t>
      </w:r>
      <w:r w:rsidRPr="0019789C">
        <w:t>accessed 27 April 2020.</w:t>
      </w:r>
    </w:p>
  </w:footnote>
  <w:footnote w:id="211">
    <w:p w14:paraId="0F3659D7" w14:textId="06A734FB"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6.</w:t>
      </w:r>
    </w:p>
  </w:footnote>
  <w:footnote w:id="212">
    <w:p w14:paraId="3652AFF8" w14:textId="773506C1"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6-7.</w:t>
      </w:r>
    </w:p>
  </w:footnote>
  <w:footnote w:id="213">
    <w:p w14:paraId="0FB59712" w14:textId="2418DDC8"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10.</w:t>
      </w:r>
    </w:p>
  </w:footnote>
  <w:footnote w:id="214">
    <w:p w14:paraId="12116556" w14:textId="5ED2DA0D" w:rsidR="0019789C" w:rsidRPr="0019789C" w:rsidRDefault="0019789C" w:rsidP="001300A7">
      <w:pPr>
        <w:pStyle w:val="fntxt"/>
      </w:pPr>
      <w:r w:rsidRPr="0019789C">
        <w:rPr>
          <w:rStyle w:val="FootnoteReference"/>
        </w:rPr>
        <w:footnoteRef/>
      </w:r>
      <w:r w:rsidRPr="0019789C">
        <w:t xml:space="preserve"> Leeds City Council, ‘Travel Plans. Supplementary planning document – Leeds Local Development Framework’ (February 2015</w:t>
      </w:r>
      <w:r w:rsidRPr="0019789C">
        <w:rPr>
          <w:rFonts w:eastAsia="Times New Roman"/>
          <w:lang w:eastAsia="en-GB"/>
        </w:rPr>
        <w:t xml:space="preserve">) </w:t>
      </w:r>
      <w:r w:rsidRPr="0019789C">
        <w:rPr>
          <w:rStyle w:val="Hyperlink"/>
        </w:rPr>
        <w:t>&lt;</w:t>
      </w:r>
      <w:hyperlink r:id="rId60" w:history="1">
        <w:r w:rsidRPr="0019789C">
          <w:rPr>
            <w:rStyle w:val="Hyperlink"/>
          </w:rPr>
          <w:t>www.leeds.gov.uk/docs/Adopted%20Travel%20Plan%20SPD%20Jan%202015.pdf</w:t>
        </w:r>
      </w:hyperlink>
      <w:r w:rsidRPr="0019789C">
        <w:rPr>
          <w:rStyle w:val="Hyperlink"/>
        </w:rPr>
        <w:t>&gt;</w:t>
      </w:r>
      <w:r w:rsidRPr="0019789C">
        <w:t> accessed 24 April 2020.</w:t>
      </w:r>
    </w:p>
  </w:footnote>
  <w:footnote w:id="215">
    <w:p w14:paraId="200B89C5" w14:textId="3FCC5AAC" w:rsidR="0019789C" w:rsidRPr="0019789C" w:rsidRDefault="0019789C" w:rsidP="001300A7">
      <w:pPr>
        <w:pStyle w:val="fntxt"/>
        <w:rPr>
          <w:lang w:val="en-US"/>
        </w:rPr>
      </w:pPr>
      <w:r w:rsidRPr="0019789C">
        <w:rPr>
          <w:rStyle w:val="FootnoteReference"/>
        </w:rPr>
        <w:footnoteRef/>
      </w:r>
      <w:r w:rsidRPr="0019789C">
        <w:t xml:space="preserve"> ibid, para 3.3.1.</w:t>
      </w:r>
    </w:p>
  </w:footnote>
  <w:footnote w:id="216">
    <w:p w14:paraId="3C259BD4" w14:textId="1C0C2041"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para 9.5.</w:t>
      </w:r>
    </w:p>
  </w:footnote>
  <w:footnote w:id="217">
    <w:p w14:paraId="6A9887E0" w14:textId="5A041976" w:rsidR="0019789C" w:rsidRPr="0019789C" w:rsidRDefault="0019789C" w:rsidP="001300A7">
      <w:pPr>
        <w:pStyle w:val="fntxt"/>
      </w:pPr>
      <w:r w:rsidRPr="0019789C">
        <w:rPr>
          <w:rStyle w:val="FootnoteReference"/>
        </w:rPr>
        <w:footnoteRef/>
      </w:r>
      <w:r w:rsidRPr="0019789C">
        <w:t xml:space="preserve"> D O’Donoghue, ‘Design and Cost Report for the Pedestrian Crossing Review’ (April 2019) </w:t>
      </w:r>
      <w:r w:rsidRPr="0019789C">
        <w:rPr>
          <w:rStyle w:val="Hyperlink"/>
        </w:rPr>
        <w:t>&lt;</w:t>
      </w:r>
      <w:hyperlink r:id="rId61" w:history="1">
        <w:r w:rsidRPr="0019789C">
          <w:rPr>
            <w:rStyle w:val="Hyperlink"/>
            <w:rFonts w:cstheme="minorBidi"/>
          </w:rPr>
          <w:t>https://democracy.leeds.gov.uk/documents/s191712/Appendix%20B%20-%20Proposed%20Pedestrian%20Crossing%20Review%202019.pdf</w:t>
        </w:r>
      </w:hyperlink>
      <w:r w:rsidRPr="0019789C">
        <w:rPr>
          <w:rStyle w:val="Hyperlink"/>
        </w:rPr>
        <w:t>&gt;</w:t>
      </w:r>
      <w:r w:rsidRPr="0019789C">
        <w:t xml:space="preserve"> accessed 24 April 2020.</w:t>
      </w:r>
    </w:p>
  </w:footnote>
  <w:footnote w:id="218">
    <w:p w14:paraId="64582775" w14:textId="4C16CA9C"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para 2.1</w:t>
      </w:r>
    </w:p>
  </w:footnote>
  <w:footnote w:id="219">
    <w:p w14:paraId="4843E21D" w14:textId="0D322814"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para 2.2.</w:t>
      </w:r>
    </w:p>
  </w:footnote>
  <w:footnote w:id="220">
    <w:p w14:paraId="453ED3BA" w14:textId="4298369E"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para 4.2.</w:t>
      </w:r>
    </w:p>
  </w:footnote>
  <w:footnote w:id="221">
    <w:p w14:paraId="08AD534C" w14:textId="6A519D8E" w:rsidR="0019789C" w:rsidRPr="0019789C" w:rsidRDefault="0019789C" w:rsidP="001300A7">
      <w:pPr>
        <w:pStyle w:val="fntxt"/>
        <w:rPr>
          <w:rFonts w:eastAsia="Times New Roman"/>
          <w:lang w:eastAsia="en-GB"/>
        </w:rPr>
      </w:pPr>
      <w:r w:rsidRPr="0019789C">
        <w:rPr>
          <w:rStyle w:val="FootnoteReference"/>
          <w:rFonts w:cs="Arial"/>
        </w:rPr>
        <w:footnoteRef/>
      </w:r>
      <w:r w:rsidRPr="0019789C">
        <w:t xml:space="preserve"> Leeds City Council, ‘Equalities Assembly’ </w:t>
      </w:r>
      <w:hyperlink r:id="rId62" w:history="1">
        <w:r w:rsidRPr="0019789C">
          <w:rPr>
            <w:rStyle w:val="Hyperlink"/>
            <w:rFonts w:eastAsiaTheme="majorEastAsia" w:cs="Arial"/>
          </w:rPr>
          <w:t>&lt;</w:t>
        </w:r>
        <w:r w:rsidRPr="0019789C">
          <w:rPr>
            <w:rStyle w:val="Hyperlink"/>
            <w:rFonts w:cs="Arial"/>
          </w:rPr>
          <w:t>www.leeds.gov.uk/your-council/equality-and-diversity/equalities-assembly</w:t>
        </w:r>
      </w:hyperlink>
      <w:r w:rsidRPr="0019789C">
        <w:rPr>
          <w:rStyle w:val="Hyperlink"/>
        </w:rPr>
        <w:t xml:space="preserve">&gt; </w:t>
      </w:r>
      <w:r w:rsidRPr="0019789C">
        <w:t>accessed 24 April 2020.</w:t>
      </w:r>
    </w:p>
  </w:footnote>
  <w:footnote w:id="222">
    <w:p w14:paraId="0423FC4D" w14:textId="4AE0B260"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w:t>
      </w:r>
    </w:p>
  </w:footnote>
  <w:footnote w:id="223">
    <w:p w14:paraId="7C1384B0" w14:textId="58163AAF" w:rsidR="0019789C" w:rsidRPr="0019789C" w:rsidRDefault="0019789C" w:rsidP="001300A7">
      <w:pPr>
        <w:pStyle w:val="fntxt"/>
        <w:rPr>
          <w:rFonts w:eastAsia="Times New Roman"/>
          <w:lang w:eastAsia="en-GB"/>
        </w:rPr>
      </w:pPr>
      <w:r w:rsidRPr="0019789C">
        <w:rPr>
          <w:rStyle w:val="FootnoteReference"/>
          <w:rFonts w:cs="Arial"/>
        </w:rPr>
        <w:footnoteRef/>
      </w:r>
      <w:r w:rsidRPr="0019789C">
        <w:t xml:space="preserve"> Leeds Older People Forum </w:t>
      </w:r>
      <w:hyperlink r:id="rId63" w:history="1">
        <w:r w:rsidRPr="0019789C">
          <w:rPr>
            <w:rStyle w:val="Hyperlink"/>
            <w:rFonts w:cs="Arial"/>
            <w:lang w:bidi="en-US"/>
          </w:rPr>
          <w:t>&lt;www.opforum.org.uk/&gt;</w:t>
        </w:r>
      </w:hyperlink>
      <w:r w:rsidRPr="0019789C">
        <w:rPr>
          <w:rStyle w:val="Hyperlink"/>
          <w:rFonts w:cs="Arial"/>
          <w:lang w:bidi="en-US"/>
        </w:rPr>
        <w:t xml:space="preserve"> </w:t>
      </w:r>
      <w:r w:rsidRPr="0019789C">
        <w:t>accessed 24 April 2020.</w:t>
      </w:r>
      <w:r w:rsidRPr="0019789C">
        <w:rPr>
          <w:lang w:bidi="en-US"/>
        </w:rPr>
        <w:t xml:space="preserve"> </w:t>
      </w:r>
    </w:p>
  </w:footnote>
  <w:footnote w:id="224">
    <w:p w14:paraId="13D659C3" w14:textId="67D62D34" w:rsidR="0019789C" w:rsidRPr="0019789C" w:rsidRDefault="0019789C" w:rsidP="001300A7">
      <w:pPr>
        <w:pStyle w:val="fntxt"/>
        <w:rPr>
          <w:rFonts w:eastAsia="Times New Roman"/>
          <w:lang w:eastAsia="en-GB"/>
        </w:rPr>
      </w:pPr>
      <w:r w:rsidRPr="0019789C">
        <w:rPr>
          <w:rStyle w:val="FootnoteReference"/>
          <w:rFonts w:cs="Arial"/>
        </w:rPr>
        <w:footnoteRef/>
      </w:r>
      <w:r w:rsidRPr="0019789C">
        <w:t xml:space="preserve"> Age Action Alliance </w:t>
      </w:r>
      <w:hyperlink r:id="rId64" w:history="1">
        <w:r w:rsidRPr="0019789C">
          <w:rPr>
            <w:rStyle w:val="Hyperlink"/>
            <w:rFonts w:cs="Arial"/>
          </w:rPr>
          <w:t>&lt;http://ageactionalliance.org/&gt;</w:t>
        </w:r>
      </w:hyperlink>
      <w:r w:rsidRPr="0019789C">
        <w:rPr>
          <w:rStyle w:val="Hyperlink"/>
          <w:rFonts w:cs="Arial"/>
        </w:rPr>
        <w:t xml:space="preserve"> </w:t>
      </w:r>
      <w:r w:rsidRPr="0019789C">
        <w:t>accessed 24 April 2020.</w:t>
      </w:r>
    </w:p>
  </w:footnote>
  <w:footnote w:id="225">
    <w:p w14:paraId="7C61353D" w14:textId="1E9117BB" w:rsidR="0019789C" w:rsidRPr="0019789C" w:rsidRDefault="0019789C" w:rsidP="001300A7">
      <w:pPr>
        <w:pStyle w:val="fntxt"/>
        <w:rPr>
          <w:rFonts w:eastAsia="Times New Roman"/>
          <w:lang w:eastAsia="en-GB"/>
        </w:rPr>
      </w:pPr>
      <w:r w:rsidRPr="0019789C">
        <w:rPr>
          <w:rStyle w:val="FootnoteReference"/>
          <w:rFonts w:cs="Arial"/>
        </w:rPr>
        <w:footnoteRef/>
      </w:r>
      <w:r w:rsidRPr="0019789C">
        <w:t xml:space="preserve"> NIHR, ‘Leeds Involving People’ </w:t>
      </w:r>
      <w:r w:rsidRPr="0019789C">
        <w:rPr>
          <w:rStyle w:val="Hyperlink"/>
        </w:rPr>
        <w:t>&lt;</w:t>
      </w:r>
      <w:hyperlink r:id="rId65" w:history="1">
        <w:r w:rsidRPr="0019789C">
          <w:rPr>
            <w:rStyle w:val="Hyperlink"/>
          </w:rPr>
          <w:t>www.invo.org.uk/communities/invodirect-org/leeds-involving-people/</w:t>
        </w:r>
      </w:hyperlink>
      <w:r w:rsidRPr="0019789C">
        <w:rPr>
          <w:rStyle w:val="Hyperlink"/>
        </w:rPr>
        <w:t>&gt;</w:t>
      </w:r>
      <w:r w:rsidRPr="0019789C">
        <w:t xml:space="preserve"> accessed 24 April 2020.</w:t>
      </w:r>
    </w:p>
  </w:footnote>
  <w:footnote w:id="226">
    <w:p w14:paraId="67A37BC8" w14:textId="690B93F9" w:rsidR="0019789C" w:rsidRPr="0019789C" w:rsidRDefault="0019789C" w:rsidP="001300A7">
      <w:pPr>
        <w:pStyle w:val="fntxt"/>
      </w:pPr>
      <w:r w:rsidRPr="0019789C">
        <w:rPr>
          <w:rStyle w:val="FootnoteReference"/>
        </w:rPr>
        <w:footnoteRef/>
      </w:r>
      <w:r w:rsidRPr="0019789C">
        <w:t xml:space="preserve"> Glasgow City Council, ‘Equality Outcomes 2017 to 2021’ (March 2017) para 7.2 &lt;</w:t>
      </w:r>
      <w:hyperlink r:id="rId66" w:history="1">
        <w:r w:rsidRPr="0019789C">
          <w:rPr>
            <w:rStyle w:val="Hyperlink"/>
            <w:rFonts w:cstheme="minorBidi"/>
          </w:rPr>
          <w:t>https://www.glasgow.gov.uk/CHttpHandler.ashx?id=37295&amp;p=0</w:t>
        </w:r>
      </w:hyperlink>
      <w:r w:rsidRPr="0019789C">
        <w:t>&gt; accessed 8 April 2020.</w:t>
      </w:r>
    </w:p>
  </w:footnote>
  <w:footnote w:id="227">
    <w:p w14:paraId="13C61A9E" w14:textId="4EB87621"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 xml:space="preserve">ibid, para 8. </w:t>
      </w:r>
    </w:p>
  </w:footnote>
  <w:footnote w:id="228">
    <w:p w14:paraId="56D0C317" w14:textId="7D72B32C"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para 1.3.</w:t>
      </w:r>
    </w:p>
  </w:footnote>
  <w:footnote w:id="229">
    <w:p w14:paraId="569AEF55" w14:textId="78EC5021"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sections 2-5.</w:t>
      </w:r>
    </w:p>
  </w:footnote>
  <w:footnote w:id="230">
    <w:p w14:paraId="165B0589" w14:textId="12CDFE9E" w:rsidR="0019789C" w:rsidRPr="0019789C" w:rsidRDefault="0019789C" w:rsidP="001300A7">
      <w:pPr>
        <w:pStyle w:val="fntxt"/>
        <w:rPr>
          <w:lang w:val="en-US"/>
        </w:rPr>
      </w:pPr>
      <w:r w:rsidRPr="0019789C">
        <w:rPr>
          <w:rStyle w:val="FootnoteReference"/>
        </w:rPr>
        <w:footnoteRef/>
      </w:r>
      <w:r w:rsidRPr="0019789C">
        <w:t xml:space="preserve"> Glasgow City Council, ‘Equality Progress Report 2019: Mainstreaming Equality in Service Delivery and Progress towards Equality Outcomes 2017 to 2021’ </w:t>
      </w:r>
      <w:hyperlink r:id="rId67" w:history="1">
        <w:r w:rsidRPr="0019789C">
          <w:rPr>
            <w:rStyle w:val="Hyperlink"/>
          </w:rPr>
          <w:t>https://www.glasgow.gov.uk/CHttpHandler.ashx?id=45112&amp;p=0</w:t>
        </w:r>
      </w:hyperlink>
      <w:r w:rsidRPr="0019789C">
        <w:t xml:space="preserve"> accessed 8 April 2020</w:t>
      </w:r>
    </w:p>
  </w:footnote>
  <w:footnote w:id="231">
    <w:p w14:paraId="5DD3AF17" w14:textId="01F0963F" w:rsidR="0019789C" w:rsidRPr="0019789C" w:rsidRDefault="0019789C" w:rsidP="001300A7">
      <w:pPr>
        <w:pStyle w:val="fntxt"/>
        <w:rPr>
          <w:lang w:val="en-US"/>
        </w:rPr>
      </w:pPr>
      <w:r w:rsidRPr="0019789C">
        <w:rPr>
          <w:rStyle w:val="FootnoteReference"/>
        </w:rPr>
        <w:footnoteRef/>
      </w:r>
      <w:r w:rsidRPr="0019789C">
        <w:t xml:space="preserve"> Glasgow City Council, ‘Equality Outcomes 2017 to 2021’ (n </w:t>
      </w:r>
      <w:r w:rsidRPr="0019789C">
        <w:fldChar w:fldCharType="begin"/>
      </w:r>
      <w:r w:rsidRPr="0019789C">
        <w:instrText xml:space="preserve"> NOTEREF _Ref93672686 \h  \* MERGEFORMAT </w:instrText>
      </w:r>
      <w:r w:rsidRPr="0019789C">
        <w:fldChar w:fldCharType="separate"/>
      </w:r>
      <w:r w:rsidR="00AD46EC">
        <w:t>226</w:t>
      </w:r>
      <w:r w:rsidRPr="0019789C">
        <w:fldChar w:fldCharType="end"/>
      </w:r>
      <w:r w:rsidRPr="0019789C">
        <w:t>) 23.</w:t>
      </w:r>
    </w:p>
  </w:footnote>
  <w:footnote w:id="232">
    <w:p w14:paraId="3BD90A5F" w14:textId="4941658C" w:rsidR="0019789C" w:rsidRPr="0019789C" w:rsidRDefault="0019789C" w:rsidP="001300A7">
      <w:pPr>
        <w:pStyle w:val="fntxt"/>
        <w:rPr>
          <w:lang w:val="en-US"/>
        </w:rPr>
      </w:pPr>
      <w:r w:rsidRPr="0019789C">
        <w:rPr>
          <w:rStyle w:val="FootnoteReference"/>
        </w:rPr>
        <w:footnoteRef/>
      </w:r>
      <w:r w:rsidRPr="0019789C">
        <w:t xml:space="preserve"> Glasgow City Council, ‘Equality Progress Report 2019’ (n </w:t>
      </w:r>
      <w:r w:rsidRPr="0019789C">
        <w:fldChar w:fldCharType="begin"/>
      </w:r>
      <w:r w:rsidRPr="0019789C">
        <w:instrText xml:space="preserve"> NOTEREF _Ref93672700 \h  \* MERGEFORMAT </w:instrText>
      </w:r>
      <w:r w:rsidRPr="0019789C">
        <w:fldChar w:fldCharType="separate"/>
      </w:r>
      <w:r w:rsidR="00AD46EC">
        <w:t>230</w:t>
      </w:r>
      <w:r w:rsidRPr="0019789C">
        <w:fldChar w:fldCharType="end"/>
      </w:r>
      <w:r w:rsidRPr="0019789C">
        <w:t>) 53.</w:t>
      </w:r>
    </w:p>
  </w:footnote>
  <w:footnote w:id="233">
    <w:p w14:paraId="12D1C274" w14:textId="4B2EBA83"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54.</w:t>
      </w:r>
    </w:p>
  </w:footnote>
  <w:footnote w:id="234">
    <w:p w14:paraId="1F8C32D0" w14:textId="22A1BBE3" w:rsidR="0019789C" w:rsidRPr="0019789C" w:rsidRDefault="0019789C" w:rsidP="001300A7">
      <w:pPr>
        <w:pStyle w:val="fntxt"/>
        <w:rPr>
          <w:lang w:val="en-US"/>
        </w:rPr>
      </w:pPr>
      <w:r w:rsidRPr="0019789C">
        <w:rPr>
          <w:rStyle w:val="FootnoteReference"/>
        </w:rPr>
        <w:footnoteRef/>
      </w:r>
      <w:r w:rsidRPr="0019789C">
        <w:t xml:space="preserve"> Glasgow City Council, ‘Equality Outcomes 2017 to 2021’ (n </w:t>
      </w:r>
      <w:r w:rsidRPr="0019789C">
        <w:fldChar w:fldCharType="begin"/>
      </w:r>
      <w:r w:rsidRPr="0019789C">
        <w:instrText xml:space="preserve"> NOTEREF _Ref93672686 \h  \* MERGEFORMAT </w:instrText>
      </w:r>
      <w:r w:rsidRPr="0019789C">
        <w:fldChar w:fldCharType="separate"/>
      </w:r>
      <w:r w:rsidR="00AD46EC">
        <w:t>226</w:t>
      </w:r>
      <w:r w:rsidRPr="0019789C">
        <w:fldChar w:fldCharType="end"/>
      </w:r>
      <w:r w:rsidRPr="0019789C">
        <w:t>) 24.</w:t>
      </w:r>
    </w:p>
  </w:footnote>
  <w:footnote w:id="235">
    <w:p w14:paraId="455B72BA" w14:textId="0BBF4ACA" w:rsidR="0019789C" w:rsidRPr="0019789C" w:rsidRDefault="0019789C" w:rsidP="001300A7">
      <w:pPr>
        <w:pStyle w:val="fntxt"/>
        <w:rPr>
          <w:lang w:val="en-US"/>
        </w:rPr>
      </w:pPr>
      <w:r w:rsidRPr="0019789C">
        <w:rPr>
          <w:rStyle w:val="FootnoteReference"/>
        </w:rPr>
        <w:footnoteRef/>
      </w:r>
      <w:r w:rsidRPr="0019789C">
        <w:t xml:space="preserve"> Glasgow City Council, ‘Equality Progress Report 2019’ (n </w:t>
      </w:r>
      <w:r w:rsidRPr="0019789C">
        <w:fldChar w:fldCharType="begin"/>
      </w:r>
      <w:r w:rsidRPr="0019789C">
        <w:instrText xml:space="preserve"> NOTEREF _Ref93672700 \h  \* MERGEFORMAT </w:instrText>
      </w:r>
      <w:r w:rsidRPr="0019789C">
        <w:fldChar w:fldCharType="separate"/>
      </w:r>
      <w:r w:rsidR="00AD46EC">
        <w:t>230</w:t>
      </w:r>
      <w:r w:rsidRPr="0019789C">
        <w:fldChar w:fldCharType="end"/>
      </w:r>
      <w:r w:rsidRPr="0019789C">
        <w:t>) 58.</w:t>
      </w:r>
    </w:p>
  </w:footnote>
  <w:footnote w:id="236">
    <w:p w14:paraId="559D84BE" w14:textId="03F6F564" w:rsidR="0019789C" w:rsidRPr="0019789C" w:rsidRDefault="0019789C" w:rsidP="001300A7">
      <w:pPr>
        <w:pStyle w:val="fntxt"/>
        <w:rPr>
          <w:lang w:val="en-US"/>
        </w:rPr>
      </w:pPr>
      <w:r w:rsidRPr="0019789C">
        <w:rPr>
          <w:rStyle w:val="FootnoteReference"/>
        </w:rPr>
        <w:footnoteRef/>
      </w:r>
      <w:r w:rsidRPr="0019789C">
        <w:t xml:space="preserve"> Glasgow City Council, ‘Equality Outcomes 2017 to 2021’ (n </w:t>
      </w:r>
      <w:r w:rsidRPr="0019789C">
        <w:fldChar w:fldCharType="begin"/>
      </w:r>
      <w:r w:rsidRPr="0019789C">
        <w:instrText xml:space="preserve"> NOTEREF _Ref93672686 \h  \* MERGEFORMAT </w:instrText>
      </w:r>
      <w:r w:rsidRPr="0019789C">
        <w:fldChar w:fldCharType="separate"/>
      </w:r>
      <w:r w:rsidR="00AD46EC">
        <w:t>226</w:t>
      </w:r>
      <w:r w:rsidRPr="0019789C">
        <w:fldChar w:fldCharType="end"/>
      </w:r>
      <w:r w:rsidRPr="0019789C">
        <w:t>) 24-26.</w:t>
      </w:r>
    </w:p>
  </w:footnote>
  <w:footnote w:id="237">
    <w:p w14:paraId="033B2D1E" w14:textId="4A046BA1" w:rsidR="0019789C" w:rsidRPr="0019789C" w:rsidRDefault="0019789C" w:rsidP="001300A7">
      <w:pPr>
        <w:pStyle w:val="fntxt"/>
        <w:rPr>
          <w:lang w:val="en-US"/>
        </w:rPr>
      </w:pPr>
      <w:r w:rsidRPr="0019789C">
        <w:rPr>
          <w:rStyle w:val="FootnoteReference"/>
        </w:rPr>
        <w:footnoteRef/>
      </w:r>
      <w:r w:rsidRPr="0019789C">
        <w:t xml:space="preserve"> Glasgow City Council, ‘Equality Progress Report 2019’ (n </w:t>
      </w:r>
      <w:r w:rsidRPr="0019789C">
        <w:fldChar w:fldCharType="begin"/>
      </w:r>
      <w:r w:rsidRPr="0019789C">
        <w:instrText xml:space="preserve"> NOTEREF _Ref93672700 \h  \* MERGEFORMAT </w:instrText>
      </w:r>
      <w:r w:rsidRPr="0019789C">
        <w:fldChar w:fldCharType="separate"/>
      </w:r>
      <w:r w:rsidR="00AD46EC">
        <w:t>230</w:t>
      </w:r>
      <w:r w:rsidRPr="0019789C">
        <w:fldChar w:fldCharType="end"/>
      </w:r>
      <w:r w:rsidRPr="0019789C">
        <w:t>) 61.</w:t>
      </w:r>
    </w:p>
  </w:footnote>
  <w:footnote w:id="238">
    <w:p w14:paraId="0D506FCF" w14:textId="2B68AE30" w:rsidR="0019789C" w:rsidRPr="0019789C" w:rsidRDefault="0019789C" w:rsidP="001300A7">
      <w:pPr>
        <w:pStyle w:val="fntxt"/>
        <w:rPr>
          <w:lang w:val="en-US"/>
        </w:rPr>
      </w:pPr>
      <w:r w:rsidRPr="0019789C">
        <w:rPr>
          <w:rStyle w:val="FootnoteReference"/>
        </w:rPr>
        <w:footnoteRef/>
      </w:r>
      <w:r w:rsidRPr="0019789C">
        <w:t xml:space="preserve"> Glasgow City Council, ‘Equality Progress Report 2019’ (n </w:t>
      </w:r>
      <w:r w:rsidRPr="0019789C">
        <w:fldChar w:fldCharType="begin"/>
      </w:r>
      <w:r w:rsidRPr="0019789C">
        <w:instrText xml:space="preserve"> NOTEREF _Ref93672700 \h  \* MERGEFORMAT </w:instrText>
      </w:r>
      <w:r w:rsidRPr="0019789C">
        <w:fldChar w:fldCharType="separate"/>
      </w:r>
      <w:r w:rsidR="00AD46EC">
        <w:t>230</w:t>
      </w:r>
      <w:r w:rsidRPr="0019789C">
        <w:fldChar w:fldCharType="end"/>
      </w:r>
      <w:r w:rsidRPr="0019789C">
        <w:t>) 62.</w:t>
      </w:r>
    </w:p>
  </w:footnote>
  <w:footnote w:id="239">
    <w:p w14:paraId="69614F05"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26.</w:t>
      </w:r>
    </w:p>
  </w:footnote>
  <w:footnote w:id="240">
    <w:p w14:paraId="47F66A30" w14:textId="17F071C4" w:rsidR="0019789C" w:rsidRPr="0019789C" w:rsidRDefault="0019789C" w:rsidP="001300A7">
      <w:pPr>
        <w:pStyle w:val="fntxt"/>
        <w:rPr>
          <w:lang w:val="en-US"/>
        </w:rPr>
      </w:pPr>
      <w:r w:rsidRPr="0019789C">
        <w:rPr>
          <w:rStyle w:val="FootnoteReference"/>
        </w:rPr>
        <w:footnoteRef/>
      </w:r>
      <w:r w:rsidRPr="0019789C">
        <w:t xml:space="preserve"> Glasgow City Council, ‘Equality Progress Report 2019’ (n </w:t>
      </w:r>
      <w:r w:rsidRPr="0019789C">
        <w:fldChar w:fldCharType="begin"/>
      </w:r>
      <w:r w:rsidRPr="0019789C">
        <w:instrText xml:space="preserve"> NOTEREF _Ref93672700 \h  \* MERGEFORMAT </w:instrText>
      </w:r>
      <w:r w:rsidRPr="0019789C">
        <w:fldChar w:fldCharType="separate"/>
      </w:r>
      <w:r w:rsidR="00AD46EC">
        <w:t>230</w:t>
      </w:r>
      <w:r w:rsidRPr="0019789C">
        <w:fldChar w:fldCharType="end"/>
      </w:r>
      <w:r w:rsidRPr="0019789C">
        <w:t>) 62-63.</w:t>
      </w:r>
    </w:p>
  </w:footnote>
  <w:footnote w:id="241">
    <w:p w14:paraId="5AC59C24" w14:textId="392189C5" w:rsidR="0019789C" w:rsidRPr="0019789C" w:rsidRDefault="0019789C" w:rsidP="001300A7">
      <w:pPr>
        <w:pStyle w:val="fntxt"/>
        <w:rPr>
          <w:lang w:val="en-US"/>
        </w:rPr>
      </w:pPr>
      <w:r w:rsidRPr="0019789C">
        <w:rPr>
          <w:rStyle w:val="FootnoteReference"/>
        </w:rPr>
        <w:footnoteRef/>
      </w:r>
      <w:r w:rsidRPr="0019789C">
        <w:t xml:space="preserve"> </w:t>
      </w:r>
      <w:r w:rsidRPr="0019789C">
        <w:rPr>
          <w:lang w:bidi="en-US"/>
        </w:rPr>
        <w:t>Glasgow City Council, ‘Equality Impact Assessments and Screenings 2019-2020’</w:t>
      </w:r>
      <w:r w:rsidRPr="0019789C">
        <w:t xml:space="preserve"> &lt;</w:t>
      </w:r>
      <w:hyperlink r:id="rId68" w:history="1">
        <w:r w:rsidRPr="0019789C">
          <w:rPr>
            <w:rStyle w:val="Hyperlink"/>
            <w:rFonts w:cstheme="minorBidi"/>
            <w:lang w:bidi="en-US"/>
          </w:rPr>
          <w:t>www.glasgow.gov.uk/article/17533/Equality-Impact-Assessment-EqIA</w:t>
        </w:r>
      </w:hyperlink>
      <w:r w:rsidRPr="0019789C">
        <w:rPr>
          <w:lang w:bidi="en-US"/>
        </w:rPr>
        <w:t xml:space="preserve">&gt; </w:t>
      </w:r>
      <w:r w:rsidRPr="0019789C">
        <w:t>accessed 8 April 2020.</w:t>
      </w:r>
    </w:p>
  </w:footnote>
  <w:footnote w:id="242">
    <w:p w14:paraId="0274C92C" w14:textId="56AF2275" w:rsidR="0019789C" w:rsidRPr="0019789C" w:rsidRDefault="0019789C" w:rsidP="001300A7">
      <w:pPr>
        <w:pStyle w:val="fntxt"/>
      </w:pPr>
      <w:r w:rsidRPr="0019789C">
        <w:rPr>
          <w:rStyle w:val="FootnoteReference"/>
        </w:rPr>
        <w:footnoteRef/>
      </w:r>
      <w:r w:rsidRPr="0019789C">
        <w:t xml:space="preserve"> </w:t>
      </w:r>
      <w:r w:rsidRPr="0019789C">
        <w:rPr>
          <w:lang w:bidi="en-US"/>
        </w:rPr>
        <w:t>Glasgow City Council, ‘Equality Impact Assessment Guidance July 2019’</w:t>
      </w:r>
      <w:r w:rsidRPr="0019789C">
        <w:rPr>
          <w:vertAlign w:val="superscript"/>
          <w:lang w:bidi="en-US"/>
        </w:rPr>
        <w:t xml:space="preserve"> </w:t>
      </w:r>
      <w:hyperlink r:id="rId69" w:history="1">
        <w:r w:rsidRPr="0019789C">
          <w:rPr>
            <w:rStyle w:val="Hyperlink"/>
          </w:rPr>
          <w:t>&lt;www.glasgow.gov.uk/CHttpHandler.ashx?id=30586&amp;p=0</w:t>
        </w:r>
      </w:hyperlink>
      <w:r w:rsidRPr="0019789C">
        <w:rPr>
          <w:rStyle w:val="Hyperlink"/>
        </w:rPr>
        <w:t>&gt;</w:t>
      </w:r>
      <w:r w:rsidRPr="0019789C">
        <w:t xml:space="preserve"> accessed 8 April 2020.</w:t>
      </w:r>
    </w:p>
  </w:footnote>
  <w:footnote w:id="243">
    <w:p w14:paraId="130375C7" w14:textId="17C9BED1" w:rsidR="0019789C" w:rsidRPr="0019789C" w:rsidRDefault="0019789C" w:rsidP="001300A7">
      <w:pPr>
        <w:pStyle w:val="fntxt"/>
        <w:rPr>
          <w:rStyle w:val="fntxtChar"/>
          <w:lang w:val="en-US"/>
        </w:rPr>
      </w:pPr>
      <w:r w:rsidRPr="0019789C">
        <w:rPr>
          <w:rStyle w:val="FootnoteReference"/>
        </w:rPr>
        <w:footnoteRef/>
      </w:r>
      <w:r w:rsidRPr="0019789C">
        <w:t xml:space="preserve"> </w:t>
      </w:r>
      <w:r w:rsidRPr="0019789C">
        <w:rPr>
          <w:rStyle w:val="fntxtChar"/>
        </w:rPr>
        <w:t>See AccessAble &lt;</w:t>
      </w:r>
      <w:hyperlink r:id="rId70" w:history="1">
        <w:r w:rsidRPr="0019789C">
          <w:rPr>
            <w:rStyle w:val="Hyperlink"/>
            <w:rFonts w:cstheme="minorBidi"/>
          </w:rPr>
          <w:t>www.disabledgo.com</w:t>
        </w:r>
      </w:hyperlink>
      <w:r w:rsidRPr="0019789C">
        <w:rPr>
          <w:rStyle w:val="fntxtChar"/>
        </w:rPr>
        <w:t>&gt; and select Glasgow from the range of city guides.</w:t>
      </w:r>
    </w:p>
  </w:footnote>
  <w:footnote w:id="244">
    <w:p w14:paraId="1AE6643E"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rFonts w:cs="Arial"/>
        </w:rPr>
        <w:t>See above, A6.2.1 (a) Equality.</w:t>
      </w:r>
    </w:p>
  </w:footnote>
  <w:footnote w:id="245">
    <w:p w14:paraId="24A32A0E"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rFonts w:cs="Arial"/>
        </w:rPr>
        <w:t>See above, A6.2.1 (a) Equality.</w:t>
      </w:r>
    </w:p>
  </w:footnote>
  <w:footnote w:id="246">
    <w:p w14:paraId="083AE466" w14:textId="563A28EB" w:rsidR="0019789C" w:rsidRPr="0019789C" w:rsidRDefault="0019789C" w:rsidP="001300A7">
      <w:pPr>
        <w:pStyle w:val="fntxt"/>
        <w:rPr>
          <w:lang w:val="en-US"/>
        </w:rPr>
      </w:pPr>
      <w:r w:rsidRPr="0019789C">
        <w:rPr>
          <w:rStyle w:val="FootnoteReference"/>
        </w:rPr>
        <w:footnoteRef/>
      </w:r>
      <w:r w:rsidRPr="0019789C">
        <w:t xml:space="preserve"> Glasgow City Council, ‘Equality Outcomes 2017 to 2021’ (n </w:t>
      </w:r>
      <w:r w:rsidRPr="0019789C">
        <w:fldChar w:fldCharType="begin"/>
      </w:r>
      <w:r w:rsidRPr="0019789C">
        <w:instrText xml:space="preserve"> NOTEREF _Ref93672686 \h  \* MERGEFORMAT </w:instrText>
      </w:r>
      <w:r w:rsidRPr="0019789C">
        <w:fldChar w:fldCharType="separate"/>
      </w:r>
      <w:r w:rsidR="00AD46EC">
        <w:t>226</w:t>
      </w:r>
      <w:r w:rsidRPr="0019789C">
        <w:fldChar w:fldCharType="end"/>
      </w:r>
      <w:r w:rsidRPr="0019789C">
        <w:t>) para 2.3; see above A6.1.1 (d).</w:t>
      </w:r>
    </w:p>
  </w:footnote>
  <w:footnote w:id="247">
    <w:p w14:paraId="4493A06C" w14:textId="31A10003" w:rsidR="0019789C" w:rsidRPr="0019789C" w:rsidRDefault="0019789C" w:rsidP="001300A7">
      <w:pPr>
        <w:pStyle w:val="fntxt"/>
      </w:pPr>
      <w:r w:rsidRPr="0019789C">
        <w:rPr>
          <w:rStyle w:val="FootnoteReference"/>
        </w:rPr>
        <w:footnoteRef/>
      </w:r>
      <w:r w:rsidRPr="0019789C">
        <w:t xml:space="preserve"> Glasgow City Council, ‘Glasgow City Centre Transport Strategy 2014-2024’ (February 2015) &lt;</w:t>
      </w:r>
      <w:hyperlink r:id="rId71" w:history="1">
        <w:r w:rsidRPr="0019789C">
          <w:rPr>
            <w:rStyle w:val="Hyperlink"/>
            <w:rFonts w:cstheme="minorBidi"/>
          </w:rPr>
          <w:t>www.glasgow.gov.uk/article/18276/City-Centre-Transport-Strategy</w:t>
        </w:r>
      </w:hyperlink>
      <w:r w:rsidRPr="0019789C">
        <w:t>&gt; accessed 15 January 2020.</w:t>
      </w:r>
    </w:p>
  </w:footnote>
  <w:footnote w:id="248">
    <w:p w14:paraId="48562977" w14:textId="73C30C98" w:rsidR="0019789C" w:rsidRPr="0019789C" w:rsidRDefault="0019789C" w:rsidP="001300A7">
      <w:pPr>
        <w:pStyle w:val="fntxt"/>
      </w:pPr>
      <w:r w:rsidRPr="0019789C">
        <w:rPr>
          <w:rStyle w:val="FootnoteReference"/>
          <w:rFonts w:cs="Arial"/>
        </w:rPr>
        <w:footnoteRef/>
      </w:r>
      <w:r w:rsidRPr="0019789C">
        <w:t xml:space="preserve"> ibid 4.</w:t>
      </w:r>
    </w:p>
  </w:footnote>
  <w:footnote w:id="249">
    <w:p w14:paraId="2C818323" w14:textId="77777777" w:rsidR="0019789C" w:rsidRPr="0019789C" w:rsidRDefault="0019789C" w:rsidP="001300A7">
      <w:pPr>
        <w:pStyle w:val="fntxt"/>
      </w:pPr>
      <w:r w:rsidRPr="0019789C">
        <w:rPr>
          <w:rStyle w:val="FootnoteReference"/>
          <w:rFonts w:cs="Arial"/>
        </w:rPr>
        <w:footnoteRef/>
      </w:r>
      <w:r w:rsidRPr="0019789C">
        <w:t xml:space="preserve"> ibid 5.</w:t>
      </w:r>
    </w:p>
  </w:footnote>
  <w:footnote w:id="250">
    <w:p w14:paraId="6B279DB7"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251">
    <w:p w14:paraId="4943697F" w14:textId="088A3DB9" w:rsidR="0019789C" w:rsidRPr="0019789C" w:rsidRDefault="0019789C" w:rsidP="001300A7">
      <w:pPr>
        <w:pStyle w:val="fntxt"/>
      </w:pPr>
      <w:r w:rsidRPr="0019789C">
        <w:rPr>
          <w:rStyle w:val="FootnoteReference"/>
        </w:rPr>
        <w:footnoteRef/>
      </w:r>
      <w:r w:rsidRPr="0019789C">
        <w:t xml:space="preserve"> Glasgow City Council, 'School Car Free Zones' &lt;</w:t>
      </w:r>
      <w:hyperlink r:id="rId72" w:history="1">
        <w:r w:rsidRPr="0019789C">
          <w:rPr>
            <w:rStyle w:val="Hyperlink"/>
            <w:rFonts w:cstheme="minorBidi"/>
          </w:rPr>
          <w:t>www.glasgow.gov.uk/schoolcarfreezones</w:t>
        </w:r>
      </w:hyperlink>
      <w:r w:rsidRPr="0019789C">
        <w:t>&gt; accessed 10 May 2020.</w:t>
      </w:r>
    </w:p>
  </w:footnote>
  <w:footnote w:id="252">
    <w:p w14:paraId="53893D1D" w14:textId="75B420FC"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w:t>
      </w:r>
    </w:p>
  </w:footnote>
  <w:footnote w:id="253">
    <w:p w14:paraId="085D8F98" w14:textId="3A6E9263" w:rsidR="0019789C" w:rsidRPr="0019789C" w:rsidRDefault="0019789C" w:rsidP="001300A7">
      <w:pPr>
        <w:pStyle w:val="fntxt"/>
        <w:rPr>
          <w:lang w:val="en-US"/>
        </w:rPr>
      </w:pPr>
      <w:r w:rsidRPr="0019789C">
        <w:rPr>
          <w:rStyle w:val="FootnoteReference"/>
        </w:rPr>
        <w:footnoteRef/>
      </w:r>
      <w:r w:rsidRPr="0019789C">
        <w:t xml:space="preserve"> Go Safe Glasgow, ‘About Us’ &lt;</w:t>
      </w:r>
      <w:hyperlink r:id="rId73" w:history="1">
        <w:r w:rsidRPr="0019789C">
          <w:rPr>
            <w:rStyle w:val="Hyperlink"/>
            <w:rFonts w:cstheme="minorBidi"/>
          </w:rPr>
          <w:t>www.gosafeglasgow.com/about-us</w:t>
        </w:r>
      </w:hyperlink>
      <w:r w:rsidRPr="0019789C">
        <w:t>&gt; accessed 12 May 2020.</w:t>
      </w:r>
    </w:p>
  </w:footnote>
  <w:footnote w:id="254">
    <w:p w14:paraId="5B94E0C8" w14:textId="3EF2B1F0" w:rsidR="0019789C" w:rsidRPr="0019789C" w:rsidRDefault="0019789C" w:rsidP="001300A7">
      <w:pPr>
        <w:pStyle w:val="fntxt"/>
        <w:rPr>
          <w:lang w:val="en-US"/>
        </w:rPr>
      </w:pPr>
      <w:r w:rsidRPr="0019789C">
        <w:rPr>
          <w:rStyle w:val="FootnoteReference"/>
        </w:rPr>
        <w:footnoteRef/>
      </w:r>
      <w:r w:rsidRPr="0019789C">
        <w:t xml:space="preserve"> Go Safe Glasgow, ‘Pedestrians’ &lt;</w:t>
      </w:r>
      <w:hyperlink r:id="rId74" w:history="1">
        <w:r w:rsidRPr="0019789C">
          <w:rPr>
            <w:rStyle w:val="Hyperlink"/>
            <w:rFonts w:cstheme="minorBidi"/>
          </w:rPr>
          <w:t>www.gosafeglasgow.com/drive-safe/pedestrians</w:t>
        </w:r>
      </w:hyperlink>
      <w:r w:rsidRPr="0019789C">
        <w:t>&gt; accessed 12 May 2020.</w:t>
      </w:r>
    </w:p>
  </w:footnote>
  <w:footnote w:id="255">
    <w:p w14:paraId="124A0C6E" w14:textId="7FA11315" w:rsidR="0019789C" w:rsidRPr="0019789C" w:rsidRDefault="0019789C" w:rsidP="001300A7">
      <w:pPr>
        <w:pStyle w:val="fntxt"/>
        <w:rPr>
          <w:lang w:val="en-US"/>
        </w:rPr>
      </w:pPr>
      <w:r w:rsidRPr="0019789C">
        <w:rPr>
          <w:rStyle w:val="FootnoteReference"/>
        </w:rPr>
        <w:footnoteRef/>
      </w:r>
      <w:r w:rsidRPr="0019789C">
        <w:t xml:space="preserve"> Glasgow City Council, ‘Traffic and Road Safety Plan 2020’ &lt;</w:t>
      </w:r>
      <w:hyperlink r:id="rId75" w:history="1">
        <w:r w:rsidRPr="0019789C">
          <w:rPr>
            <w:rStyle w:val="Hyperlink"/>
            <w:rFonts w:cstheme="minorBidi"/>
          </w:rPr>
          <w:t>https://www.glasgow.gov.uk/CouncillorsandCommittees/viewSelectedDocument.asp?c=P62AFQUTDXUT0G2U</w:t>
        </w:r>
      </w:hyperlink>
      <w:r w:rsidRPr="0019789C">
        <w:t>&gt; accessed 12 May 2020.</w:t>
      </w:r>
    </w:p>
  </w:footnote>
  <w:footnote w:id="256">
    <w:p w14:paraId="7B5BDBC5" w14:textId="4A6CAB3B"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w:t>
      </w:r>
    </w:p>
  </w:footnote>
  <w:footnote w:id="257">
    <w:p w14:paraId="79026E21" w14:textId="1868081F" w:rsidR="0019789C" w:rsidRPr="0019789C" w:rsidRDefault="0019789C" w:rsidP="001300A7">
      <w:pPr>
        <w:pStyle w:val="fntxt"/>
        <w:rPr>
          <w:lang w:val="en-US"/>
        </w:rPr>
      </w:pPr>
      <w:r w:rsidRPr="0019789C">
        <w:rPr>
          <w:rStyle w:val="FootnoteReference"/>
        </w:rPr>
        <w:footnoteRef/>
      </w:r>
      <w:r w:rsidRPr="0019789C">
        <w:t xml:space="preserve"> Go Safe Glasgow, ‘Pedestrians’ (n </w:t>
      </w:r>
      <w:r w:rsidRPr="0019789C">
        <w:fldChar w:fldCharType="begin"/>
      </w:r>
      <w:r w:rsidRPr="0019789C">
        <w:instrText xml:space="preserve"> NOTEREF _Ref93672778 \h  \* MERGEFORMAT </w:instrText>
      </w:r>
      <w:r w:rsidRPr="0019789C">
        <w:fldChar w:fldCharType="separate"/>
      </w:r>
      <w:r w:rsidR="00AD46EC">
        <w:t>254</w:t>
      </w:r>
      <w:r w:rsidRPr="0019789C">
        <w:fldChar w:fldCharType="end"/>
      </w:r>
      <w:r w:rsidRPr="0019789C">
        <w:t>); Go Safe Glasgow, ‘See Our Seniors’ &lt;</w:t>
      </w:r>
      <w:hyperlink r:id="rId76" w:history="1">
        <w:r w:rsidRPr="0019789C">
          <w:rPr>
            <w:rStyle w:val="Hyperlink"/>
            <w:rFonts w:cstheme="minorBidi"/>
          </w:rPr>
          <w:t>www.gosafeglasgow.com/our-work/see-our-seniors</w:t>
        </w:r>
      </w:hyperlink>
      <w:r w:rsidRPr="0019789C">
        <w:t>&gt; accessed 12 May 2020</w:t>
      </w:r>
      <w:r w:rsidRPr="0019789C">
        <w:rPr>
          <w:lang w:val="en-US"/>
        </w:rPr>
        <w:t xml:space="preserve">; </w:t>
      </w:r>
      <w:r w:rsidRPr="0019789C">
        <w:t xml:space="preserve">Glasgow City Council, ‘Glasgow's new road safety campaign targets pedestrians’ </w:t>
      </w:r>
      <w:r w:rsidRPr="0019789C">
        <w:rPr>
          <w:lang w:val="en-US"/>
        </w:rPr>
        <w:t>&lt;</w:t>
      </w:r>
      <w:hyperlink r:id="rId77" w:history="1">
        <w:r w:rsidRPr="0019789C">
          <w:rPr>
            <w:rStyle w:val="Hyperlink"/>
            <w:rFonts w:cstheme="minorBidi"/>
            <w:lang w:val="en-US"/>
          </w:rPr>
          <w:t>www.glasgow.gov.uk/article/19099/Glasgows-new-road-safety-campaign-targets-pedestrians</w:t>
        </w:r>
      </w:hyperlink>
      <w:r w:rsidRPr="0019789C">
        <w:rPr>
          <w:lang w:val="en-US"/>
        </w:rPr>
        <w:t xml:space="preserve">&gt; </w:t>
      </w:r>
      <w:r w:rsidRPr="0019789C">
        <w:t>accessed 12 May 2020</w:t>
      </w:r>
      <w:r w:rsidRPr="0019789C">
        <w:rPr>
          <w:lang w:val="en-US"/>
        </w:rPr>
        <w:t>.</w:t>
      </w:r>
    </w:p>
  </w:footnote>
  <w:footnote w:id="258">
    <w:p w14:paraId="59547255" w14:textId="73FC9A3E" w:rsidR="0019789C" w:rsidRPr="0019789C" w:rsidRDefault="0019789C" w:rsidP="001300A7">
      <w:pPr>
        <w:pStyle w:val="fntxt"/>
        <w:rPr>
          <w:lang w:val="en-US"/>
        </w:rPr>
      </w:pPr>
      <w:r w:rsidRPr="0019789C">
        <w:rPr>
          <w:rStyle w:val="FootnoteReference"/>
        </w:rPr>
        <w:footnoteRef/>
      </w:r>
      <w:r w:rsidRPr="0019789C">
        <w:t xml:space="preserve"> Glasgow City Council, ‘Traffic and Road Safety Plan 2020’ (n </w:t>
      </w:r>
      <w:r w:rsidRPr="0019789C">
        <w:fldChar w:fldCharType="begin"/>
      </w:r>
      <w:r w:rsidRPr="0019789C">
        <w:instrText xml:space="preserve"> NOTEREF _Ref93672788 \h  \* MERGEFORMAT </w:instrText>
      </w:r>
      <w:r w:rsidRPr="0019789C">
        <w:fldChar w:fldCharType="separate"/>
      </w:r>
      <w:r w:rsidR="00AD46EC">
        <w:t>255</w:t>
      </w:r>
      <w:r w:rsidRPr="0019789C">
        <w:fldChar w:fldCharType="end"/>
      </w:r>
      <w:r w:rsidRPr="0019789C">
        <w:t xml:space="preserve">) </w:t>
      </w:r>
      <w:r w:rsidRPr="0019789C">
        <w:rPr>
          <w:lang w:val="en-US"/>
        </w:rPr>
        <w:t>18.</w:t>
      </w:r>
    </w:p>
  </w:footnote>
  <w:footnote w:id="259">
    <w:p w14:paraId="164DD458" w14:textId="5DFB2E35" w:rsidR="0019789C" w:rsidRPr="0019789C" w:rsidRDefault="0019789C" w:rsidP="001300A7">
      <w:pPr>
        <w:pStyle w:val="fntxt"/>
      </w:pPr>
      <w:r w:rsidRPr="0019789C">
        <w:rPr>
          <w:rStyle w:val="FootnoteReference"/>
        </w:rPr>
        <w:footnoteRef/>
      </w:r>
      <w:r w:rsidRPr="0019789C">
        <w:t xml:space="preserve"> Glasgow City Council, ‘Glasgow City Council Strategic Plan 2017 to 2022’ &lt;</w:t>
      </w:r>
      <w:hyperlink r:id="rId78" w:history="1">
        <w:r w:rsidRPr="0019789C">
          <w:rPr>
            <w:rStyle w:val="Hyperlink"/>
            <w:rFonts w:cstheme="minorBidi"/>
          </w:rPr>
          <w:t>www.glasgow.gov.uk/CHttpHandler.ashx?id=40052&amp;p=0</w:t>
        </w:r>
      </w:hyperlink>
      <w:r w:rsidRPr="0019789C">
        <w:t>&gt; accessed 15 January 2020.</w:t>
      </w:r>
    </w:p>
  </w:footnote>
  <w:footnote w:id="260">
    <w:p w14:paraId="42D7F48F" w14:textId="77777777" w:rsidR="0019789C" w:rsidRPr="0019789C" w:rsidRDefault="0019789C" w:rsidP="001300A7">
      <w:pPr>
        <w:pStyle w:val="fntxt"/>
      </w:pPr>
      <w:r w:rsidRPr="0019789C">
        <w:rPr>
          <w:rStyle w:val="FootnoteReference"/>
          <w:rFonts w:cs="Arial"/>
        </w:rPr>
        <w:footnoteRef/>
      </w:r>
      <w:r w:rsidRPr="0019789C">
        <w:t xml:space="preserve"> ibid 18.</w:t>
      </w:r>
    </w:p>
  </w:footnote>
  <w:footnote w:id="261">
    <w:p w14:paraId="71CDDB73" w14:textId="77777777" w:rsidR="0019789C" w:rsidRPr="0019789C" w:rsidRDefault="0019789C" w:rsidP="001300A7">
      <w:pPr>
        <w:pStyle w:val="fntxt"/>
      </w:pPr>
      <w:r w:rsidRPr="0019789C">
        <w:rPr>
          <w:rStyle w:val="FootnoteReference"/>
          <w:rFonts w:cs="Arial"/>
        </w:rPr>
        <w:footnoteRef/>
      </w:r>
      <w:r w:rsidRPr="0019789C">
        <w:t xml:space="preserve"> ibid 22. </w:t>
      </w:r>
    </w:p>
  </w:footnote>
  <w:footnote w:id="262">
    <w:p w14:paraId="0168D240" w14:textId="77777777" w:rsidR="0019789C" w:rsidRPr="0019789C" w:rsidRDefault="0019789C" w:rsidP="001300A7">
      <w:pPr>
        <w:pStyle w:val="fntxt"/>
      </w:pPr>
      <w:r w:rsidRPr="0019789C">
        <w:rPr>
          <w:rStyle w:val="FootnoteReference"/>
          <w:rFonts w:cs="Arial"/>
        </w:rPr>
        <w:footnoteRef/>
      </w:r>
      <w:r w:rsidRPr="0019789C">
        <w:t xml:space="preserve"> ibid 17.</w:t>
      </w:r>
    </w:p>
  </w:footnote>
  <w:footnote w:id="263">
    <w:p w14:paraId="2D56A450" w14:textId="14D088B0" w:rsidR="0019789C" w:rsidRPr="0019789C" w:rsidRDefault="0019789C" w:rsidP="001300A7">
      <w:pPr>
        <w:pStyle w:val="fntxt"/>
      </w:pPr>
      <w:r w:rsidRPr="0019789C">
        <w:rPr>
          <w:rStyle w:val="FootnoteReference"/>
          <w:rFonts w:cs="Arial"/>
        </w:rPr>
        <w:footnoteRef/>
      </w:r>
      <w:r w:rsidRPr="0019789C">
        <w:t xml:space="preserve"> Glasgow City Council, ‘Glasgow Open Space Strategy Consultative Draft (October 2018) </w:t>
      </w:r>
      <w:hyperlink r:id="rId79" w:history="1">
        <w:r w:rsidRPr="0019789C">
          <w:rPr>
            <w:rStyle w:val="Hyperlink"/>
            <w:rFonts w:cs="Arial"/>
          </w:rPr>
          <w:t>&lt;www.glasgow.gov.uk/CHttpHandler.ashx?id=42948&amp;p=0&gt;</w:t>
        </w:r>
      </w:hyperlink>
      <w:r w:rsidRPr="0019789C">
        <w:t xml:space="preserve"> accessed 15 January 2020; URS AECOM, ‘Glasgow Open Space Strategy Consultative Draft’ </w:t>
      </w:r>
      <w:hyperlink r:id="rId80" w:history="1">
        <w:r w:rsidRPr="0019789C">
          <w:rPr>
            <w:rStyle w:val="Hyperlink"/>
            <w:rFonts w:cs="Arial"/>
          </w:rPr>
          <w:t>&lt;www.glasgowconsult.co.uk/UploadedFiles/110805_Glasgow_Open_Space_Strategy_Final.pdf&gt;</w:t>
        </w:r>
      </w:hyperlink>
      <w:r w:rsidRPr="0019789C">
        <w:t xml:space="preserve"> accessed 15 January 2020.</w:t>
      </w:r>
    </w:p>
  </w:footnote>
  <w:footnote w:id="264">
    <w:p w14:paraId="3BC9952C" w14:textId="1F187DD0" w:rsidR="0019789C" w:rsidRPr="0019789C" w:rsidRDefault="0019789C" w:rsidP="001300A7">
      <w:pPr>
        <w:pStyle w:val="fntxt"/>
        <w:rPr>
          <w:lang w:val="en-US"/>
        </w:rPr>
      </w:pPr>
      <w:r w:rsidRPr="0019789C">
        <w:rPr>
          <w:rStyle w:val="FootnoteReference"/>
        </w:rPr>
        <w:footnoteRef/>
      </w:r>
      <w:r w:rsidRPr="0019789C">
        <w:t xml:space="preserve"> Glasgow City Council, ‘City Development Plan’ (29 March 2017) &lt;</w:t>
      </w:r>
      <w:hyperlink r:id="rId81" w:history="1">
        <w:r w:rsidRPr="0019789C">
          <w:rPr>
            <w:rStyle w:val="Hyperlink"/>
            <w:rFonts w:cstheme="minorBidi"/>
          </w:rPr>
          <w:t>www.glasgow.gov.uk/cdp</w:t>
        </w:r>
      </w:hyperlink>
      <w:r w:rsidRPr="0019789C">
        <w:t>&gt; accessed 12 May 2020.</w:t>
      </w:r>
    </w:p>
  </w:footnote>
  <w:footnote w:id="265">
    <w:p w14:paraId="3F6C89C2"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107-09 and 115.</w:t>
      </w:r>
    </w:p>
  </w:footnote>
  <w:footnote w:id="266">
    <w:p w14:paraId="41EDA9F9" w14:textId="099F5F0B"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Glasgow City Council, ‘Core Paths Plan’ &lt;</w:t>
      </w:r>
      <w:hyperlink r:id="rId82" w:history="1">
        <w:r w:rsidRPr="0019789C">
          <w:rPr>
            <w:rStyle w:val="Hyperlink"/>
            <w:rFonts w:cstheme="minorBidi"/>
            <w:lang w:val="en-US"/>
          </w:rPr>
          <w:t>www.glasgow.gov.uk/corepaths</w:t>
        </w:r>
      </w:hyperlink>
      <w:r w:rsidRPr="0019789C">
        <w:rPr>
          <w:lang w:val="en-US"/>
        </w:rPr>
        <w:t xml:space="preserve">&gt; </w:t>
      </w:r>
      <w:r w:rsidRPr="0019789C">
        <w:t>accessed 12 May 2020.</w:t>
      </w:r>
    </w:p>
  </w:footnote>
  <w:footnote w:id="267">
    <w:p w14:paraId="559E8EC5"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w:t>
      </w:r>
    </w:p>
  </w:footnote>
  <w:footnote w:id="268">
    <w:p w14:paraId="1B0361E3" w14:textId="420DF19A" w:rsidR="0019789C" w:rsidRPr="0019789C" w:rsidRDefault="0019789C" w:rsidP="001300A7">
      <w:pPr>
        <w:pStyle w:val="fntxt"/>
      </w:pPr>
      <w:r w:rsidRPr="0019789C">
        <w:rPr>
          <w:rStyle w:val="FootnoteReference"/>
        </w:rPr>
        <w:footnoteRef/>
      </w:r>
      <w:r w:rsidRPr="0019789C">
        <w:t xml:space="preserve"> Glasgow City Council, ‘Design Guide for New Residential Areas’ (2013) &lt;</w:t>
      </w:r>
      <w:hyperlink r:id="rId83" w:history="1">
        <w:r w:rsidRPr="0019789C">
          <w:rPr>
            <w:rStyle w:val="Hyperlink"/>
            <w:rFonts w:cstheme="minorBidi"/>
          </w:rPr>
          <w:t>www.glasgow.gov.uk/CHttpHandler.ashx?id=15298&amp;p=0</w:t>
        </w:r>
      </w:hyperlink>
      <w:r w:rsidRPr="0019789C">
        <w:t>&gt; accessed 15 January 2020.</w:t>
      </w:r>
    </w:p>
  </w:footnote>
  <w:footnote w:id="269">
    <w:p w14:paraId="1810AAE6" w14:textId="5BEB5D1F" w:rsidR="0019789C" w:rsidRPr="0019789C" w:rsidRDefault="0019789C" w:rsidP="001300A7">
      <w:pPr>
        <w:pStyle w:val="fntxt"/>
      </w:pPr>
      <w:r w:rsidRPr="0019789C">
        <w:rPr>
          <w:rStyle w:val="FootnoteReference"/>
          <w:rFonts w:cs="Arial"/>
        </w:rPr>
        <w:footnoteRef/>
      </w:r>
      <w:r w:rsidRPr="0019789C">
        <w:t xml:space="preserve"> ibid 6.</w:t>
      </w:r>
    </w:p>
  </w:footnote>
  <w:footnote w:id="270">
    <w:p w14:paraId="5EEFB2A4" w14:textId="36C25E5C" w:rsidR="0019789C" w:rsidRPr="0019789C" w:rsidRDefault="0019789C" w:rsidP="001300A7">
      <w:pPr>
        <w:pStyle w:val="fntxt"/>
      </w:pPr>
      <w:r w:rsidRPr="0019789C">
        <w:rPr>
          <w:rStyle w:val="FootnoteReference"/>
          <w:rFonts w:cs="Arial"/>
        </w:rPr>
        <w:footnoteRef/>
      </w:r>
      <w:r w:rsidRPr="0019789C">
        <w:t xml:space="preserve"> ibid 55.</w:t>
      </w:r>
    </w:p>
  </w:footnote>
  <w:footnote w:id="271">
    <w:p w14:paraId="2CA53970" w14:textId="5C5EB790" w:rsidR="0019789C" w:rsidRPr="0019789C" w:rsidRDefault="0019789C" w:rsidP="001300A7">
      <w:pPr>
        <w:pStyle w:val="fntxt"/>
      </w:pPr>
      <w:r w:rsidRPr="0019789C">
        <w:rPr>
          <w:rStyle w:val="FootnoteReference"/>
          <w:rFonts w:cs="Arial"/>
        </w:rPr>
        <w:footnoteRef/>
      </w:r>
      <w:r w:rsidRPr="0019789C">
        <w:t xml:space="preserve"> ibid 62.</w:t>
      </w:r>
    </w:p>
  </w:footnote>
  <w:footnote w:id="272">
    <w:p w14:paraId="59993AD4" w14:textId="4CBD8931" w:rsidR="0019789C" w:rsidRPr="0019789C" w:rsidRDefault="0019789C" w:rsidP="001300A7">
      <w:pPr>
        <w:pStyle w:val="fntxt"/>
      </w:pPr>
      <w:r w:rsidRPr="0019789C">
        <w:rPr>
          <w:rStyle w:val="FootnoteReference"/>
          <w:rFonts w:cs="Arial"/>
        </w:rPr>
        <w:footnoteRef/>
      </w:r>
      <w:r w:rsidRPr="0019789C">
        <w:t xml:space="preserve"> ibid 9.</w:t>
      </w:r>
    </w:p>
  </w:footnote>
  <w:footnote w:id="273">
    <w:p w14:paraId="309DA7DB" w14:textId="2BFA7B29"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Glasgow Disability Alliance &lt;</w:t>
      </w:r>
      <w:hyperlink r:id="rId84" w:history="1">
        <w:r w:rsidRPr="0019789C">
          <w:rPr>
            <w:rStyle w:val="Hyperlink"/>
            <w:rFonts w:cstheme="minorBidi"/>
            <w:lang w:val="en-US"/>
          </w:rPr>
          <w:t>http://gda.scot</w:t>
        </w:r>
      </w:hyperlink>
      <w:r w:rsidRPr="0019789C">
        <w:rPr>
          <w:lang w:val="en-US"/>
        </w:rPr>
        <w:t>&gt; accessed 13 May 2020.</w:t>
      </w:r>
    </w:p>
  </w:footnote>
  <w:footnote w:id="274">
    <w:p w14:paraId="1A9C50E0" w14:textId="4353A20B"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Glasgow Access Panel &lt;</w:t>
      </w:r>
      <w:hyperlink r:id="rId85" w:history="1">
        <w:r w:rsidRPr="0019789C">
          <w:rPr>
            <w:rStyle w:val="Hyperlink"/>
            <w:rFonts w:cstheme="minorBidi"/>
            <w:lang w:val="en-US"/>
          </w:rPr>
          <w:t>www.glasgowaccesspanel.org.uk</w:t>
        </w:r>
      </w:hyperlink>
      <w:r w:rsidRPr="0019789C">
        <w:rPr>
          <w:lang w:val="en-US"/>
        </w:rPr>
        <w:t>&gt; accessed 13 May 2020.</w:t>
      </w:r>
    </w:p>
  </w:footnote>
  <w:footnote w:id="275">
    <w:p w14:paraId="54E013CB" w14:textId="7A7C6B24"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Outside the Box &lt;</w:t>
      </w:r>
      <w:hyperlink r:id="rId86" w:history="1">
        <w:r w:rsidRPr="0019789C">
          <w:rPr>
            <w:rStyle w:val="Hyperlink"/>
            <w:rFonts w:cstheme="minorBidi"/>
            <w:lang w:val="en-US"/>
          </w:rPr>
          <w:t>https://otbds.org</w:t>
        </w:r>
      </w:hyperlink>
      <w:r w:rsidRPr="0019789C">
        <w:rPr>
          <w:lang w:val="en-US"/>
        </w:rPr>
        <w:t>&gt; accessed 13 May 2020.</w:t>
      </w:r>
    </w:p>
  </w:footnote>
  <w:footnote w:id="276">
    <w:p w14:paraId="53C999B7" w14:textId="12273A8B"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Outside the Box, ‘Local People Linking’ &lt;</w:t>
      </w:r>
      <w:hyperlink r:id="rId87" w:history="1">
        <w:r w:rsidRPr="0019789C">
          <w:rPr>
            <w:rStyle w:val="Hyperlink"/>
            <w:rFonts w:cstheme="minorBidi"/>
            <w:lang w:val="en-US"/>
          </w:rPr>
          <w:t>https://otbds.org/projects/local-people-linking/</w:t>
        </w:r>
      </w:hyperlink>
      <w:r w:rsidRPr="0019789C">
        <w:rPr>
          <w:lang w:val="en-US"/>
        </w:rPr>
        <w:t>&gt; accessed 13 May 2020.</w:t>
      </w:r>
    </w:p>
  </w:footnote>
  <w:footnote w:id="277">
    <w:p w14:paraId="776F703B" w14:textId="77777777" w:rsidR="0019789C" w:rsidRPr="0019789C" w:rsidRDefault="0019789C" w:rsidP="001300A7">
      <w:pPr>
        <w:pStyle w:val="fntxt"/>
      </w:pPr>
      <w:r w:rsidRPr="0019789C">
        <w:rPr>
          <w:rStyle w:val="FootnoteReference"/>
          <w:rFonts w:cs="Arial"/>
        </w:rPr>
        <w:footnoteRef/>
      </w:r>
      <w:r w:rsidRPr="0019789C">
        <w:t xml:space="preserve"> Disability Discrimination Act 1995, ss 6 and 21.</w:t>
      </w:r>
    </w:p>
  </w:footnote>
  <w:footnote w:id="278">
    <w:p w14:paraId="3361459E" w14:textId="38893B67" w:rsidR="0019789C" w:rsidRPr="0019789C" w:rsidRDefault="0019789C" w:rsidP="001300A7">
      <w:pPr>
        <w:pStyle w:val="fntxt"/>
      </w:pPr>
      <w:r w:rsidRPr="0019789C">
        <w:rPr>
          <w:rStyle w:val="FootnoteReference"/>
          <w:rFonts w:cs="Arial"/>
        </w:rPr>
        <w:footnoteRef/>
      </w:r>
      <w:r w:rsidRPr="0019789C">
        <w:t xml:space="preserve"> Equality Act 2010, s 29(1).</w:t>
      </w:r>
    </w:p>
  </w:footnote>
  <w:footnote w:id="279">
    <w:p w14:paraId="4C4CEBFF" w14:textId="575DCA9E" w:rsidR="0019789C" w:rsidRPr="0019789C" w:rsidRDefault="0019789C" w:rsidP="001300A7">
      <w:pPr>
        <w:pStyle w:val="fntxt"/>
      </w:pPr>
      <w:r w:rsidRPr="0019789C">
        <w:rPr>
          <w:rStyle w:val="FootnoteReference"/>
          <w:rFonts w:cs="Arial"/>
        </w:rPr>
        <w:footnoteRef/>
      </w:r>
      <w:r w:rsidRPr="0019789C">
        <w:t xml:space="preserve"> Equality Act 2010, s 29(7); see also s 31(2)-(3) (‘reference to the provision of a service includes a reference to the provision of goods or facilities [and] … to the provision of a service in the exercise of a public function.’)</w:t>
      </w:r>
    </w:p>
  </w:footnote>
  <w:footnote w:id="280">
    <w:p w14:paraId="3E067C24" w14:textId="42D76765" w:rsidR="0019789C" w:rsidRPr="0019789C" w:rsidRDefault="0019789C" w:rsidP="001300A7">
      <w:pPr>
        <w:pStyle w:val="fntxt"/>
      </w:pPr>
      <w:r w:rsidRPr="0019789C">
        <w:rPr>
          <w:rStyle w:val="FootnoteReference"/>
          <w:rFonts w:cs="Arial"/>
        </w:rPr>
        <w:footnoteRef/>
      </w:r>
      <w:r w:rsidRPr="0019789C">
        <w:t xml:space="preserve"> Equality Act 2010, s 31(4). </w:t>
      </w:r>
    </w:p>
  </w:footnote>
  <w:footnote w:id="281">
    <w:p w14:paraId="294AF635" w14:textId="6659A227" w:rsidR="0019789C" w:rsidRPr="0019789C" w:rsidRDefault="0019789C" w:rsidP="001300A7">
      <w:pPr>
        <w:pStyle w:val="fntxt"/>
      </w:pPr>
      <w:r w:rsidRPr="0019789C">
        <w:rPr>
          <w:rStyle w:val="FootnoteReference"/>
          <w:rFonts w:cs="Arial"/>
        </w:rPr>
        <w:footnoteRef/>
      </w:r>
      <w:r w:rsidRPr="0019789C">
        <w:t xml:space="preserve"> House of Commons Joint Committee on Human Rights, ‘The Meaning of Public Authority under the Human Rights Act’ (Ninth Report of Session 2006–07, HL Paper 77, March 2007) 7, para 2; see also HC Deb 17 June 1998, vol 314, col 433: ‘Overall, the difference … is whether we seek to define a public authority and a public function by reference to the substance and nature of the act, or to the form and legal personality of the institution. As we are dealing with public functions and with an evolving situation, we believe that the test must relate to the substance and nature of the act, not to the form and legal personality.’</w:t>
      </w:r>
    </w:p>
  </w:footnote>
  <w:footnote w:id="282">
    <w:p w14:paraId="4338A56B" w14:textId="4144C67E" w:rsidR="0019789C" w:rsidRPr="0019789C" w:rsidRDefault="0019789C" w:rsidP="001300A7">
      <w:pPr>
        <w:pStyle w:val="fntxt"/>
      </w:pPr>
      <w:r w:rsidRPr="0019789C">
        <w:rPr>
          <w:rStyle w:val="FootnoteReference"/>
          <w:rFonts w:cs="Arial"/>
        </w:rPr>
        <w:footnoteRef/>
      </w:r>
      <w:r w:rsidRPr="0019789C">
        <w:t xml:space="preserve"> Human Rights Act 1998, s 6(1) makes it ‘unlawful for a public authority to act in a way which is incompatible with a Convention right’; as per Human Rights Act 1998, s 6(3): ‘public authority’ includes, (a) a court or tribunal, and (b) any person certain of whose functions are functions of a public nature, but does not include either House of Parliament or a person exercising functions in connection with proceedings in Parliament.’</w:t>
      </w:r>
    </w:p>
  </w:footnote>
  <w:footnote w:id="283">
    <w:p w14:paraId="0715AB5F" w14:textId="05FDA0B8" w:rsidR="0019789C" w:rsidRPr="0019789C" w:rsidRDefault="0019789C" w:rsidP="001300A7">
      <w:pPr>
        <w:pStyle w:val="fntxt"/>
      </w:pPr>
      <w:r w:rsidRPr="0019789C">
        <w:rPr>
          <w:rStyle w:val="FootnoteReference"/>
          <w:rFonts w:cs="Arial"/>
        </w:rPr>
        <w:footnoteRef/>
      </w:r>
      <w:r w:rsidRPr="0019789C">
        <w:t xml:space="preserve"> Equality and Human Rights Commission (EHRC), ‘Equality Act 2010 Statutory Code of Practice: Services, public functions and associations’ (2011) para 11.13 </w:t>
      </w:r>
      <w:hyperlink r:id="rId88" w:history="1">
        <w:r w:rsidRPr="0019789C">
          <w:rPr>
            <w:rStyle w:val="Hyperlink"/>
            <w:rFonts w:cs="Arial"/>
          </w:rPr>
          <w:t>&lt;www.equalityhumanrights.com/sites/default/files/servicescode_0.pdf&gt;</w:t>
        </w:r>
      </w:hyperlink>
      <w:r w:rsidRPr="0019789C">
        <w:t xml:space="preserve"> accessed 1 May 2019 (Equality Act Services Code of Practice).</w:t>
      </w:r>
    </w:p>
  </w:footnote>
  <w:footnote w:id="284">
    <w:p w14:paraId="0A79FB5E" w14:textId="183E1211" w:rsidR="0019789C" w:rsidRPr="0019789C" w:rsidRDefault="0019789C" w:rsidP="001300A7">
      <w:pPr>
        <w:pStyle w:val="fntxt"/>
      </w:pPr>
      <w:r w:rsidRPr="0019789C">
        <w:rPr>
          <w:rStyle w:val="FootnoteReference"/>
          <w:rFonts w:cs="Arial"/>
        </w:rPr>
        <w:footnoteRef/>
      </w:r>
      <w:r w:rsidRPr="0019789C">
        <w:t xml:space="preserve"> ibid, para 11.16.</w:t>
      </w:r>
    </w:p>
  </w:footnote>
  <w:footnote w:id="285">
    <w:p w14:paraId="19D53724" w14:textId="08D66EA2" w:rsidR="0019789C" w:rsidRPr="0019789C" w:rsidRDefault="0019789C" w:rsidP="001300A7">
      <w:pPr>
        <w:pStyle w:val="fntxt"/>
      </w:pPr>
      <w:r w:rsidRPr="0019789C">
        <w:rPr>
          <w:rStyle w:val="FootnoteReference"/>
          <w:rFonts w:cs="Arial"/>
        </w:rPr>
        <w:footnoteRef/>
      </w:r>
      <w:r w:rsidRPr="0019789C">
        <w:t xml:space="preserve"> ibid, para 1.8.</w:t>
      </w:r>
    </w:p>
  </w:footnote>
  <w:footnote w:id="286">
    <w:p w14:paraId="23B10D30" w14:textId="77777777" w:rsidR="0019789C" w:rsidRPr="0019789C" w:rsidRDefault="0019789C" w:rsidP="001300A7">
      <w:pPr>
        <w:pStyle w:val="fntxt"/>
      </w:pPr>
      <w:r w:rsidRPr="0019789C">
        <w:rPr>
          <w:rStyle w:val="FootnoteReference"/>
          <w:rFonts w:cs="Arial"/>
        </w:rPr>
        <w:footnoteRef/>
      </w:r>
      <w:r w:rsidRPr="0019789C">
        <w:t xml:space="preserve"> Equality Act 2010, s 29(7).</w:t>
      </w:r>
    </w:p>
  </w:footnote>
  <w:footnote w:id="287">
    <w:p w14:paraId="56DD94A9" w14:textId="3405972F" w:rsidR="0019789C" w:rsidRPr="0019789C" w:rsidRDefault="0019789C" w:rsidP="001300A7">
      <w:pPr>
        <w:pStyle w:val="fntxt"/>
      </w:pPr>
      <w:r w:rsidRPr="0019789C">
        <w:rPr>
          <w:rStyle w:val="FootnoteReference"/>
          <w:rFonts w:cs="Arial"/>
        </w:rPr>
        <w:footnoteRef/>
      </w:r>
      <w:r w:rsidRPr="0019789C">
        <w:t xml:space="preserve"> Equality Act Services Code of Practice (n </w:t>
      </w:r>
      <w:r w:rsidRPr="0019789C">
        <w:fldChar w:fldCharType="begin"/>
      </w:r>
      <w:r w:rsidRPr="0019789C">
        <w:instrText xml:space="preserve"> NOTEREF _Ref30422552 \h  \* MERGEFORMAT </w:instrText>
      </w:r>
      <w:r w:rsidRPr="0019789C">
        <w:fldChar w:fldCharType="separate"/>
      </w:r>
      <w:r w:rsidR="00AD46EC">
        <w:t>283</w:t>
      </w:r>
      <w:r w:rsidRPr="0019789C">
        <w:fldChar w:fldCharType="end"/>
      </w:r>
      <w:r w:rsidRPr="0019789C">
        <w:t>) para 11.17 (emphasis added).</w:t>
      </w:r>
    </w:p>
  </w:footnote>
  <w:footnote w:id="288">
    <w:p w14:paraId="53942267" w14:textId="1F07F5B5" w:rsidR="0019789C" w:rsidRPr="0019789C" w:rsidRDefault="0019789C" w:rsidP="001300A7">
      <w:pPr>
        <w:pStyle w:val="fntxt"/>
      </w:pPr>
      <w:r w:rsidRPr="0019789C">
        <w:rPr>
          <w:rStyle w:val="FootnoteReference"/>
          <w:rFonts w:cs="Arial"/>
        </w:rPr>
        <w:footnoteRef/>
      </w:r>
      <w:r w:rsidRPr="0019789C">
        <w:t xml:space="preserve"> Disability Discrimination Act 1995, s 1(1).</w:t>
      </w:r>
    </w:p>
  </w:footnote>
  <w:footnote w:id="289">
    <w:p w14:paraId="74F8B859" w14:textId="77777777" w:rsidR="0019789C" w:rsidRPr="0019789C" w:rsidRDefault="0019789C" w:rsidP="001300A7">
      <w:pPr>
        <w:pStyle w:val="fntxt"/>
      </w:pPr>
      <w:r w:rsidRPr="0019789C">
        <w:rPr>
          <w:rStyle w:val="FootnoteReference"/>
          <w:rFonts w:cs="Arial"/>
        </w:rPr>
        <w:footnoteRef/>
      </w:r>
      <w:r w:rsidRPr="0019789C">
        <w:t xml:space="preserve"> Equality Act 2010 (Disability) Regulations SI 2010 No 2128.</w:t>
      </w:r>
    </w:p>
  </w:footnote>
  <w:footnote w:id="290">
    <w:p w14:paraId="04C51849" w14:textId="517AF7C9" w:rsidR="0019789C" w:rsidRPr="0019789C" w:rsidRDefault="0019789C" w:rsidP="001300A7">
      <w:pPr>
        <w:pStyle w:val="fntxt"/>
      </w:pPr>
      <w:r w:rsidRPr="0019789C">
        <w:rPr>
          <w:rStyle w:val="FootnoteReference"/>
          <w:rFonts w:cs="Arial"/>
        </w:rPr>
        <w:footnoteRef/>
      </w:r>
      <w:r w:rsidRPr="0019789C">
        <w:t xml:space="preserve"> Office for Disability Issues, ‘Equality Act 2010: Guidance on Matters to be taken into account in determining questions relating to the definition of disability’ (last updated 8 March 2013) </w:t>
      </w:r>
      <w:hyperlink r:id="rId89" w:history="1">
        <w:r w:rsidRPr="0019789C">
          <w:rPr>
            <w:rStyle w:val="Hyperlink"/>
            <w:rFonts w:cs="Arial"/>
          </w:rPr>
          <w:t>&lt;https://assets.publishing.service.gov.uk/government/uploads/system/uploads/attachment_data/file/570382/Equality_Act_2010-disability_definition.pdf&gt;</w:t>
        </w:r>
      </w:hyperlink>
      <w:r w:rsidRPr="0019789C">
        <w:t xml:space="preserve"> accessed 12 September 2019.</w:t>
      </w:r>
    </w:p>
  </w:footnote>
  <w:footnote w:id="291">
    <w:p w14:paraId="18415601" w14:textId="27C9F361" w:rsidR="0019789C" w:rsidRPr="0019789C" w:rsidRDefault="0019789C" w:rsidP="001300A7">
      <w:pPr>
        <w:pStyle w:val="fntxt"/>
      </w:pPr>
      <w:r w:rsidRPr="0019789C">
        <w:rPr>
          <w:rStyle w:val="FootnoteReference"/>
          <w:rFonts w:cs="Arial"/>
        </w:rPr>
        <w:footnoteRef/>
      </w:r>
      <w:r w:rsidRPr="0019789C">
        <w:t xml:space="preserve"> ibid, para A3. </w:t>
      </w:r>
    </w:p>
  </w:footnote>
  <w:footnote w:id="292">
    <w:p w14:paraId="1D8D21A8" w14:textId="5CB6D780" w:rsidR="0019789C" w:rsidRPr="0019789C" w:rsidRDefault="0019789C" w:rsidP="001300A7">
      <w:pPr>
        <w:pStyle w:val="fntxt"/>
      </w:pPr>
      <w:r w:rsidRPr="0019789C">
        <w:rPr>
          <w:rStyle w:val="FootnoteReference"/>
          <w:rFonts w:cs="Arial"/>
        </w:rPr>
        <w:footnoteRef/>
      </w:r>
      <w:r w:rsidRPr="0019789C">
        <w:t xml:space="preserve"> ibid, para A5.</w:t>
      </w:r>
    </w:p>
  </w:footnote>
  <w:footnote w:id="293">
    <w:p w14:paraId="1EA72F5D" w14:textId="7580C90F" w:rsidR="0019789C" w:rsidRPr="0019789C" w:rsidRDefault="0019789C" w:rsidP="001300A7">
      <w:pPr>
        <w:pStyle w:val="fntxt"/>
      </w:pPr>
      <w:r w:rsidRPr="0019789C">
        <w:rPr>
          <w:rStyle w:val="FootnoteReference"/>
          <w:rFonts w:cs="Arial"/>
        </w:rPr>
        <w:footnoteRef/>
      </w:r>
      <w:r w:rsidRPr="0019789C">
        <w:t xml:space="preserve"> For (controversial) reasoning about the meaning of ‘tendency to physical abuse’ in this context, see </w:t>
      </w:r>
      <w:r w:rsidRPr="0019789C">
        <w:rPr>
          <w:rStyle w:val="fncaseChar"/>
          <w:rFonts w:cs="Arial"/>
        </w:rPr>
        <w:t xml:space="preserve">X v Governing Board of a School </w:t>
      </w:r>
      <w:r w:rsidRPr="0019789C">
        <w:t xml:space="preserve">[2015] UKUT 0007 (AAC) now overturned in </w:t>
      </w:r>
      <w:r w:rsidRPr="0019789C">
        <w:rPr>
          <w:rStyle w:val="fncaseChar"/>
          <w:rFonts w:cs="Arial"/>
        </w:rPr>
        <w:t xml:space="preserve">C and C v The Governing Body of a School and Others </w:t>
      </w:r>
      <w:r w:rsidRPr="0019789C">
        <w:rPr>
          <w:lang w:val="en"/>
        </w:rPr>
        <w:t>[2018] UKUT 269</w:t>
      </w:r>
      <w:r w:rsidRPr="0019789C">
        <w:t xml:space="preserve"> (discussed by A Hogan at </w:t>
      </w:r>
      <w:hyperlink r:id="rId90" w:history="1">
        <w:r w:rsidRPr="0019789C">
          <w:rPr>
            <w:rStyle w:val="Hyperlink"/>
            <w:rFonts w:cs="Arial"/>
          </w:rPr>
          <w:t>&lt;http://specialeducationalneedsbarrister.co.uk/disability-discrimination/school-exclusions-and-disability-discrimination/&gt;</w:t>
        </w:r>
      </w:hyperlink>
      <w:r w:rsidRPr="0019789C">
        <w:t xml:space="preserve"> accessed 22 January 2020; see also, on a tendency to steal, </w:t>
      </w:r>
      <w:r w:rsidRPr="0019789C">
        <w:rPr>
          <w:rStyle w:val="fncaseChar"/>
          <w:rFonts w:cs="Arial"/>
        </w:rPr>
        <w:t>Wood v Durham City Council</w:t>
      </w:r>
      <w:r w:rsidRPr="0019789C">
        <w:t xml:space="preserve"> [2018] UKEAT/0099/18/00, EAT.</w:t>
      </w:r>
    </w:p>
  </w:footnote>
  <w:footnote w:id="294">
    <w:p w14:paraId="0ED0B55D" w14:textId="297817A6" w:rsidR="0019789C" w:rsidRPr="0019789C" w:rsidRDefault="0019789C" w:rsidP="001300A7">
      <w:pPr>
        <w:pStyle w:val="fntxt"/>
      </w:pPr>
      <w:r w:rsidRPr="0019789C">
        <w:rPr>
          <w:rStyle w:val="FootnoteReference"/>
          <w:rFonts w:cs="Arial"/>
        </w:rPr>
        <w:footnoteRef/>
      </w:r>
      <w:r w:rsidRPr="0019789C">
        <w:t xml:space="preserve"> Equality Act 2010, sch 1, para 2.</w:t>
      </w:r>
    </w:p>
  </w:footnote>
  <w:footnote w:id="295">
    <w:p w14:paraId="77CA7B8F" w14:textId="77777777" w:rsidR="0019789C" w:rsidRPr="0019789C" w:rsidRDefault="0019789C" w:rsidP="001300A7">
      <w:pPr>
        <w:pStyle w:val="fntxt"/>
      </w:pPr>
      <w:r w:rsidRPr="0019789C">
        <w:rPr>
          <w:rStyle w:val="FootnoteReference"/>
          <w:rFonts w:cs="Arial"/>
        </w:rPr>
        <w:footnoteRef/>
      </w:r>
      <w:r w:rsidRPr="0019789C">
        <w:t xml:space="preserve"> Equality Act 2010, s 212(1).</w:t>
      </w:r>
    </w:p>
  </w:footnote>
  <w:footnote w:id="296">
    <w:p w14:paraId="2DF327CB" w14:textId="77777777"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Aderemi v London and South Eastern Railway Ltd</w:t>
      </w:r>
      <w:r w:rsidRPr="0019789C">
        <w:t xml:space="preserve"> [2013] All ER (D) 201 (Feb).</w:t>
      </w:r>
    </w:p>
  </w:footnote>
  <w:footnote w:id="297">
    <w:p w14:paraId="644A608C"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Goodwin (appellant) v The Patent Office (respondents)</w:t>
      </w:r>
      <w:r w:rsidRPr="0019789C">
        <w:t xml:space="preserve"> [1999] IRLR 4, 36.</w:t>
      </w:r>
    </w:p>
  </w:footnote>
  <w:footnote w:id="298">
    <w:p w14:paraId="1466D7D8"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EKPE (appellant) v Commissioner of Police of the Metropolis (respondent)</w:t>
      </w:r>
      <w:r w:rsidRPr="0019789C">
        <w:t xml:space="preserve"> [2001] IRLR 605 [32].</w:t>
      </w:r>
    </w:p>
  </w:footnote>
  <w:footnote w:id="299">
    <w:p w14:paraId="48732C0C" w14:textId="05237C93" w:rsidR="0019789C" w:rsidRPr="0019789C" w:rsidRDefault="0019789C" w:rsidP="001300A7">
      <w:pPr>
        <w:pStyle w:val="fntxt"/>
      </w:pPr>
      <w:r w:rsidRPr="0019789C">
        <w:rPr>
          <w:rStyle w:val="FootnoteReference"/>
          <w:rFonts w:cs="Arial"/>
        </w:rPr>
        <w:footnoteRef/>
      </w:r>
      <w:r w:rsidRPr="0019789C">
        <w:t xml:space="preserve"> Equality Act Services Code of Practice (n </w:t>
      </w:r>
      <w:r w:rsidRPr="0019789C">
        <w:fldChar w:fldCharType="begin"/>
      </w:r>
      <w:r w:rsidRPr="0019789C">
        <w:instrText xml:space="preserve"> NOTEREF _Ref30422552 \h  \* MERGEFORMAT </w:instrText>
      </w:r>
      <w:r w:rsidRPr="0019789C">
        <w:fldChar w:fldCharType="separate"/>
      </w:r>
      <w:r w:rsidR="00AD46EC">
        <w:t>283</w:t>
      </w:r>
      <w:r w:rsidRPr="0019789C">
        <w:fldChar w:fldCharType="end"/>
      </w:r>
      <w:r w:rsidRPr="0019789C">
        <w:t>) Appendix, para 10.</w:t>
      </w:r>
    </w:p>
  </w:footnote>
  <w:footnote w:id="300">
    <w:p w14:paraId="056D9324"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301">
    <w:p w14:paraId="57B28A31" w14:textId="5DD35748" w:rsidR="0019789C" w:rsidRPr="0019789C" w:rsidRDefault="0019789C" w:rsidP="001300A7">
      <w:pPr>
        <w:pStyle w:val="fntxt"/>
      </w:pPr>
      <w:r w:rsidRPr="0019789C">
        <w:rPr>
          <w:rStyle w:val="FootnoteReference"/>
          <w:rFonts w:cs="Arial"/>
        </w:rPr>
        <w:footnoteRef/>
      </w:r>
      <w:r w:rsidRPr="0019789C">
        <w:t xml:space="preserve"> Office for Disability Issues, ‘Equality Act 2010: Guidance’ (n </w:t>
      </w:r>
      <w:r w:rsidRPr="0019789C">
        <w:fldChar w:fldCharType="begin"/>
      </w:r>
      <w:r w:rsidRPr="0019789C">
        <w:instrText xml:space="preserve"> NOTEREF _Ref30768404 \h  \* MERGEFORMAT </w:instrText>
      </w:r>
      <w:r w:rsidRPr="0019789C">
        <w:fldChar w:fldCharType="separate"/>
      </w:r>
      <w:r w:rsidR="00AD46EC">
        <w:t>290</w:t>
      </w:r>
      <w:r w:rsidRPr="0019789C">
        <w:fldChar w:fldCharType="end"/>
      </w:r>
      <w:r w:rsidRPr="0019789C">
        <w:t>) 35.</w:t>
      </w:r>
    </w:p>
  </w:footnote>
  <w:footnote w:id="302">
    <w:p w14:paraId="58FC142A"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MM &amp; DM, R (on the application of) v Secretary of State for Work and Pensions </w:t>
      </w:r>
      <w:r w:rsidRPr="0019789C">
        <w:t>[2013] EWCA Civ 1565 [38]; Equality Act 2010, s 20.</w:t>
      </w:r>
    </w:p>
  </w:footnote>
  <w:footnote w:id="303">
    <w:p w14:paraId="4C1F2DB2" w14:textId="70FCE00B" w:rsidR="0019789C" w:rsidRPr="0019789C" w:rsidRDefault="0019789C" w:rsidP="001300A7">
      <w:pPr>
        <w:pStyle w:val="fntxt"/>
      </w:pPr>
      <w:r w:rsidRPr="0019789C">
        <w:rPr>
          <w:rStyle w:val="FootnoteReference"/>
          <w:rFonts w:cs="Arial"/>
        </w:rPr>
        <w:footnoteRef/>
      </w:r>
      <w:r w:rsidRPr="0019789C">
        <w:t xml:space="preserve"> Equality Act 2010, s 20(13).</w:t>
      </w:r>
    </w:p>
  </w:footnote>
  <w:footnote w:id="304">
    <w:p w14:paraId="5234C0A9" w14:textId="550D6B6D" w:rsidR="0019789C" w:rsidRPr="0019789C" w:rsidRDefault="0019789C" w:rsidP="001300A7">
      <w:pPr>
        <w:pStyle w:val="fntxt"/>
      </w:pPr>
      <w:r w:rsidRPr="0019789C">
        <w:rPr>
          <w:rStyle w:val="FootnoteReference"/>
          <w:rFonts w:cs="Arial"/>
        </w:rPr>
        <w:footnoteRef/>
      </w:r>
      <w:r w:rsidRPr="0019789C">
        <w:t xml:space="preserve"> Equality Act 2010, sch 8, para 3 and sch 4, para 2 (referring to ‘a disabled person’); Sandra Fredman, </w:t>
      </w:r>
      <w:r w:rsidRPr="0019789C">
        <w:rPr>
          <w:rStyle w:val="fnbookChar"/>
          <w:rFonts w:cs="Arial"/>
        </w:rPr>
        <w:t>Discrimination Law</w:t>
      </w:r>
      <w:r w:rsidRPr="0019789C">
        <w:t xml:space="preserve"> (2nd edn, OUP 2011) 218. </w:t>
      </w:r>
    </w:p>
  </w:footnote>
  <w:footnote w:id="305">
    <w:p w14:paraId="4CD00356" w14:textId="2D4B9237" w:rsidR="0019789C" w:rsidRPr="0019789C" w:rsidRDefault="0019789C" w:rsidP="001300A7">
      <w:pPr>
        <w:pStyle w:val="fntxt"/>
      </w:pPr>
      <w:r w:rsidRPr="0019789C">
        <w:rPr>
          <w:rStyle w:val="FootnoteReference"/>
          <w:rFonts w:cs="Arial"/>
        </w:rPr>
        <w:footnoteRef/>
      </w:r>
      <w:r w:rsidRPr="0019789C">
        <w:t xml:space="preserve"> Equality Act 2010, sch 2, para 2 (referring to ‘disabled persons generally’); Fredman,</w:t>
      </w:r>
      <w:r w:rsidRPr="0019789C">
        <w:rPr>
          <w:rStyle w:val="fnbookChar"/>
          <w:rFonts w:cs="Arial"/>
        </w:rPr>
        <w:t xml:space="preserve"> Discrimination Law</w:t>
      </w:r>
      <w:r w:rsidRPr="0019789C">
        <w:t xml:space="preserve"> (n </w:t>
      </w:r>
      <w:r w:rsidRPr="0019789C">
        <w:fldChar w:fldCharType="begin"/>
      </w:r>
      <w:r w:rsidRPr="0019789C">
        <w:instrText xml:space="preserve"> NOTEREF _Ref30500019 \h  \* MERGEFORMAT </w:instrText>
      </w:r>
      <w:r w:rsidRPr="0019789C">
        <w:fldChar w:fldCharType="separate"/>
      </w:r>
      <w:r w:rsidR="00AD46EC">
        <w:t>304</w:t>
      </w:r>
      <w:r w:rsidRPr="0019789C">
        <w:fldChar w:fldCharType="end"/>
      </w:r>
      <w:r w:rsidRPr="0019789C">
        <w:t>)</w:t>
      </w:r>
      <w:r w:rsidRPr="0019789C">
        <w:rPr>
          <w:rStyle w:val="fnbookChar"/>
          <w:rFonts w:cs="Arial"/>
        </w:rPr>
        <w:t>,</w:t>
      </w:r>
      <w:r w:rsidRPr="0019789C">
        <w:t xml:space="preserve"> 219; </w:t>
      </w:r>
      <w:r w:rsidRPr="0019789C">
        <w:rPr>
          <w:rStyle w:val="fncaseChar"/>
          <w:rFonts w:cs="Arial"/>
        </w:rPr>
        <w:t>MM &amp; DM</w:t>
      </w:r>
      <w:r w:rsidRPr="0019789C">
        <w:t xml:space="preserve"> (n </w:t>
      </w:r>
      <w:r w:rsidRPr="0019789C">
        <w:fldChar w:fldCharType="begin"/>
      </w:r>
      <w:r w:rsidRPr="0019789C">
        <w:instrText xml:space="preserve"> NOTEREF _Ref30774179 \h  \* MERGEFORMAT </w:instrText>
      </w:r>
      <w:r w:rsidRPr="0019789C">
        <w:fldChar w:fldCharType="separate"/>
      </w:r>
      <w:r w:rsidR="00AD46EC">
        <w:t>302</w:t>
      </w:r>
      <w:r w:rsidRPr="0019789C">
        <w:fldChar w:fldCharType="end"/>
      </w:r>
      <w:r w:rsidRPr="0019789C">
        <w:t>) [43].</w:t>
      </w:r>
    </w:p>
  </w:footnote>
  <w:footnote w:id="306">
    <w:p w14:paraId="631CE251" w14:textId="57F599C9" w:rsidR="0019789C" w:rsidRPr="0019789C" w:rsidRDefault="0019789C" w:rsidP="001300A7">
      <w:pPr>
        <w:pStyle w:val="fntxt"/>
      </w:pPr>
      <w:r w:rsidRPr="0019789C">
        <w:rPr>
          <w:rStyle w:val="FootnoteReference"/>
          <w:rFonts w:cs="Arial"/>
        </w:rPr>
        <w:footnoteRef/>
      </w:r>
      <w:r w:rsidRPr="0019789C">
        <w:t xml:space="preserve"> Equality Act Services Code of Practice (n </w:t>
      </w:r>
      <w:r w:rsidRPr="0019789C">
        <w:fldChar w:fldCharType="begin"/>
      </w:r>
      <w:r w:rsidRPr="0019789C">
        <w:instrText xml:space="preserve"> NOTEREF _Ref30422552 \h  \* MERGEFORMAT </w:instrText>
      </w:r>
      <w:r w:rsidRPr="0019789C">
        <w:fldChar w:fldCharType="separate"/>
      </w:r>
      <w:r w:rsidR="00AD46EC">
        <w:t>283</w:t>
      </w:r>
      <w:r w:rsidRPr="0019789C">
        <w:fldChar w:fldCharType="end"/>
      </w:r>
      <w:r w:rsidRPr="0019789C">
        <w:t>) para 7.19.</w:t>
      </w:r>
    </w:p>
  </w:footnote>
  <w:footnote w:id="307">
    <w:p w14:paraId="35B2CEAE" w14:textId="32BD9473" w:rsidR="0019789C" w:rsidRPr="0019789C" w:rsidRDefault="0019789C" w:rsidP="001300A7">
      <w:pPr>
        <w:pStyle w:val="fntxt"/>
      </w:pPr>
      <w:r w:rsidRPr="0019789C">
        <w:rPr>
          <w:rStyle w:val="FootnoteReference"/>
          <w:rFonts w:cs="Arial"/>
        </w:rPr>
        <w:footnoteRef/>
      </w:r>
      <w:r w:rsidRPr="0019789C">
        <w:t xml:space="preserve"> Equality Act 2010, sch 2, para 2(2).</w:t>
      </w:r>
    </w:p>
  </w:footnote>
  <w:footnote w:id="308">
    <w:p w14:paraId="7B8FEFB5" w14:textId="6C4F639F"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Roads v Central Trains Limited</w:t>
      </w:r>
      <w:r w:rsidRPr="0019789C">
        <w:t xml:space="preserve"> [2004] EWCA Civ 1541 [11]; </w:t>
      </w:r>
      <w:r w:rsidRPr="0019789C">
        <w:rPr>
          <w:i/>
        </w:rPr>
        <w:t>Finnigan v Chief Constable of Northumbria Police</w:t>
      </w:r>
      <w:r w:rsidRPr="0019789C">
        <w:t xml:space="preserve"> [2013] EWCA Civ 1191 [31].</w:t>
      </w:r>
    </w:p>
  </w:footnote>
  <w:footnote w:id="309">
    <w:p w14:paraId="5BEBE611" w14:textId="6491D503"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FirstGroup Plc v Paulley </w:t>
      </w:r>
      <w:r w:rsidRPr="0019789C">
        <w:t xml:space="preserve">[2017] UKSC 4 [21]; </w:t>
      </w:r>
      <w:r w:rsidRPr="0019789C">
        <w:rPr>
          <w:rStyle w:val="fncaseChar"/>
          <w:rFonts w:cs="Arial"/>
        </w:rPr>
        <w:t>MM &amp; DM</w:t>
      </w:r>
      <w:r w:rsidRPr="0019789C">
        <w:rPr>
          <w:rStyle w:val="fncaseChar"/>
          <w:rFonts w:cs="Arial"/>
          <w:i w:val="0"/>
        </w:rPr>
        <w:t xml:space="preserve"> </w:t>
      </w:r>
      <w:r w:rsidRPr="0019789C">
        <w:t xml:space="preserve">(n </w:t>
      </w:r>
      <w:r w:rsidRPr="0019789C">
        <w:fldChar w:fldCharType="begin"/>
      </w:r>
      <w:r w:rsidRPr="0019789C">
        <w:instrText xml:space="preserve"> NOTEREF _Ref30774179 \h  \* MERGEFORMAT </w:instrText>
      </w:r>
      <w:r w:rsidRPr="0019789C">
        <w:fldChar w:fldCharType="separate"/>
      </w:r>
      <w:r w:rsidR="00AD46EC">
        <w:t>302</w:t>
      </w:r>
      <w:r w:rsidRPr="0019789C">
        <w:fldChar w:fldCharType="end"/>
      </w:r>
      <w:r w:rsidRPr="0019789C">
        <w:t>) [43].</w:t>
      </w:r>
    </w:p>
  </w:footnote>
  <w:footnote w:id="310">
    <w:p w14:paraId="03E60900" w14:textId="7821C62F"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FirstGroup Plc v Paulley</w:t>
      </w:r>
      <w:r w:rsidRPr="0019789C">
        <w:rPr>
          <w:rStyle w:val="fncaseChar"/>
          <w:rFonts w:cs="Arial"/>
          <w:i w:val="0"/>
        </w:rPr>
        <w:t xml:space="preserve"> (n </w:t>
      </w:r>
      <w:r w:rsidRPr="0019789C">
        <w:rPr>
          <w:rStyle w:val="fncaseChar"/>
          <w:rFonts w:cs="Arial"/>
          <w:i w:val="0"/>
        </w:rPr>
        <w:fldChar w:fldCharType="begin"/>
      </w:r>
      <w:r w:rsidRPr="0019789C">
        <w:rPr>
          <w:rStyle w:val="fncaseChar"/>
          <w:rFonts w:cs="Arial"/>
          <w:i w:val="0"/>
        </w:rPr>
        <w:instrText xml:space="preserve"> NOTEREF _Ref30774642 \h  \* MERGEFORMAT </w:instrText>
      </w:r>
      <w:r w:rsidRPr="0019789C">
        <w:rPr>
          <w:rStyle w:val="fncaseChar"/>
          <w:rFonts w:cs="Arial"/>
          <w:i w:val="0"/>
        </w:rPr>
      </w:r>
      <w:r w:rsidRPr="0019789C">
        <w:rPr>
          <w:rStyle w:val="fncaseChar"/>
          <w:rFonts w:cs="Arial"/>
          <w:i w:val="0"/>
        </w:rPr>
        <w:fldChar w:fldCharType="separate"/>
      </w:r>
      <w:r w:rsidR="00AD46EC">
        <w:rPr>
          <w:rStyle w:val="fncaseChar"/>
          <w:rFonts w:cs="Arial"/>
          <w:i w:val="0"/>
        </w:rPr>
        <w:t>309</w:t>
      </w:r>
      <w:r w:rsidRPr="0019789C">
        <w:rPr>
          <w:rStyle w:val="fncaseChar"/>
          <w:rFonts w:cs="Arial"/>
          <w:i w:val="0"/>
        </w:rPr>
        <w:fldChar w:fldCharType="end"/>
      </w:r>
      <w:r w:rsidRPr="0019789C">
        <w:rPr>
          <w:rStyle w:val="fncaseChar"/>
          <w:rFonts w:cs="Arial"/>
          <w:i w:val="0"/>
        </w:rPr>
        <w:t>)</w:t>
      </w:r>
      <w:r w:rsidRPr="0019789C">
        <w:rPr>
          <w:rStyle w:val="fncaseChar"/>
          <w:rFonts w:cs="Arial"/>
        </w:rPr>
        <w:t xml:space="preserve"> </w:t>
      </w:r>
      <w:r w:rsidRPr="0019789C">
        <w:t>[99].</w:t>
      </w:r>
    </w:p>
  </w:footnote>
  <w:footnote w:id="311">
    <w:p w14:paraId="43D7620B" w14:textId="063DA162"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MM &amp; DM</w:t>
      </w:r>
      <w:r w:rsidRPr="0019789C">
        <w:t xml:space="preserve"> (n </w:t>
      </w:r>
      <w:r w:rsidRPr="0019789C">
        <w:fldChar w:fldCharType="begin"/>
      </w:r>
      <w:r w:rsidRPr="0019789C">
        <w:instrText xml:space="preserve"> NOTEREF _Ref30774179 \h  \* MERGEFORMAT </w:instrText>
      </w:r>
      <w:r w:rsidRPr="0019789C">
        <w:fldChar w:fldCharType="separate"/>
      </w:r>
      <w:r w:rsidR="00AD46EC">
        <w:t>302</w:t>
      </w:r>
      <w:r w:rsidRPr="0019789C">
        <w:fldChar w:fldCharType="end"/>
      </w:r>
      <w:r w:rsidRPr="0019789C">
        <w:t xml:space="preserve">) [43]; </w:t>
      </w:r>
      <w:r w:rsidRPr="0019789C">
        <w:rPr>
          <w:rStyle w:val="fncaseChar"/>
          <w:rFonts w:cs="Arial"/>
        </w:rPr>
        <w:t xml:space="preserve">Roads </w:t>
      </w:r>
      <w:r w:rsidRPr="0019789C">
        <w:rPr>
          <w:rStyle w:val="fncaseChar"/>
          <w:rFonts w:cs="Arial"/>
          <w:i w:val="0"/>
        </w:rPr>
        <w:t xml:space="preserve">(n </w:t>
      </w:r>
      <w:r w:rsidRPr="0019789C">
        <w:rPr>
          <w:rStyle w:val="fncaseChar"/>
          <w:rFonts w:cs="Arial"/>
          <w:i w:val="0"/>
        </w:rPr>
        <w:fldChar w:fldCharType="begin"/>
      </w:r>
      <w:r w:rsidRPr="0019789C">
        <w:rPr>
          <w:rStyle w:val="fncaseChar"/>
          <w:rFonts w:cs="Arial"/>
          <w:i w:val="0"/>
        </w:rPr>
        <w:instrText xml:space="preserve"> NOTEREF _Ref30774623 \h  \* MERGEFORMAT </w:instrText>
      </w:r>
      <w:r w:rsidRPr="0019789C">
        <w:rPr>
          <w:rStyle w:val="fncaseChar"/>
          <w:rFonts w:cs="Arial"/>
          <w:i w:val="0"/>
        </w:rPr>
      </w:r>
      <w:r w:rsidRPr="0019789C">
        <w:rPr>
          <w:rStyle w:val="fncaseChar"/>
          <w:rFonts w:cs="Arial"/>
          <w:i w:val="0"/>
        </w:rPr>
        <w:fldChar w:fldCharType="separate"/>
      </w:r>
      <w:r w:rsidR="00AD46EC">
        <w:rPr>
          <w:rStyle w:val="fncaseChar"/>
          <w:rFonts w:cs="Arial"/>
          <w:i w:val="0"/>
        </w:rPr>
        <w:t>308</w:t>
      </w:r>
      <w:r w:rsidRPr="0019789C">
        <w:rPr>
          <w:rStyle w:val="fncaseChar"/>
          <w:rFonts w:cs="Arial"/>
          <w:i w:val="0"/>
        </w:rPr>
        <w:fldChar w:fldCharType="end"/>
      </w:r>
      <w:r w:rsidRPr="0019789C">
        <w:rPr>
          <w:rStyle w:val="fncaseChar"/>
          <w:rFonts w:cs="Arial"/>
          <w:i w:val="0"/>
        </w:rPr>
        <w:t xml:space="preserve">) </w:t>
      </w:r>
      <w:r w:rsidRPr="0019789C">
        <w:t>[11].</w:t>
      </w:r>
    </w:p>
  </w:footnote>
  <w:footnote w:id="312">
    <w:p w14:paraId="007CEBAC" w14:textId="108B0390" w:rsidR="0019789C" w:rsidRPr="0019789C" w:rsidRDefault="0019789C" w:rsidP="001300A7">
      <w:pPr>
        <w:pStyle w:val="fntxt"/>
      </w:pPr>
      <w:r w:rsidRPr="0019789C">
        <w:rPr>
          <w:rStyle w:val="FootnoteReference"/>
          <w:rFonts w:cs="Arial"/>
        </w:rPr>
        <w:footnoteRef/>
      </w:r>
      <w:r w:rsidRPr="0019789C">
        <w:t xml:space="preserve"> For more on this, see below B2.1 on the Public Sector Equality Duty.</w:t>
      </w:r>
    </w:p>
  </w:footnote>
  <w:footnote w:id="313">
    <w:p w14:paraId="5369CE78" w14:textId="5E585C59" w:rsidR="0019789C" w:rsidRPr="0019789C" w:rsidRDefault="0019789C" w:rsidP="001300A7">
      <w:pPr>
        <w:pStyle w:val="fntxt"/>
      </w:pPr>
      <w:r w:rsidRPr="0019789C">
        <w:rPr>
          <w:rStyle w:val="FootnoteReference"/>
          <w:rFonts w:cs="Arial"/>
        </w:rPr>
        <w:footnoteRef/>
      </w:r>
      <w:r w:rsidRPr="0019789C">
        <w:t xml:space="preserve"> RNIB, ‘Who put that there! The barriers to blind and partially sighted people getting out and about’ (Briefing paper, February 2015) </w:t>
      </w:r>
      <w:hyperlink r:id="rId91" w:history="1">
        <w:r w:rsidRPr="0019789C">
          <w:rPr>
            <w:rStyle w:val="Hyperlink"/>
            <w:rFonts w:cs="Arial"/>
          </w:rPr>
          <w:t>&lt;www.rnib.org.uk/sites/default/files/WPTT%20Pedestrian%20Crossings%20%20%28Feb%202015%20version%201%29.doc&gt;</w:t>
        </w:r>
      </w:hyperlink>
      <w:r w:rsidRPr="0019789C">
        <w:t xml:space="preserve"> accessed 14 January 2020. </w:t>
      </w:r>
    </w:p>
  </w:footnote>
  <w:footnote w:id="314">
    <w:p w14:paraId="38D925E6" w14:textId="5D41A85F" w:rsidR="0019789C" w:rsidRPr="0019789C" w:rsidRDefault="0019789C" w:rsidP="001300A7">
      <w:pPr>
        <w:pStyle w:val="fntxt"/>
      </w:pPr>
      <w:r w:rsidRPr="0019789C">
        <w:rPr>
          <w:rStyle w:val="FootnoteReference"/>
          <w:rFonts w:cs="Arial"/>
        </w:rPr>
        <w:footnoteRef/>
      </w:r>
      <w:r w:rsidRPr="0019789C">
        <w:t xml:space="preserve"> A Lawson, </w:t>
      </w:r>
      <w:r w:rsidRPr="0019789C">
        <w:rPr>
          <w:rStyle w:val="fnbookChar"/>
          <w:rFonts w:cs="Arial"/>
        </w:rPr>
        <w:t>Disability and Equality Law in Britain: The Role of Reasonable Adjustments</w:t>
      </w:r>
      <w:r w:rsidRPr="0019789C">
        <w:t xml:space="preserve"> (Hart Publishing 2008) 98.</w:t>
      </w:r>
    </w:p>
  </w:footnote>
  <w:footnote w:id="315">
    <w:p w14:paraId="7D8FC397" w14:textId="096E1705" w:rsidR="0019789C" w:rsidRPr="0019789C" w:rsidRDefault="0019789C" w:rsidP="001300A7">
      <w:pPr>
        <w:pStyle w:val="fntxt"/>
      </w:pPr>
      <w:r w:rsidRPr="0019789C">
        <w:rPr>
          <w:rStyle w:val="FootnoteReference"/>
          <w:rFonts w:cs="Arial"/>
        </w:rPr>
        <w:footnoteRef/>
      </w:r>
      <w:r w:rsidRPr="0019789C">
        <w:t xml:space="preserve"> Equality Act Services Code of Practice (n </w:t>
      </w:r>
      <w:r w:rsidRPr="0019789C">
        <w:fldChar w:fldCharType="begin"/>
      </w:r>
      <w:r w:rsidRPr="0019789C">
        <w:instrText xml:space="preserve"> NOTEREF _Ref30422552 \h  \* MERGEFORMAT </w:instrText>
      </w:r>
      <w:r w:rsidRPr="0019789C">
        <w:fldChar w:fldCharType="separate"/>
      </w:r>
      <w:r w:rsidR="00AD46EC">
        <w:t>283</w:t>
      </w:r>
      <w:r w:rsidRPr="0019789C">
        <w:fldChar w:fldCharType="end"/>
      </w:r>
      <w:r w:rsidRPr="0019789C">
        <w:t>) para 7.21.</w:t>
      </w:r>
    </w:p>
  </w:footnote>
  <w:footnote w:id="316">
    <w:p w14:paraId="53B2CFD6" w14:textId="07A6F360" w:rsidR="0019789C" w:rsidRPr="0019789C" w:rsidRDefault="0019789C" w:rsidP="001300A7">
      <w:pPr>
        <w:pStyle w:val="fntxt"/>
      </w:pPr>
      <w:r w:rsidRPr="0019789C">
        <w:rPr>
          <w:rStyle w:val="FootnoteReference"/>
          <w:rFonts w:cs="Arial"/>
        </w:rPr>
        <w:footnoteRef/>
      </w:r>
      <w:r w:rsidRPr="0019789C">
        <w:t xml:space="preserve"> Equality Act 2010, sch 2, para 2(5); A Lawson, ‘Reasonable Accommodation and Accessibility Obligations: Towards a More Unified European Approach’ (2010) 11 European Anti-Discrimination Law Review</w:t>
      </w:r>
      <w:r w:rsidRPr="0019789C">
        <w:rPr>
          <w:rStyle w:val="fnbookChar"/>
          <w:rFonts w:cs="Arial"/>
        </w:rPr>
        <w:t xml:space="preserve"> </w:t>
      </w:r>
      <w:r w:rsidRPr="0019789C">
        <w:t>11, 17.</w:t>
      </w:r>
    </w:p>
  </w:footnote>
  <w:footnote w:id="317">
    <w:p w14:paraId="080AE692" w14:textId="378D9C1A" w:rsidR="0019789C" w:rsidRPr="0019789C" w:rsidRDefault="0019789C" w:rsidP="001300A7">
      <w:pPr>
        <w:pStyle w:val="fntxt"/>
        <w:rPr>
          <w:b/>
          <w:bCs/>
          <w:u w:val="single"/>
        </w:rPr>
      </w:pPr>
      <w:r w:rsidRPr="0019789C">
        <w:rPr>
          <w:rStyle w:val="FootnoteReference"/>
          <w:rFonts w:cs="Arial"/>
        </w:rPr>
        <w:footnoteRef/>
      </w:r>
      <w:r w:rsidRPr="0019789C">
        <w:rPr>
          <w:rStyle w:val="FootnoteTextChar"/>
          <w:rFonts w:cs="Arial"/>
        </w:rPr>
        <w:t xml:space="preserve"> [2016] EWHC (Admin) 3795.</w:t>
      </w:r>
    </w:p>
  </w:footnote>
  <w:footnote w:id="318">
    <w:p w14:paraId="1AC97388" w14:textId="4EAA5182" w:rsidR="0019789C" w:rsidRPr="0019789C" w:rsidRDefault="0019789C" w:rsidP="001300A7">
      <w:pPr>
        <w:pStyle w:val="fntxt"/>
      </w:pPr>
      <w:r w:rsidRPr="0019789C">
        <w:rPr>
          <w:rStyle w:val="FootnoteReference"/>
          <w:rFonts w:cs="Arial"/>
        </w:rPr>
        <w:footnoteRef/>
      </w:r>
      <w:r w:rsidRPr="0019789C">
        <w:t xml:space="preserve"> ibid [26].</w:t>
      </w:r>
    </w:p>
  </w:footnote>
  <w:footnote w:id="319">
    <w:p w14:paraId="7E9F30F5" w14:textId="45AE8276"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Finnigan </w:t>
      </w:r>
      <w:r w:rsidRPr="0019789C">
        <w:t xml:space="preserve">(n </w:t>
      </w:r>
      <w:r w:rsidRPr="0019789C">
        <w:fldChar w:fldCharType="begin"/>
      </w:r>
      <w:r w:rsidRPr="0019789C">
        <w:instrText xml:space="preserve"> NOTEREF _Ref30774623 \h  \* MERGEFORMAT </w:instrText>
      </w:r>
      <w:r w:rsidRPr="0019789C">
        <w:fldChar w:fldCharType="separate"/>
      </w:r>
      <w:r w:rsidR="00AD46EC">
        <w:t>308</w:t>
      </w:r>
      <w:r w:rsidRPr="0019789C">
        <w:fldChar w:fldCharType="end"/>
      </w:r>
      <w:r w:rsidRPr="0019789C">
        <w:t>)</w:t>
      </w:r>
      <w:r w:rsidRPr="0019789C">
        <w:rPr>
          <w:rStyle w:val="fncaseChar"/>
          <w:rFonts w:cs="Arial"/>
        </w:rPr>
        <w:t xml:space="preserve"> </w:t>
      </w:r>
      <w:r w:rsidRPr="0019789C">
        <w:t>[29].</w:t>
      </w:r>
    </w:p>
  </w:footnote>
  <w:footnote w:id="320">
    <w:p w14:paraId="3C261B5E" w14:textId="77777777" w:rsidR="0019789C" w:rsidRPr="0019789C" w:rsidRDefault="0019789C" w:rsidP="001300A7">
      <w:pPr>
        <w:pStyle w:val="fntxt"/>
      </w:pPr>
      <w:r w:rsidRPr="0019789C">
        <w:rPr>
          <w:rStyle w:val="FootnoteReference"/>
          <w:rFonts w:cs="Arial"/>
        </w:rPr>
        <w:footnoteRef/>
      </w:r>
      <w:r w:rsidRPr="0019789C">
        <w:t xml:space="preserve"> The case referred to PPP because it was in relation to the DDA, but the principle remains the same as for PCP: ibid [29] and [13].</w:t>
      </w:r>
    </w:p>
  </w:footnote>
  <w:footnote w:id="321">
    <w:p w14:paraId="18D97AC0" w14:textId="59F9ED71" w:rsidR="0019789C" w:rsidRPr="0019789C" w:rsidRDefault="0019789C" w:rsidP="001300A7">
      <w:pPr>
        <w:pStyle w:val="fntxt"/>
      </w:pPr>
      <w:r w:rsidRPr="0019789C">
        <w:rPr>
          <w:rStyle w:val="FootnoteReference"/>
          <w:rFonts w:cs="Arial"/>
        </w:rPr>
        <w:footnoteRef/>
      </w:r>
      <w:r w:rsidRPr="0019789C">
        <w:t xml:space="preserve"> Equality Act 2010, s 20(11).</w:t>
      </w:r>
    </w:p>
  </w:footnote>
  <w:footnote w:id="322">
    <w:p w14:paraId="04059919" w14:textId="071FCEEC" w:rsidR="0019789C" w:rsidRPr="0019789C" w:rsidRDefault="0019789C" w:rsidP="001300A7">
      <w:pPr>
        <w:pStyle w:val="fntxt"/>
      </w:pPr>
      <w:r w:rsidRPr="0019789C">
        <w:rPr>
          <w:rStyle w:val="FootnoteReference"/>
          <w:rFonts w:cs="Arial"/>
        </w:rPr>
        <w:footnoteRef/>
      </w:r>
      <w:r w:rsidRPr="0019789C">
        <w:t xml:space="preserve"> Equality Act Services Code of Practice (n </w:t>
      </w:r>
      <w:r w:rsidRPr="0019789C">
        <w:fldChar w:fldCharType="begin"/>
      </w:r>
      <w:r w:rsidRPr="0019789C">
        <w:instrText xml:space="preserve"> NOTEREF _Ref30422552 \h  \* MERGEFORMAT </w:instrText>
      </w:r>
      <w:r w:rsidRPr="0019789C">
        <w:fldChar w:fldCharType="separate"/>
      </w:r>
      <w:r w:rsidR="00AD46EC">
        <w:t>283</w:t>
      </w:r>
      <w:r w:rsidRPr="0019789C">
        <w:fldChar w:fldCharType="end"/>
      </w:r>
      <w:r w:rsidRPr="0019789C">
        <w:t>) para 7.47.</w:t>
      </w:r>
    </w:p>
  </w:footnote>
  <w:footnote w:id="323">
    <w:p w14:paraId="65CF00F6" w14:textId="627BFBA9" w:rsidR="0019789C" w:rsidRPr="0019789C" w:rsidRDefault="0019789C" w:rsidP="001300A7">
      <w:pPr>
        <w:pStyle w:val="fntxt"/>
      </w:pPr>
      <w:r w:rsidRPr="0019789C">
        <w:rPr>
          <w:rStyle w:val="FootnoteReference"/>
          <w:rFonts w:cs="Arial"/>
        </w:rPr>
        <w:footnoteRef/>
      </w:r>
      <w:r w:rsidRPr="0019789C">
        <w:t xml:space="preserve"> Equality Act 2010, s 212(1); see also </w:t>
      </w:r>
      <w:r w:rsidRPr="0019789C">
        <w:rPr>
          <w:rStyle w:val="fncaseChar"/>
          <w:rFonts w:cs="Arial"/>
        </w:rPr>
        <w:t>MM &amp; DM</w:t>
      </w:r>
      <w:r w:rsidRPr="0019789C">
        <w:t xml:space="preserve"> (n </w:t>
      </w:r>
      <w:r w:rsidRPr="0019789C">
        <w:fldChar w:fldCharType="begin"/>
      </w:r>
      <w:r w:rsidRPr="0019789C">
        <w:instrText xml:space="preserve"> NOTEREF _Ref30774179 \h  \* MERGEFORMAT </w:instrText>
      </w:r>
      <w:r w:rsidRPr="0019789C">
        <w:fldChar w:fldCharType="separate"/>
      </w:r>
      <w:r w:rsidR="00AD46EC">
        <w:t>302</w:t>
      </w:r>
      <w:r w:rsidRPr="0019789C">
        <w:fldChar w:fldCharType="end"/>
      </w:r>
      <w:r w:rsidRPr="0019789C">
        <w:t>) [43]: ‘The term “substantial” is defined in section 212(1) as meaning “more than minor or trivial.” It is not, therefore, a particularly high hurdle to establish substantial disadvantage.’</w:t>
      </w:r>
    </w:p>
  </w:footnote>
  <w:footnote w:id="324">
    <w:p w14:paraId="724E9146" w14:textId="77777777" w:rsidR="0019789C" w:rsidRPr="0019789C" w:rsidRDefault="0019789C" w:rsidP="001300A7">
      <w:pPr>
        <w:pStyle w:val="fntxt"/>
      </w:pPr>
      <w:r w:rsidRPr="0019789C">
        <w:rPr>
          <w:rStyle w:val="FootnoteReference"/>
          <w:rFonts w:cs="Arial"/>
        </w:rPr>
        <w:footnoteRef/>
      </w:r>
      <w:r w:rsidRPr="0019789C">
        <w:t xml:space="preserve"> Equality Act 2010, sch 2, para 2(5).</w:t>
      </w:r>
    </w:p>
  </w:footnote>
  <w:footnote w:id="325">
    <w:p w14:paraId="2472A8C6" w14:textId="43ED1419" w:rsidR="0019789C" w:rsidRPr="0019789C" w:rsidRDefault="0019789C" w:rsidP="001300A7">
      <w:pPr>
        <w:pStyle w:val="fntxt"/>
      </w:pPr>
      <w:r w:rsidRPr="0019789C">
        <w:rPr>
          <w:rStyle w:val="FootnoteReference"/>
          <w:rFonts w:cs="Arial"/>
        </w:rPr>
        <w:footnoteRef/>
      </w:r>
      <w:r w:rsidRPr="0019789C">
        <w:t xml:space="preserve"> Equality Act Services Code of Practice (n </w:t>
      </w:r>
      <w:r w:rsidRPr="0019789C">
        <w:fldChar w:fldCharType="begin"/>
      </w:r>
      <w:r w:rsidRPr="0019789C">
        <w:instrText xml:space="preserve"> NOTEREF _Ref30422552 \h  \* MERGEFORMAT </w:instrText>
      </w:r>
      <w:r w:rsidRPr="0019789C">
        <w:fldChar w:fldCharType="separate"/>
      </w:r>
      <w:r w:rsidR="00AD46EC">
        <w:t>283</w:t>
      </w:r>
      <w:r w:rsidRPr="0019789C">
        <w:fldChar w:fldCharType="end"/>
      </w:r>
      <w:r w:rsidRPr="0019789C">
        <w:t>) para 7.13.</w:t>
      </w:r>
    </w:p>
  </w:footnote>
  <w:footnote w:id="326">
    <w:p w14:paraId="5DC1878C" w14:textId="77777777" w:rsidR="0019789C" w:rsidRPr="0019789C" w:rsidRDefault="0019789C" w:rsidP="001300A7">
      <w:pPr>
        <w:pStyle w:val="fntxt"/>
      </w:pPr>
      <w:r w:rsidRPr="0019789C">
        <w:rPr>
          <w:rStyle w:val="FootnoteReference"/>
          <w:rFonts w:cs="Arial"/>
        </w:rPr>
        <w:footnoteRef/>
      </w:r>
      <w:r w:rsidRPr="0019789C">
        <w:t xml:space="preserve"> Equality Act 2010, s 6(3) provides that ‘[i]n relation to the protected characteristic of disability (a) a reference to a person who has a particular protected characteristic is a reference to a person who has a particular disability; (b) a reference to persons who share a protected characteristic is a reference to persons who have the same disability’.</w:t>
      </w:r>
    </w:p>
  </w:footnote>
  <w:footnote w:id="327">
    <w:p w14:paraId="10B6EB52" w14:textId="2EE9C455" w:rsidR="0019789C" w:rsidRPr="0019789C" w:rsidRDefault="0019789C" w:rsidP="001300A7">
      <w:pPr>
        <w:pStyle w:val="fntxt"/>
      </w:pPr>
      <w:r w:rsidRPr="0019789C">
        <w:rPr>
          <w:rStyle w:val="FootnoteReference"/>
          <w:rFonts w:cs="Arial"/>
        </w:rPr>
        <w:footnoteRef/>
      </w:r>
      <w:r w:rsidRPr="0019789C">
        <w:t xml:space="preserve"> See, in the employment context,</w:t>
      </w:r>
      <w:r w:rsidRPr="0019789C">
        <w:rPr>
          <w:rStyle w:val="fncaseChar"/>
          <w:rFonts w:cs="Arial"/>
        </w:rPr>
        <w:t xml:space="preserve"> Archibald v Fife Council</w:t>
      </w:r>
      <w:r w:rsidRPr="0019789C">
        <w:rPr>
          <w:i/>
        </w:rPr>
        <w:t xml:space="preserve"> </w:t>
      </w:r>
      <w:r w:rsidRPr="0019789C">
        <w:t>[2004]</w:t>
      </w:r>
      <w:r w:rsidRPr="0019789C">
        <w:rPr>
          <w:i/>
        </w:rPr>
        <w:t xml:space="preserve"> </w:t>
      </w:r>
      <w:r w:rsidRPr="0019789C">
        <w:t xml:space="preserve">UKHL 32; and, in the services context, </w:t>
      </w:r>
      <w:r w:rsidRPr="0019789C">
        <w:rPr>
          <w:rStyle w:val="fncaseChar"/>
          <w:rFonts w:cs="Arial"/>
        </w:rPr>
        <w:t>First Group plc v Paulley</w:t>
      </w:r>
      <w:r w:rsidRPr="0019789C">
        <w:t xml:space="preserve"> </w:t>
      </w:r>
      <w:r w:rsidRPr="0019789C">
        <w:rPr>
          <w:rStyle w:val="fncaseChar"/>
          <w:rFonts w:cs="Arial"/>
          <w:i w:val="0"/>
        </w:rPr>
        <w:t xml:space="preserve">(n </w:t>
      </w:r>
      <w:r w:rsidRPr="0019789C">
        <w:rPr>
          <w:rStyle w:val="fncaseChar"/>
          <w:rFonts w:cs="Arial"/>
          <w:i w:val="0"/>
        </w:rPr>
        <w:fldChar w:fldCharType="begin"/>
      </w:r>
      <w:r w:rsidRPr="0019789C">
        <w:rPr>
          <w:rStyle w:val="fncaseChar"/>
          <w:rFonts w:cs="Arial"/>
          <w:i w:val="0"/>
        </w:rPr>
        <w:instrText xml:space="preserve"> NOTEREF _Ref30774642 \h  \* MERGEFORMAT </w:instrText>
      </w:r>
      <w:r w:rsidRPr="0019789C">
        <w:rPr>
          <w:rStyle w:val="fncaseChar"/>
          <w:rFonts w:cs="Arial"/>
          <w:i w:val="0"/>
        </w:rPr>
      </w:r>
      <w:r w:rsidRPr="0019789C">
        <w:rPr>
          <w:rStyle w:val="fncaseChar"/>
          <w:rFonts w:cs="Arial"/>
          <w:i w:val="0"/>
        </w:rPr>
        <w:fldChar w:fldCharType="separate"/>
      </w:r>
      <w:r w:rsidR="00AD46EC">
        <w:rPr>
          <w:rStyle w:val="fncaseChar"/>
          <w:rFonts w:cs="Arial"/>
          <w:i w:val="0"/>
        </w:rPr>
        <w:t>309</w:t>
      </w:r>
      <w:r w:rsidRPr="0019789C">
        <w:rPr>
          <w:rStyle w:val="fncaseChar"/>
          <w:rFonts w:cs="Arial"/>
          <w:i w:val="0"/>
        </w:rPr>
        <w:fldChar w:fldCharType="end"/>
      </w:r>
      <w:r w:rsidRPr="0019789C">
        <w:rPr>
          <w:rStyle w:val="fncaseChar"/>
          <w:rFonts w:cs="Arial"/>
          <w:i w:val="0"/>
        </w:rPr>
        <w:t>);</w:t>
      </w:r>
      <w:r w:rsidRPr="0019789C">
        <w:t xml:space="preserve"> see eg A Lawson and C Casserley, ‘First Group v Paulley: Towards Accessible and Inclusive Public Transport?’ Oxford Human Rights Hub Blog (3 March 2017) </w:t>
      </w:r>
      <w:hyperlink r:id="rId92" w:history="1">
        <w:r w:rsidRPr="0019789C">
          <w:rPr>
            <w:rStyle w:val="Hyperlink"/>
            <w:rFonts w:cs="Arial"/>
          </w:rPr>
          <w:t>&lt;http://ohrh.law.ox.ac.uk/first-group-v-paulley-towards-accessible-and-inclusive-public-transport&gt;</w:t>
        </w:r>
      </w:hyperlink>
      <w:r w:rsidRPr="0019789C">
        <w:t xml:space="preserve"> accessed 15 January 2020.</w:t>
      </w:r>
    </w:p>
  </w:footnote>
  <w:footnote w:id="328">
    <w:p w14:paraId="24705301" w14:textId="6CDC1EEA" w:rsidR="0019789C" w:rsidRPr="0019789C" w:rsidRDefault="0019789C" w:rsidP="001300A7">
      <w:pPr>
        <w:pStyle w:val="fntxt"/>
      </w:pPr>
      <w:r w:rsidRPr="0019789C">
        <w:rPr>
          <w:rStyle w:val="FootnoteReference"/>
          <w:rFonts w:cs="Arial"/>
        </w:rPr>
        <w:footnoteRef/>
      </w:r>
      <w:r w:rsidRPr="0019789C">
        <w:t xml:space="preserve"> Equality Act 2010, s 20(7). See also </w:t>
      </w:r>
      <w:r w:rsidRPr="0019789C">
        <w:rPr>
          <w:rStyle w:val="fncaseChar"/>
          <w:rFonts w:cs="Arial"/>
        </w:rPr>
        <w:t>Ross v Ryanair</w:t>
      </w:r>
      <w:r w:rsidRPr="0019789C">
        <w:rPr>
          <w:i/>
          <w:iCs/>
        </w:rPr>
        <w:t xml:space="preserve"> </w:t>
      </w:r>
      <w:r w:rsidRPr="0019789C">
        <w:t>[2005] 1 WLR 2447.</w:t>
      </w:r>
    </w:p>
  </w:footnote>
  <w:footnote w:id="329">
    <w:p w14:paraId="0B818876" w14:textId="64B3BCA2" w:rsidR="0019789C" w:rsidRPr="0019789C" w:rsidRDefault="0019789C" w:rsidP="001300A7">
      <w:pPr>
        <w:pStyle w:val="fntxt"/>
      </w:pPr>
      <w:r w:rsidRPr="0019789C">
        <w:rPr>
          <w:rStyle w:val="FootnoteReference"/>
          <w:rFonts w:cs="Arial"/>
        </w:rPr>
        <w:footnoteRef/>
      </w:r>
      <w:r w:rsidRPr="0019789C">
        <w:t xml:space="preserve"> Equality Act 2010, sch 2, para 2(7).</w:t>
      </w:r>
    </w:p>
  </w:footnote>
  <w:footnote w:id="330">
    <w:p w14:paraId="3AC6F67D" w14:textId="780B5A6C" w:rsidR="0019789C" w:rsidRPr="0019789C" w:rsidRDefault="0019789C" w:rsidP="001300A7">
      <w:pPr>
        <w:pStyle w:val="fntxt"/>
      </w:pPr>
      <w:r w:rsidRPr="0019789C">
        <w:rPr>
          <w:rStyle w:val="FootnoteReference"/>
          <w:rFonts w:cs="Arial"/>
        </w:rPr>
        <w:footnoteRef/>
      </w:r>
      <w:r w:rsidRPr="0019789C">
        <w:t xml:space="preserve"> Equality Act 2010, sch 2, para 2(8).</w:t>
      </w:r>
    </w:p>
  </w:footnote>
  <w:footnote w:id="331">
    <w:p w14:paraId="732E2E06" w14:textId="63872E16" w:rsidR="0019789C" w:rsidRPr="0019789C" w:rsidRDefault="0019789C" w:rsidP="001300A7">
      <w:pPr>
        <w:pStyle w:val="fntxt"/>
      </w:pPr>
      <w:r w:rsidRPr="0019789C">
        <w:rPr>
          <w:rStyle w:val="FootnoteReference"/>
          <w:rFonts w:cs="Arial"/>
        </w:rPr>
        <w:footnoteRef/>
      </w:r>
      <w:r w:rsidRPr="0019789C">
        <w:t xml:space="preserve"> Equality Act Services Code of Practice (n </w:t>
      </w:r>
      <w:r w:rsidRPr="0019789C">
        <w:fldChar w:fldCharType="begin"/>
      </w:r>
      <w:r w:rsidRPr="0019789C">
        <w:instrText xml:space="preserve"> NOTEREF _Ref30422552 \h  \* MERGEFORMAT </w:instrText>
      </w:r>
      <w:r w:rsidRPr="0019789C">
        <w:fldChar w:fldCharType="separate"/>
      </w:r>
      <w:r w:rsidR="00AD46EC">
        <w:t>283</w:t>
      </w:r>
      <w:r w:rsidRPr="0019789C">
        <w:fldChar w:fldCharType="end"/>
      </w:r>
      <w:r w:rsidRPr="0019789C">
        <w:t>) paras 7.28 and 7.29.</w:t>
      </w:r>
    </w:p>
  </w:footnote>
  <w:footnote w:id="332">
    <w:p w14:paraId="7C7429A9" w14:textId="722A12A9" w:rsidR="0019789C" w:rsidRPr="0019789C" w:rsidRDefault="0019789C" w:rsidP="001300A7">
      <w:pPr>
        <w:pStyle w:val="fntxt"/>
      </w:pPr>
      <w:r w:rsidRPr="0019789C">
        <w:rPr>
          <w:rStyle w:val="FootnoteReference"/>
          <w:rFonts w:cs="Arial"/>
        </w:rPr>
        <w:footnoteRef/>
      </w:r>
      <w:r w:rsidRPr="0019789C">
        <w:t xml:space="preserve"> ibid, para 7.42.</w:t>
      </w:r>
    </w:p>
  </w:footnote>
  <w:footnote w:id="333">
    <w:p w14:paraId="2A6F7AF5" w14:textId="6F0E503C" w:rsidR="0019789C" w:rsidRPr="0019789C" w:rsidRDefault="0019789C" w:rsidP="001300A7">
      <w:pPr>
        <w:pStyle w:val="fntxt"/>
      </w:pPr>
      <w:r w:rsidRPr="0019789C">
        <w:rPr>
          <w:rStyle w:val="FootnoteReference"/>
          <w:rFonts w:cs="Arial"/>
        </w:rPr>
        <w:footnoteRef/>
      </w:r>
      <w:r w:rsidRPr="0019789C">
        <w:t xml:space="preserve"> ibid, para 7.57.</w:t>
      </w:r>
    </w:p>
  </w:footnote>
  <w:footnote w:id="334">
    <w:p w14:paraId="1B2ECB98" w14:textId="27F3C473" w:rsidR="0019789C" w:rsidRPr="0019789C" w:rsidRDefault="0019789C" w:rsidP="001300A7">
      <w:pPr>
        <w:pStyle w:val="fntxt"/>
      </w:pPr>
      <w:r w:rsidRPr="0019789C">
        <w:rPr>
          <w:rStyle w:val="FootnoteReference"/>
          <w:rFonts w:cs="Arial"/>
        </w:rPr>
        <w:footnoteRef/>
      </w:r>
      <w:r w:rsidRPr="0019789C">
        <w:t xml:space="preserve"> Equality Act 2010, s 119(2).</w:t>
      </w:r>
    </w:p>
  </w:footnote>
  <w:footnote w:id="335">
    <w:p w14:paraId="6D455318" w14:textId="77777777" w:rsidR="0019789C" w:rsidRPr="0019789C" w:rsidRDefault="0019789C" w:rsidP="001300A7">
      <w:pPr>
        <w:pStyle w:val="fntxt"/>
      </w:pPr>
      <w:r w:rsidRPr="0019789C">
        <w:rPr>
          <w:rStyle w:val="FootnoteReference"/>
          <w:rFonts w:cs="Arial"/>
        </w:rPr>
        <w:footnoteRef/>
      </w:r>
      <w:r w:rsidRPr="0019789C">
        <w:t xml:space="preserve"> Equality Act 2010, s 119(3).</w:t>
      </w:r>
    </w:p>
  </w:footnote>
  <w:footnote w:id="336">
    <w:p w14:paraId="4F838ECD" w14:textId="1E921326" w:rsidR="0019789C" w:rsidRPr="0019789C" w:rsidRDefault="0019789C" w:rsidP="001300A7">
      <w:pPr>
        <w:pStyle w:val="fntxt"/>
      </w:pPr>
      <w:r w:rsidRPr="0019789C">
        <w:rPr>
          <w:rStyle w:val="FootnoteReference"/>
          <w:rFonts w:cs="Arial"/>
        </w:rPr>
        <w:footnoteRef/>
      </w:r>
      <w:r w:rsidRPr="0019789C">
        <w:t xml:space="preserve"> Equality Act Services Code of Practice (n </w:t>
      </w:r>
      <w:r w:rsidRPr="0019789C">
        <w:fldChar w:fldCharType="begin"/>
      </w:r>
      <w:r w:rsidRPr="0019789C">
        <w:instrText xml:space="preserve"> NOTEREF _Ref30422552 \h  \* MERGEFORMAT </w:instrText>
      </w:r>
      <w:r w:rsidRPr="0019789C">
        <w:fldChar w:fldCharType="separate"/>
      </w:r>
      <w:r w:rsidR="00AD46EC">
        <w:t>283</w:t>
      </w:r>
      <w:r w:rsidRPr="0019789C">
        <w:fldChar w:fldCharType="end"/>
      </w:r>
      <w:r w:rsidRPr="0019789C">
        <w:t>) para 14.51.</w:t>
      </w:r>
    </w:p>
  </w:footnote>
  <w:footnote w:id="337">
    <w:p w14:paraId="34159A52" w14:textId="5356D1AA"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the law and the role of the Equality and Human Rights Commission’ (Tenth Report of Session 2017-19) paras 11 and 212; however, it must be noted that data is not available for discrimination claims in county courts like it is for the employment tribunals: ibid, para 214; Equality and Human Rights Commission (EHRC), ‘Access to legal aid for discrimination cases’ (June 2019) 30 </w:t>
      </w:r>
      <w:hyperlink r:id="rId93" w:history="1">
        <w:r w:rsidRPr="0019789C">
          <w:rPr>
            <w:rStyle w:val="Hyperlink"/>
            <w:rFonts w:cs="Arial"/>
          </w:rPr>
          <w:t>&lt;www.equalityhumanrights.com/en/publication-download/access-legal-aid-discrimination-cases&gt;</w:t>
        </w:r>
      </w:hyperlink>
      <w:r w:rsidRPr="0019789C">
        <w:t xml:space="preserve"> accessed 11 December 2019.</w:t>
      </w:r>
    </w:p>
  </w:footnote>
  <w:footnote w:id="338">
    <w:p w14:paraId="1791A77F" w14:textId="77777777" w:rsidR="0019789C" w:rsidRPr="0019789C" w:rsidRDefault="0019789C" w:rsidP="001300A7">
      <w:pPr>
        <w:pStyle w:val="fntxt"/>
      </w:pPr>
      <w:r w:rsidRPr="0019789C">
        <w:rPr>
          <w:rStyle w:val="FootnoteReference"/>
          <w:rFonts w:cs="Arial"/>
        </w:rPr>
        <w:footnoteRef/>
      </w:r>
      <w:r w:rsidRPr="0019789C">
        <w:t xml:space="preserve"> Equality Act 2010, s 119(4).</w:t>
      </w:r>
    </w:p>
  </w:footnote>
  <w:footnote w:id="339">
    <w:p w14:paraId="081D90F7" w14:textId="35A3C7FA" w:rsidR="0019789C" w:rsidRPr="0019789C" w:rsidRDefault="0019789C" w:rsidP="001300A7">
      <w:pPr>
        <w:pStyle w:val="fntxt"/>
      </w:pPr>
      <w:r w:rsidRPr="0019789C">
        <w:rPr>
          <w:rStyle w:val="FootnoteReference"/>
          <w:rFonts w:cs="Arial"/>
        </w:rPr>
        <w:footnoteRef/>
      </w:r>
      <w:r w:rsidRPr="0019789C">
        <w:t xml:space="preserve"> Equality Act Services Code of Practice (n </w:t>
      </w:r>
      <w:r w:rsidRPr="0019789C">
        <w:fldChar w:fldCharType="begin"/>
      </w:r>
      <w:r w:rsidRPr="0019789C">
        <w:instrText xml:space="preserve"> NOTEREF _Ref30422552 \h  \* MERGEFORMAT </w:instrText>
      </w:r>
      <w:r w:rsidRPr="0019789C">
        <w:fldChar w:fldCharType="separate"/>
      </w:r>
      <w:r w:rsidR="00AD46EC">
        <w:t>283</w:t>
      </w:r>
      <w:r w:rsidRPr="0019789C">
        <w:fldChar w:fldCharType="end"/>
      </w:r>
      <w:r w:rsidRPr="0019789C">
        <w:t>) para 14.54-14.56.</w:t>
      </w:r>
    </w:p>
  </w:footnote>
  <w:footnote w:id="340">
    <w:p w14:paraId="26EC06BD" w14:textId="218937A9" w:rsidR="0019789C" w:rsidRPr="0019789C" w:rsidRDefault="0019789C" w:rsidP="001300A7">
      <w:pPr>
        <w:pStyle w:val="fntxt"/>
      </w:pPr>
      <w:r w:rsidRPr="0019789C">
        <w:rPr>
          <w:rStyle w:val="FootnoteReference"/>
          <w:rFonts w:cs="Arial"/>
        </w:rPr>
        <w:footnoteRef/>
      </w:r>
      <w:r w:rsidRPr="0019789C">
        <w:t xml:space="preserve"> </w:t>
      </w:r>
      <w:r w:rsidRPr="0019789C">
        <w:rPr>
          <w:i/>
        </w:rPr>
        <w:t>Vento v Chief Constable of West Yorkshire Police</w:t>
      </w:r>
      <w:r w:rsidRPr="0019789C">
        <w:t xml:space="preserve"> [2002] EWCA Civ 1871 [5].</w:t>
      </w:r>
    </w:p>
  </w:footnote>
  <w:footnote w:id="341">
    <w:p w14:paraId="516180AF" w14:textId="571CCB82" w:rsidR="0019789C" w:rsidRPr="0019789C" w:rsidRDefault="0019789C" w:rsidP="001300A7">
      <w:pPr>
        <w:pStyle w:val="fntxt"/>
      </w:pPr>
      <w:r w:rsidRPr="0019789C">
        <w:rPr>
          <w:rStyle w:val="FootnoteReference"/>
          <w:rFonts w:cs="Arial"/>
        </w:rPr>
        <w:footnoteRef/>
      </w:r>
      <w:r w:rsidRPr="0019789C">
        <w:t xml:space="preserve"> The amounts of each band are subject to change, but as of 6 April 2019, the lower band of £900-8,800 applies to ‘less serious cases’, where the discrimination was a ‘one-off or isolated occurrence’; the middle band of £8,800-26,300 applies to cases that do not merit an award in the upper band; and the upper band of £26,300-44,000 applies to the ‘most serious cases’ eg ‘where there has been a lengthy campaign of discrimination and/or harassment’: </w:t>
      </w:r>
      <w:r w:rsidRPr="0019789C">
        <w:rPr>
          <w:rFonts w:cs="Arial"/>
        </w:rPr>
        <w:t xml:space="preserve">Courts and Tribunals Judiciary, </w:t>
      </w:r>
      <w:r w:rsidRPr="0019789C">
        <w:t xml:space="preserve">‘Second Addendum to Presidential Guidance originally issues on 5 September 2017’ (25 March 2019) </w:t>
      </w:r>
      <w:hyperlink r:id="rId94" w:history="1">
        <w:r w:rsidRPr="0019789C">
          <w:rPr>
            <w:rStyle w:val="Hyperlink"/>
            <w:rFonts w:cs="Arial"/>
          </w:rPr>
          <w:t>&lt;www.judiciary.uk/publications/employment-rules-and-legislation-practice-directions/&gt;</w:t>
        </w:r>
      </w:hyperlink>
      <w:r w:rsidRPr="0019789C">
        <w:t xml:space="preserve"> accessed 11 December 2019; Equality and Human Rights Commission (EHRC), ‘How to work out the value of a discrimination claim’ (April 2018) 4 </w:t>
      </w:r>
      <w:hyperlink r:id="rId95" w:history="1">
        <w:r w:rsidRPr="0019789C">
          <w:rPr>
            <w:rStyle w:val="Hyperlink"/>
            <w:rFonts w:cs="Arial"/>
          </w:rPr>
          <w:t>&lt;www.equalityhumanrights.com/sites/default/files/quantification-of-claims-guidance.pdf&gt;</w:t>
        </w:r>
      </w:hyperlink>
      <w:r w:rsidRPr="0019789C">
        <w:t xml:space="preserve"> accessed 11 December 2019.</w:t>
      </w:r>
    </w:p>
  </w:footnote>
  <w:footnote w:id="342">
    <w:p w14:paraId="5FEC3BB5" w14:textId="7633E407"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Courts and Tribunals Judiciary</w:t>
      </w:r>
      <w:r w:rsidRPr="0019789C">
        <w:t xml:space="preserve"> (n </w:t>
      </w:r>
      <w:r w:rsidRPr="0019789C">
        <w:fldChar w:fldCharType="begin"/>
      </w:r>
      <w:r w:rsidRPr="0019789C">
        <w:instrText xml:space="preserve"> NOTEREF _Ref30082140 \h  \* MERGEFORMAT </w:instrText>
      </w:r>
      <w:r w:rsidRPr="0019789C">
        <w:fldChar w:fldCharType="separate"/>
      </w:r>
      <w:r w:rsidR="00AD46EC">
        <w:t>341</w:t>
      </w:r>
      <w:r w:rsidRPr="0019789C">
        <w:fldChar w:fldCharType="end"/>
      </w:r>
      <w:r w:rsidRPr="0019789C">
        <w:t xml:space="preserve">) para 3; see also </w:t>
      </w:r>
      <w:r w:rsidRPr="0019789C">
        <w:rPr>
          <w:i/>
        </w:rPr>
        <w:t>Purves v Joydisc Ltd</w:t>
      </w:r>
      <w:r w:rsidRPr="0019789C">
        <w:t xml:space="preserve"> [2003] Scot (D) 25/3, which has also been used to calculate the quantum of injury to feelings damages.</w:t>
      </w:r>
    </w:p>
  </w:footnote>
  <w:footnote w:id="343">
    <w:p w14:paraId="2FD2C12D" w14:textId="4F6552B5" w:rsidR="0019789C" w:rsidRPr="0019789C" w:rsidRDefault="0019789C" w:rsidP="001300A7">
      <w:pPr>
        <w:pStyle w:val="fntxt"/>
      </w:pPr>
      <w:r w:rsidRPr="0019789C">
        <w:rPr>
          <w:rStyle w:val="FootnoteReference"/>
          <w:rFonts w:cs="Arial"/>
        </w:rPr>
        <w:footnoteRef/>
      </w:r>
      <w:r w:rsidRPr="0019789C">
        <w:t xml:space="preserve"> As suggested by </w:t>
      </w:r>
      <w:r w:rsidRPr="0019789C">
        <w:rPr>
          <w:i/>
        </w:rPr>
        <w:t>De Souza v Vinci Construction (UK) Ltd</w:t>
      </w:r>
      <w:r w:rsidRPr="0019789C">
        <w:t xml:space="preserve"> [2017] EWCA Civ 879.</w:t>
      </w:r>
    </w:p>
  </w:footnote>
  <w:footnote w:id="344">
    <w:p w14:paraId="29DDEC18" w14:textId="5C06F964" w:rsidR="0019789C" w:rsidRPr="0019789C" w:rsidRDefault="0019789C" w:rsidP="001300A7">
      <w:pPr>
        <w:pStyle w:val="fntxt"/>
      </w:pPr>
      <w:r w:rsidRPr="0019789C">
        <w:rPr>
          <w:rStyle w:val="FootnoteReference"/>
          <w:rFonts w:cs="Arial"/>
        </w:rPr>
        <w:footnoteRef/>
      </w:r>
      <w:r w:rsidRPr="0019789C">
        <w:t xml:space="preserve"> See eg </w:t>
      </w:r>
      <w:r w:rsidRPr="0019789C">
        <w:rPr>
          <w:i/>
        </w:rPr>
        <w:t>Durrant v Chief Constable of Avon &amp; Somerset Constabulary</w:t>
      </w:r>
      <w:r w:rsidRPr="0019789C">
        <w:t xml:space="preserve"> [2017] EWCA Civ 1808, where the appellant was awarded compensation in respect of injury to feelings under s 57(4) Race Relations Act 1976 following findings of unlawful conduct by police officers during her arrest and handcuffing; </w:t>
      </w:r>
      <w:r w:rsidRPr="0019789C">
        <w:rPr>
          <w:i/>
        </w:rPr>
        <w:t xml:space="preserve">Roberts v Bank of Scotland plc </w:t>
      </w:r>
      <w:r w:rsidRPr="0019789C">
        <w:t xml:space="preserve">[2013] EWCA Civ 882, where the claimant sought damages for harassment; and in the </w:t>
      </w:r>
      <w:r w:rsidRPr="0019789C">
        <w:rPr>
          <w:i/>
        </w:rPr>
        <w:t xml:space="preserve">Paulley </w:t>
      </w:r>
      <w:r w:rsidRPr="0019789C">
        <w:t xml:space="preserve">case, the Leeds County Court referenced the </w:t>
      </w:r>
      <w:r w:rsidRPr="0019789C">
        <w:rPr>
          <w:i/>
        </w:rPr>
        <w:t>Vento</w:t>
      </w:r>
      <w:r w:rsidRPr="0019789C">
        <w:t xml:space="preserve"> bands:</w:t>
      </w:r>
      <w:r w:rsidRPr="0019789C">
        <w:rPr>
          <w:i/>
        </w:rPr>
        <w:t xml:space="preserve"> Paulley v First Group Ltd</w:t>
      </w:r>
      <w:r w:rsidRPr="0019789C">
        <w:t xml:space="preserve">, Leeds County Court, Case 2YL85558 (16 September 2013) para 24, available at </w:t>
      </w:r>
      <w:hyperlink r:id="rId96" w:history="1">
        <w:r w:rsidRPr="0019789C">
          <w:rPr>
            <w:rStyle w:val="Hyperlink"/>
            <w:rFonts w:cs="Arial"/>
          </w:rPr>
          <w:t>&lt;www.disabilityrightsuk.org/sites/default/files/pdf/firstbusjudgment.pdf&gt;</w:t>
        </w:r>
      </w:hyperlink>
      <w:r w:rsidRPr="0019789C">
        <w:t xml:space="preserve"> accessed 16 January 2020.</w:t>
      </w:r>
    </w:p>
  </w:footnote>
  <w:footnote w:id="345">
    <w:p w14:paraId="4229C506" w14:textId="3D35271F" w:rsidR="0019789C" w:rsidRPr="0019789C" w:rsidRDefault="0019789C" w:rsidP="001300A7">
      <w:pPr>
        <w:pStyle w:val="fntxt"/>
      </w:pPr>
      <w:r w:rsidRPr="0019789C">
        <w:rPr>
          <w:rStyle w:val="FootnoteReference"/>
          <w:rFonts w:cs="Arial"/>
        </w:rPr>
        <w:footnoteRef/>
      </w:r>
      <w:r w:rsidRPr="0019789C">
        <w:t xml:space="preserve"> Cambridge County Court, Case No: D4QZ203M (3 July 2018) available at </w:t>
      </w:r>
      <w:hyperlink r:id="rId97" w:history="1">
        <w:r w:rsidRPr="0019789C">
          <w:rPr>
            <w:rStyle w:val="Hyperlink"/>
            <w:rFonts w:cs="Arial"/>
          </w:rPr>
          <w:t>&lt;www.reasonableaccess.org.uk/wp-content/uploads/2019/02/1073473-Esther-Leighton-v-Culinaris-UK-Ltd-Approved-Judgment-03.07.18.pdf&gt;</w:t>
        </w:r>
      </w:hyperlink>
      <w:r w:rsidRPr="0019789C">
        <w:t xml:space="preserve"> accessed 16 January 2020; see also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paras 15 and 19.</w:t>
      </w:r>
    </w:p>
  </w:footnote>
  <w:footnote w:id="346">
    <w:p w14:paraId="7231617C" w14:textId="77777777" w:rsidR="0019789C" w:rsidRPr="0019789C" w:rsidRDefault="0019789C" w:rsidP="001300A7">
      <w:pPr>
        <w:pStyle w:val="fntxt"/>
      </w:pPr>
      <w:r w:rsidRPr="0019789C">
        <w:rPr>
          <w:rStyle w:val="FootnoteReference"/>
          <w:rFonts w:cs="Arial"/>
        </w:rPr>
        <w:footnoteRef/>
      </w:r>
      <w:r w:rsidRPr="0019789C">
        <w:t xml:space="preserve"> ibid [1]-[2] and [6].</w:t>
      </w:r>
    </w:p>
  </w:footnote>
  <w:footnote w:id="347">
    <w:p w14:paraId="0F92FF6C" w14:textId="3CBDDEEB" w:rsidR="0019789C" w:rsidRPr="0019789C" w:rsidRDefault="0019789C" w:rsidP="001300A7">
      <w:pPr>
        <w:pStyle w:val="fntxt"/>
      </w:pPr>
      <w:r w:rsidRPr="0019789C">
        <w:rPr>
          <w:rStyle w:val="FootnoteReference"/>
          <w:rFonts w:cs="Arial"/>
        </w:rPr>
        <w:footnoteRef/>
      </w:r>
      <w:r w:rsidRPr="0019789C">
        <w:t xml:space="preserve"> ibid [8] and [48]-[49].</w:t>
      </w:r>
    </w:p>
  </w:footnote>
  <w:footnote w:id="348">
    <w:p w14:paraId="2BCA80B7" w14:textId="22D01EE1" w:rsidR="0019789C" w:rsidRPr="0019789C" w:rsidRDefault="0019789C" w:rsidP="001300A7">
      <w:pPr>
        <w:pStyle w:val="fntxt"/>
      </w:pPr>
      <w:r w:rsidRPr="0019789C">
        <w:rPr>
          <w:rStyle w:val="FootnoteReference"/>
          <w:rFonts w:cs="Arial"/>
        </w:rPr>
        <w:footnoteRef/>
      </w:r>
      <w:r w:rsidRPr="0019789C">
        <w:t xml:space="preserve"> ibid [47].</w:t>
      </w:r>
    </w:p>
  </w:footnote>
  <w:footnote w:id="349">
    <w:p w14:paraId="44A1A235"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i/>
        </w:rPr>
        <w:t>Hosegood v Khalid (t/a Salt &amp; Pepper Village)</w:t>
      </w:r>
      <w:r w:rsidRPr="0019789C">
        <w:t xml:space="preserve"> [2012] EqLR 1114, [2012] 3 WLUK 801.</w:t>
      </w:r>
    </w:p>
  </w:footnote>
  <w:footnote w:id="350">
    <w:p w14:paraId="07D8AB9E"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351">
    <w:p w14:paraId="0CF62BC8" w14:textId="575A3A0A" w:rsidR="0019789C" w:rsidRPr="0019789C" w:rsidRDefault="0019789C" w:rsidP="001300A7">
      <w:pPr>
        <w:pStyle w:val="fntxt"/>
      </w:pPr>
      <w:r w:rsidRPr="0019789C">
        <w:rPr>
          <w:rStyle w:val="FootnoteReference"/>
          <w:rFonts w:cs="Arial"/>
        </w:rPr>
        <w:footnoteRef/>
      </w:r>
      <w:r w:rsidRPr="0019789C">
        <w:t xml:space="preserve"> However, for another recent example of a case in which an injunction was ordered see</w:t>
      </w:r>
      <w:r w:rsidRPr="0019789C">
        <w:rPr>
          <w:rStyle w:val="fncaseChar"/>
        </w:rPr>
        <w:t xml:space="preserve"> Lawson v Mr &amp; Mrs Clemitshaw t/a Abbey Wharf Restaurant</w:t>
      </w:r>
      <w:r w:rsidRPr="0019789C">
        <w:t>, York County Court, March 2020.</w:t>
      </w:r>
    </w:p>
  </w:footnote>
  <w:footnote w:id="352">
    <w:p w14:paraId="59539366" w14:textId="77777777" w:rsidR="0019789C" w:rsidRPr="0019789C" w:rsidRDefault="0019789C" w:rsidP="001300A7">
      <w:pPr>
        <w:pStyle w:val="fntxt"/>
      </w:pPr>
      <w:r w:rsidRPr="0019789C">
        <w:rPr>
          <w:rStyle w:val="FootnoteReference"/>
          <w:rFonts w:cs="Arial"/>
        </w:rPr>
        <w:t xml:space="preserve"> </w:t>
      </w:r>
      <w:r w:rsidRPr="0019789C">
        <w:rPr>
          <w:rStyle w:val="FootnoteReference"/>
          <w:rFonts w:cs="Arial"/>
        </w:rPr>
        <w:footnoteRef/>
      </w:r>
      <w:r w:rsidRPr="0019789C">
        <w:t xml:space="preserve"> [2009] EWCA Civ 1213.</w:t>
      </w:r>
    </w:p>
  </w:footnote>
  <w:footnote w:id="353">
    <w:p w14:paraId="764AA251" w14:textId="1FB990E4" w:rsidR="0019789C" w:rsidRPr="0019789C" w:rsidRDefault="0019789C" w:rsidP="001300A7">
      <w:pPr>
        <w:pStyle w:val="fntxt"/>
        <w:rPr>
          <w:rStyle w:val="fncaseChar"/>
          <w:rFonts w:cs="Arial"/>
        </w:rPr>
      </w:pPr>
      <w:r w:rsidRPr="0019789C">
        <w:rPr>
          <w:rStyle w:val="FootnoteReference"/>
          <w:rFonts w:cs="Arial"/>
        </w:rPr>
        <w:t xml:space="preserve"> </w:t>
      </w:r>
      <w:r w:rsidRPr="0019789C">
        <w:rPr>
          <w:rStyle w:val="FootnoteReference"/>
          <w:rFonts w:cs="Arial"/>
        </w:rPr>
        <w:footnoteRef/>
      </w:r>
      <w:r w:rsidRPr="0019789C">
        <w:t xml:space="preserve"> An injunction requiring the installation of a lift (this time in an apartment building to permit access by the claimant to his home) was also awarded in the 2011 Portuguese disability discrimination case of</w:t>
      </w:r>
      <w:r w:rsidRPr="0019789C">
        <w:rPr>
          <w:rStyle w:val="fntxtChar"/>
          <w:rFonts w:cs="Arial"/>
        </w:rPr>
        <w:t xml:space="preserve"> </w:t>
      </w:r>
      <w:r w:rsidRPr="0019789C">
        <w:rPr>
          <w:rStyle w:val="fncaseChar"/>
          <w:rFonts w:cs="Arial"/>
        </w:rPr>
        <w:t>INR, I.P. 2012. Relatório Anual – 2011.</w:t>
      </w:r>
    </w:p>
  </w:footnote>
  <w:footnote w:id="354">
    <w:p w14:paraId="6FB15356" w14:textId="6B87FEC0" w:rsidR="0019789C" w:rsidRPr="0019789C" w:rsidRDefault="0019789C" w:rsidP="001300A7">
      <w:pPr>
        <w:pStyle w:val="fntxt"/>
      </w:pPr>
      <w:r w:rsidRPr="0019789C">
        <w:rPr>
          <w:rStyle w:val="FootnoteReference"/>
          <w:rFonts w:cs="Arial"/>
        </w:rPr>
        <w:footnoteRef/>
      </w:r>
      <w:r w:rsidRPr="0019789C">
        <w:t xml:space="preserve"> House of Lords Select Committee on the Equality Act 2010 and Disability (n </w:t>
      </w:r>
      <w:r w:rsidRPr="0019789C">
        <w:fldChar w:fldCharType="begin"/>
      </w:r>
      <w:r w:rsidRPr="0019789C">
        <w:instrText xml:space="preserve"> NOTEREF _Ref39667842 \h  \* MERGEFORMAT </w:instrText>
      </w:r>
      <w:r w:rsidRPr="0019789C">
        <w:fldChar w:fldCharType="separate"/>
      </w:r>
      <w:r w:rsidR="00AD46EC">
        <w:t>104</w:t>
      </w:r>
      <w:r w:rsidRPr="0019789C">
        <w:fldChar w:fldCharType="end"/>
      </w:r>
      <w:r w:rsidRPr="0019789C">
        <w:t>) para 423.</w:t>
      </w:r>
    </w:p>
  </w:footnote>
  <w:footnote w:id="355">
    <w:p w14:paraId="00D71085"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356">
    <w:p w14:paraId="55A15E9C"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357">
    <w:p w14:paraId="678B86FB" w14:textId="3FC3EFF2" w:rsidR="0019789C" w:rsidRPr="0019789C" w:rsidRDefault="0019789C" w:rsidP="001300A7">
      <w:pPr>
        <w:pStyle w:val="fntxt"/>
      </w:pPr>
      <w:r w:rsidRPr="0019789C">
        <w:rPr>
          <w:rStyle w:val="FootnoteReference"/>
          <w:rFonts w:cs="Arial"/>
        </w:rPr>
        <w:footnoteRef/>
      </w:r>
      <w:r w:rsidRPr="0019789C">
        <w:t xml:space="preserve"> Equality Act 2010, s 118(4).</w:t>
      </w:r>
    </w:p>
  </w:footnote>
  <w:footnote w:id="358">
    <w:p w14:paraId="185666D7" w14:textId="51729AEC" w:rsidR="0019789C" w:rsidRPr="0019789C" w:rsidRDefault="0019789C" w:rsidP="001300A7">
      <w:pPr>
        <w:pStyle w:val="fntxt"/>
      </w:pPr>
      <w:r w:rsidRPr="0019789C">
        <w:rPr>
          <w:rStyle w:val="FootnoteReference"/>
          <w:rFonts w:cs="Arial"/>
        </w:rPr>
        <w:footnoteRef/>
      </w:r>
      <w:r w:rsidRPr="0019789C">
        <w:t xml:space="preserve"> Equality Act 2010, s 118(1).</w:t>
      </w:r>
    </w:p>
  </w:footnote>
  <w:footnote w:id="359">
    <w:p w14:paraId="1CCDFD5A" w14:textId="2093005B" w:rsidR="0019789C" w:rsidRPr="0019789C" w:rsidRDefault="0019789C" w:rsidP="001300A7">
      <w:pPr>
        <w:pStyle w:val="fntxt"/>
      </w:pPr>
      <w:r w:rsidRPr="0019789C">
        <w:rPr>
          <w:rStyle w:val="FootnoteReference"/>
          <w:rFonts w:cs="Arial"/>
        </w:rPr>
        <w:footnoteRef/>
      </w:r>
      <w:r w:rsidRPr="0019789C">
        <w:t xml:space="preserve"> </w:t>
      </w:r>
      <w:r w:rsidRPr="0019789C">
        <w:rPr>
          <w:i/>
        </w:rPr>
        <w:t>Hewlett v Chief Constable of the Hampshire Constabulary</w:t>
      </w:r>
      <w:r w:rsidRPr="0019789C">
        <w:t xml:space="preserve"> [2018] EWHC 3927 (QB) [29].</w:t>
      </w:r>
    </w:p>
  </w:footnote>
  <w:footnote w:id="360">
    <w:p w14:paraId="04ED777C" w14:textId="1DB56C76" w:rsidR="0019789C" w:rsidRPr="0019789C" w:rsidRDefault="0019789C" w:rsidP="001300A7">
      <w:pPr>
        <w:pStyle w:val="fntxt"/>
      </w:pPr>
      <w:r w:rsidRPr="0019789C">
        <w:rPr>
          <w:rStyle w:val="FootnoteReference"/>
          <w:rFonts w:cs="Arial"/>
        </w:rPr>
        <w:footnoteRef/>
      </w:r>
      <w:r w:rsidRPr="0019789C">
        <w:t xml:space="preserve"> ibid [30] referencing </w:t>
      </w:r>
      <w:r w:rsidRPr="0019789C">
        <w:rPr>
          <w:i/>
        </w:rPr>
        <w:t>Abertawe Bro Morgannwg University Local Health Board v Morgan</w:t>
      </w:r>
      <w:r w:rsidRPr="0019789C">
        <w:t xml:space="preserve"> [2018] ICR 1194.</w:t>
      </w:r>
    </w:p>
  </w:footnote>
  <w:footnote w:id="361">
    <w:p w14:paraId="3D3F9161" w14:textId="5B685671" w:rsidR="0019789C" w:rsidRPr="0019789C" w:rsidRDefault="0019789C" w:rsidP="001300A7">
      <w:pPr>
        <w:pStyle w:val="fntxt"/>
      </w:pPr>
      <w:r w:rsidRPr="0019789C">
        <w:rPr>
          <w:rStyle w:val="FootnoteReference"/>
          <w:rFonts w:cs="Arial"/>
        </w:rPr>
        <w:footnoteRef/>
      </w:r>
      <w:r w:rsidRPr="0019789C">
        <w:t xml:space="preserve"> ibid [31].</w:t>
      </w:r>
    </w:p>
  </w:footnote>
  <w:footnote w:id="362">
    <w:p w14:paraId="3ED01D70" w14:textId="62359931" w:rsidR="0019789C" w:rsidRPr="0019789C" w:rsidRDefault="0019789C" w:rsidP="001300A7">
      <w:pPr>
        <w:pStyle w:val="fntxt"/>
      </w:pPr>
      <w:r w:rsidRPr="0019789C">
        <w:rPr>
          <w:rStyle w:val="FootnoteReference"/>
          <w:rFonts w:cs="Arial"/>
        </w:rPr>
        <w:footnoteRef/>
      </w:r>
      <w:r w:rsidRPr="0019789C">
        <w:t xml:space="preserve"> ibid.</w:t>
      </w:r>
    </w:p>
  </w:footnote>
  <w:footnote w:id="363">
    <w:p w14:paraId="29A7DDC9" w14:textId="27A982A4" w:rsidR="0019789C" w:rsidRPr="0019789C" w:rsidRDefault="0019789C" w:rsidP="001300A7">
      <w:pPr>
        <w:pStyle w:val="fntxt"/>
      </w:pPr>
      <w:r w:rsidRPr="0019789C">
        <w:rPr>
          <w:rStyle w:val="FootnoteReference"/>
          <w:rFonts w:cs="Arial"/>
        </w:rPr>
        <w:footnoteRef/>
      </w:r>
      <w:r w:rsidRPr="0019789C">
        <w:t xml:space="preserve"> ibid.</w:t>
      </w:r>
    </w:p>
  </w:footnote>
  <w:footnote w:id="364">
    <w:p w14:paraId="52F75AC9" w14:textId="68443A51" w:rsidR="0019789C" w:rsidRPr="0019789C" w:rsidRDefault="0019789C" w:rsidP="001300A7">
      <w:pPr>
        <w:pStyle w:val="fntxt"/>
      </w:pPr>
      <w:r w:rsidRPr="0019789C">
        <w:rPr>
          <w:rStyle w:val="FootnoteReference"/>
          <w:rFonts w:cs="Arial"/>
        </w:rPr>
        <w:footnoteRef/>
      </w:r>
      <w:r w:rsidRPr="0019789C">
        <w:t xml:space="preserve"> [2019] 1 WLUK 318 [1]-[2].</w:t>
      </w:r>
    </w:p>
  </w:footnote>
  <w:footnote w:id="365">
    <w:p w14:paraId="4DF74488" w14:textId="1C41C366" w:rsidR="0019789C" w:rsidRPr="0019789C" w:rsidRDefault="0019789C" w:rsidP="001300A7">
      <w:pPr>
        <w:pStyle w:val="fntxt"/>
      </w:pPr>
      <w:r w:rsidRPr="0019789C">
        <w:rPr>
          <w:rStyle w:val="FootnoteReference"/>
          <w:rFonts w:cs="Arial"/>
        </w:rPr>
        <w:footnoteRef/>
      </w:r>
      <w:r w:rsidRPr="0019789C">
        <w:t xml:space="preserve"> ibid [86]-[87]</w:t>
      </w:r>
    </w:p>
  </w:footnote>
  <w:footnote w:id="366">
    <w:p w14:paraId="45CC45FA" w14:textId="79A57B93" w:rsidR="0019789C" w:rsidRPr="0019789C" w:rsidRDefault="0019789C" w:rsidP="001300A7">
      <w:pPr>
        <w:pStyle w:val="fntxt"/>
      </w:pPr>
      <w:r w:rsidRPr="0019789C">
        <w:rPr>
          <w:rStyle w:val="FootnoteReference"/>
          <w:rFonts w:cs="Arial"/>
        </w:rPr>
        <w:footnoteRef/>
      </w:r>
      <w:r w:rsidRPr="0019789C">
        <w:t xml:space="preserve"> ibid [90].</w:t>
      </w:r>
    </w:p>
  </w:footnote>
  <w:footnote w:id="367">
    <w:p w14:paraId="76BA106C" w14:textId="7F5C1AB5" w:rsidR="0019789C" w:rsidRPr="0019789C" w:rsidRDefault="0019789C" w:rsidP="001300A7">
      <w:pPr>
        <w:pStyle w:val="fntxt"/>
      </w:pPr>
      <w:r w:rsidRPr="0019789C">
        <w:rPr>
          <w:rStyle w:val="FootnoteReference"/>
          <w:rFonts w:cs="Arial"/>
        </w:rPr>
        <w:footnoteRef/>
      </w:r>
      <w:r w:rsidRPr="0019789C">
        <w:t xml:space="preserve"> [2009] EWCA Civ 22.</w:t>
      </w:r>
    </w:p>
  </w:footnote>
  <w:footnote w:id="368">
    <w:p w14:paraId="6CF40A5A" w14:textId="404EF2D1" w:rsidR="0019789C" w:rsidRPr="0019789C" w:rsidRDefault="0019789C" w:rsidP="001300A7">
      <w:pPr>
        <w:pStyle w:val="fntxt"/>
      </w:pPr>
      <w:r w:rsidRPr="0019789C">
        <w:rPr>
          <w:rStyle w:val="FootnoteReference"/>
          <w:rFonts w:cs="Arial"/>
        </w:rPr>
        <w:footnoteRef/>
      </w:r>
      <w:r w:rsidRPr="0019789C">
        <w:t xml:space="preserve"> UKEAT/0097/13/BA (26 November 2013).</w:t>
      </w:r>
    </w:p>
  </w:footnote>
  <w:footnote w:id="369">
    <w:p w14:paraId="6B0B965B" w14:textId="7E95B340"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 194.</w:t>
      </w:r>
    </w:p>
  </w:footnote>
  <w:footnote w:id="370">
    <w:p w14:paraId="369416D9" w14:textId="77777777" w:rsidR="0019789C" w:rsidRPr="0019789C" w:rsidRDefault="0019789C" w:rsidP="001300A7">
      <w:pPr>
        <w:pStyle w:val="fntxt"/>
      </w:pPr>
      <w:r w:rsidRPr="0019789C">
        <w:rPr>
          <w:rStyle w:val="FootnoteReference"/>
          <w:rFonts w:cs="Arial"/>
        </w:rPr>
        <w:footnoteRef/>
      </w:r>
      <w:r w:rsidRPr="0019789C">
        <w:t xml:space="preserve"> Access to Justice Act 1999, s 6 and sch 2.</w:t>
      </w:r>
    </w:p>
  </w:footnote>
  <w:footnote w:id="371">
    <w:p w14:paraId="6A3D4AFC" w14:textId="65ADF4EF" w:rsidR="0019789C" w:rsidRPr="0019789C" w:rsidRDefault="0019789C" w:rsidP="001300A7">
      <w:pPr>
        <w:pStyle w:val="fntxt"/>
      </w:pPr>
      <w:r w:rsidRPr="0019789C">
        <w:rPr>
          <w:rStyle w:val="FootnoteReference"/>
          <w:rFonts w:cs="Arial"/>
        </w:rPr>
        <w:footnoteRef/>
      </w:r>
      <w:r w:rsidRPr="0019789C">
        <w:t xml:space="preserve"> National Audit Office, ‘Implementing reforms to civil legal aid’ (HC 784, Session 2014–15) </w:t>
      </w:r>
      <w:hyperlink r:id="rId98" w:history="1">
        <w:r w:rsidRPr="0019789C">
          <w:rPr>
            <w:rStyle w:val="Hyperlink"/>
            <w:rFonts w:cs="Arial"/>
          </w:rPr>
          <w:t>&lt;www.nao.org.uk/wp-content/uploads/2014/11/Implementing-reforms-to-civil-legal-aid1.pdf&gt;</w:t>
        </w:r>
      </w:hyperlink>
      <w:r w:rsidRPr="0019789C">
        <w:t xml:space="preserve"> accessed 11 December 2019.</w:t>
      </w:r>
    </w:p>
  </w:footnote>
  <w:footnote w:id="372">
    <w:p w14:paraId="4C72A2AD" w14:textId="2EC2BE35" w:rsidR="0019789C" w:rsidRPr="0019789C" w:rsidRDefault="0019789C" w:rsidP="001300A7">
      <w:pPr>
        <w:pStyle w:val="fntxt"/>
        <w:rPr>
          <w:lang w:val="en-US"/>
        </w:rPr>
      </w:pPr>
      <w:r w:rsidRPr="0019789C">
        <w:rPr>
          <w:rStyle w:val="FootnoteReference"/>
          <w:rFonts w:cs="Arial"/>
        </w:rPr>
        <w:footnoteRef/>
      </w:r>
      <w:r w:rsidRPr="0019789C">
        <w:t xml:space="preserve"> Legal Aid, Sentencing and Punishment of Offenders Act 2012, </w:t>
      </w:r>
      <w:r w:rsidRPr="0019789C">
        <w:rPr>
          <w:lang w:val="en-US"/>
        </w:rPr>
        <w:t>s 9 and sch 1.</w:t>
      </w:r>
    </w:p>
  </w:footnote>
  <w:footnote w:id="373">
    <w:p w14:paraId="41307B1B" w14:textId="40C14D3B"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 49.</w:t>
      </w:r>
    </w:p>
  </w:footnote>
  <w:footnote w:id="374">
    <w:p w14:paraId="7BEFA009" w14:textId="2CEB1970" w:rsidR="0019789C" w:rsidRPr="0019789C" w:rsidRDefault="0019789C" w:rsidP="001300A7">
      <w:pPr>
        <w:pStyle w:val="fntxt"/>
      </w:pPr>
      <w:r w:rsidRPr="0019789C">
        <w:rPr>
          <w:rStyle w:val="FootnoteReference"/>
          <w:rFonts w:cs="Arial"/>
        </w:rPr>
        <w:footnoteRef/>
      </w:r>
      <w:r w:rsidRPr="0019789C">
        <w:t xml:space="preserve"> ibid; see also EHRC, ‘Access to legal aid for discrimination cases’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6.</w:t>
      </w:r>
    </w:p>
  </w:footnote>
  <w:footnote w:id="375">
    <w:p w14:paraId="32DB6252" w14:textId="54229413" w:rsidR="0019789C" w:rsidRPr="0019789C" w:rsidRDefault="0019789C" w:rsidP="001300A7">
      <w:pPr>
        <w:pStyle w:val="fntxt"/>
      </w:pPr>
      <w:r w:rsidRPr="0019789C">
        <w:rPr>
          <w:rStyle w:val="FootnoteReference"/>
          <w:rFonts w:cs="Arial"/>
        </w:rPr>
        <w:footnoteRef/>
      </w:r>
      <w:r w:rsidRPr="0019789C">
        <w:t xml:space="preserve"> EHRC, ‘Access to legal aid for discrimination cases’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7 and 15-16.</w:t>
      </w:r>
    </w:p>
  </w:footnote>
  <w:footnote w:id="376">
    <w:p w14:paraId="2557B0BE" w14:textId="45BED3B0" w:rsidR="0019789C" w:rsidRPr="0019789C" w:rsidRDefault="0019789C" w:rsidP="001300A7">
      <w:pPr>
        <w:pStyle w:val="fntxt"/>
      </w:pPr>
      <w:r w:rsidRPr="0019789C">
        <w:rPr>
          <w:rStyle w:val="FootnoteReference"/>
          <w:rFonts w:cs="Arial"/>
        </w:rPr>
        <w:footnoteRef/>
      </w:r>
      <w:r w:rsidRPr="0019789C">
        <w:t xml:space="preserve"> EHRC, ‘Access to legal aid for discrimination cases’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27.</w:t>
      </w:r>
    </w:p>
  </w:footnote>
  <w:footnote w:id="377">
    <w:p w14:paraId="30243168" w14:textId="3C68BC41" w:rsidR="0019789C" w:rsidRPr="0019789C" w:rsidRDefault="0019789C" w:rsidP="001300A7">
      <w:pPr>
        <w:pStyle w:val="fntxt"/>
      </w:pPr>
      <w:r w:rsidRPr="0019789C">
        <w:rPr>
          <w:rStyle w:val="FootnoteReference"/>
          <w:rFonts w:cs="Arial"/>
        </w:rPr>
        <w:footnoteRef/>
      </w:r>
      <w:r w:rsidRPr="0019789C">
        <w:t xml:space="preserve"> Committee on the Rights of Persons with Disabilities, ‘Concluding observations on the initial report of the United Kingdom of Great Britain and Northern Ireland’ (3 October 2017) UN Doc CRPD/C/GBR/CO/1, paras 32(c) and 33(c).</w:t>
      </w:r>
    </w:p>
  </w:footnote>
  <w:footnote w:id="378">
    <w:p w14:paraId="74ECDEF9" w14:textId="4EB3EE1E" w:rsidR="0019789C" w:rsidRPr="0019789C" w:rsidRDefault="0019789C" w:rsidP="001300A7">
      <w:pPr>
        <w:pStyle w:val="fntxt"/>
      </w:pPr>
      <w:r w:rsidRPr="0019789C">
        <w:rPr>
          <w:rStyle w:val="FootnoteReference"/>
          <w:rFonts w:cs="Arial"/>
        </w:rPr>
        <w:footnoteRef/>
      </w:r>
      <w:r w:rsidRPr="0019789C">
        <w:t xml:space="preserve"> Committee on the Rights of Persons with Disabilities, ‘Inquiry concerning the United Kingdom of Great Britain and Northern Ireland carried out by the Committee under article 6 of the Optional Protocol to the Convention - Report of the Committee’ (24 October 2017) UN Doc CRPD/C/15/4, paras 69, 92 and 114(f).</w:t>
      </w:r>
    </w:p>
  </w:footnote>
  <w:footnote w:id="379">
    <w:p w14:paraId="77882816" w14:textId="5D2A5C13"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 193.</w:t>
      </w:r>
    </w:p>
  </w:footnote>
  <w:footnote w:id="380">
    <w:p w14:paraId="139C8704" w14:textId="28DD354A" w:rsidR="0019789C" w:rsidRPr="0019789C" w:rsidRDefault="0019789C" w:rsidP="001300A7">
      <w:pPr>
        <w:pStyle w:val="fntxt"/>
      </w:pPr>
      <w:r w:rsidRPr="0019789C">
        <w:rPr>
          <w:rStyle w:val="FootnoteReference"/>
          <w:rFonts w:cs="Arial"/>
        </w:rPr>
        <w:footnoteRef/>
      </w:r>
      <w:r w:rsidRPr="0019789C">
        <w:t xml:space="preserve"> ibid, para 56.</w:t>
      </w:r>
    </w:p>
  </w:footnote>
  <w:footnote w:id="381">
    <w:p w14:paraId="76F46B1C" w14:textId="3494BD0E"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Equality Advisory and Support Service (EASS)</w:t>
      </w:r>
      <w:r w:rsidRPr="0019789C">
        <w:t xml:space="preserve">, ‘About Us’ </w:t>
      </w:r>
      <w:hyperlink r:id="rId99" w:history="1">
        <w:r w:rsidRPr="0019789C">
          <w:rPr>
            <w:rStyle w:val="Hyperlink"/>
            <w:rFonts w:cs="Arial"/>
          </w:rPr>
          <w:t>&lt;www.equalityadvisoryservice.com/app/about&gt;</w:t>
        </w:r>
      </w:hyperlink>
      <w:r w:rsidRPr="0019789C">
        <w:t xml:space="preserve"> accessed 20 January 2020.</w:t>
      </w:r>
    </w:p>
  </w:footnote>
  <w:footnote w:id="382">
    <w:p w14:paraId="19BDF607" w14:textId="56F833DB"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 56.</w:t>
      </w:r>
    </w:p>
  </w:footnote>
  <w:footnote w:id="383">
    <w:p w14:paraId="279430E7" w14:textId="5640A80E" w:rsidR="0019789C" w:rsidRPr="0019789C" w:rsidRDefault="0019789C" w:rsidP="001300A7">
      <w:pPr>
        <w:pStyle w:val="fntxt"/>
      </w:pPr>
      <w:r w:rsidRPr="0019789C">
        <w:rPr>
          <w:rStyle w:val="FootnoteReference"/>
          <w:rFonts w:cs="Arial"/>
        </w:rPr>
        <w:footnoteRef/>
      </w:r>
      <w:r w:rsidRPr="0019789C">
        <w:t xml:space="preserve"> ibid, para 56.</w:t>
      </w:r>
    </w:p>
  </w:footnote>
  <w:footnote w:id="384">
    <w:p w14:paraId="7B24D6E5" w14:textId="75199EF9" w:rsidR="0019789C" w:rsidRPr="0019789C" w:rsidRDefault="0019789C" w:rsidP="001300A7">
      <w:pPr>
        <w:pStyle w:val="fntxt"/>
      </w:pPr>
      <w:r w:rsidRPr="0019789C">
        <w:rPr>
          <w:rStyle w:val="FootnoteReference"/>
          <w:rFonts w:cs="Arial"/>
        </w:rPr>
        <w:footnoteRef/>
      </w:r>
      <w:r w:rsidRPr="0019789C">
        <w:t xml:space="preserve"> ibid, para 57.</w:t>
      </w:r>
    </w:p>
  </w:footnote>
  <w:footnote w:id="385">
    <w:p w14:paraId="4F550C3F" w14:textId="2F3E9818" w:rsidR="0019789C" w:rsidRPr="0019789C" w:rsidRDefault="0019789C" w:rsidP="001300A7">
      <w:pPr>
        <w:pStyle w:val="fntxt"/>
      </w:pPr>
      <w:r w:rsidRPr="0019789C">
        <w:rPr>
          <w:rStyle w:val="FootnoteReference"/>
          <w:rFonts w:cs="Arial"/>
        </w:rPr>
        <w:footnoteRef/>
      </w:r>
      <w:r w:rsidRPr="0019789C">
        <w:t xml:space="preserve"> ibid, paras 59-61.</w:t>
      </w:r>
    </w:p>
  </w:footnote>
  <w:footnote w:id="386">
    <w:p w14:paraId="701D0054" w14:textId="59F2E2AC" w:rsidR="0019789C" w:rsidRPr="0019789C" w:rsidRDefault="0019789C" w:rsidP="001300A7">
      <w:pPr>
        <w:pStyle w:val="fntxt"/>
      </w:pPr>
      <w:r w:rsidRPr="0019789C">
        <w:rPr>
          <w:rStyle w:val="FootnoteReference"/>
          <w:rFonts w:cs="Arial"/>
        </w:rPr>
        <w:footnoteRef/>
      </w:r>
      <w:r w:rsidRPr="0019789C">
        <w:t xml:space="preserve"> Equality Act 2006, ss 28-30; Equality and Human Rights Commission (EHRC), ‘Our litigation and enforcement policy 2019-22’ (November 2019) 20-21 </w:t>
      </w:r>
      <w:hyperlink r:id="rId100" w:history="1">
        <w:r w:rsidRPr="0019789C">
          <w:rPr>
            <w:rStyle w:val="Hyperlink"/>
            <w:rFonts w:cs="Arial"/>
          </w:rPr>
          <w:t>&lt;www.equalityhumanrights.com/en/publication-download/our-litigation-and-enforcement-policy-2019-2022&gt;</w:t>
        </w:r>
      </w:hyperlink>
      <w:r w:rsidRPr="0019789C">
        <w:t xml:space="preserve"> accessed 15 January 2020.</w:t>
      </w:r>
    </w:p>
  </w:footnote>
  <w:footnote w:id="387">
    <w:p w14:paraId="01FCC9C3" w14:textId="55EEC855" w:rsidR="0019789C" w:rsidRPr="0019789C" w:rsidRDefault="0019789C" w:rsidP="001300A7">
      <w:pPr>
        <w:pStyle w:val="fntxt"/>
      </w:pPr>
      <w:r w:rsidRPr="0019789C">
        <w:rPr>
          <w:rStyle w:val="FootnoteReference"/>
          <w:rFonts w:cs="Arial"/>
        </w:rPr>
        <w:footnoteRef/>
      </w:r>
      <w:r w:rsidRPr="0019789C">
        <w:t xml:space="preserve"> Council of Europe, ‘ECRI General Policy Recommendation No 2: Equality Bodies to Combat Racism and Intolerance at a National Level’ (adopted December 2017) </w:t>
      </w:r>
      <w:hyperlink r:id="rId101" w:history="1">
        <w:r w:rsidRPr="0019789C">
          <w:rPr>
            <w:rStyle w:val="Hyperlink"/>
            <w:rFonts w:cs="Arial"/>
          </w:rPr>
          <w:t>&lt;https://rm.coe.int/ecri-general-policy-/16808b5a23&gt;</w:t>
        </w:r>
      </w:hyperlink>
      <w:r w:rsidRPr="0019789C">
        <w:t xml:space="preserve"> accessed 17 January 2020.</w:t>
      </w:r>
    </w:p>
  </w:footnote>
  <w:footnote w:id="388">
    <w:p w14:paraId="76014E64" w14:textId="55CD2287"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paras 51-53, 80-83 and 192.</w:t>
      </w:r>
    </w:p>
  </w:footnote>
  <w:footnote w:id="389">
    <w:p w14:paraId="7888BAB4" w14:textId="7EDB26B6" w:rsidR="0019789C" w:rsidRPr="0019789C" w:rsidRDefault="0019789C" w:rsidP="001300A7">
      <w:pPr>
        <w:pStyle w:val="fntxt"/>
      </w:pPr>
      <w:r w:rsidRPr="0019789C">
        <w:rPr>
          <w:rStyle w:val="FootnoteReference"/>
          <w:rFonts w:cs="Arial"/>
        </w:rPr>
        <w:footnoteRef/>
      </w:r>
      <w:r w:rsidRPr="0019789C">
        <w:t xml:space="preserve"> ibid, paras 51-53.</w:t>
      </w:r>
    </w:p>
  </w:footnote>
  <w:footnote w:id="390">
    <w:p w14:paraId="3D9AA88E" w14:textId="30DBCF5F" w:rsidR="0019789C" w:rsidRPr="0019789C" w:rsidRDefault="0019789C" w:rsidP="001300A7">
      <w:pPr>
        <w:pStyle w:val="fntxt"/>
      </w:pPr>
      <w:r w:rsidRPr="0019789C">
        <w:rPr>
          <w:rStyle w:val="FootnoteReference"/>
          <w:rFonts w:cs="Arial"/>
        </w:rPr>
        <w:footnoteRef/>
      </w:r>
      <w:r w:rsidRPr="0019789C">
        <w:t xml:space="preserve"> ibid, paras 80-83.</w:t>
      </w:r>
    </w:p>
  </w:footnote>
  <w:footnote w:id="391">
    <w:p w14:paraId="3D76D4DF" w14:textId="0E433B0B" w:rsidR="0019789C" w:rsidRPr="0019789C" w:rsidRDefault="0019789C" w:rsidP="001300A7">
      <w:pPr>
        <w:pStyle w:val="fntxt"/>
      </w:pPr>
      <w:r w:rsidRPr="0019789C">
        <w:rPr>
          <w:rStyle w:val="FootnoteReference"/>
          <w:rFonts w:cs="Arial"/>
        </w:rPr>
        <w:footnoteRef/>
      </w:r>
      <w:r w:rsidRPr="0019789C">
        <w:t xml:space="preserve"> EHRC, ‘Access to legal aid for discrimination cases’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6.</w:t>
      </w:r>
    </w:p>
  </w:footnote>
  <w:footnote w:id="392">
    <w:p w14:paraId="12D132AD" w14:textId="476F6388" w:rsidR="0019789C" w:rsidRPr="0019789C" w:rsidRDefault="0019789C" w:rsidP="001300A7">
      <w:pPr>
        <w:pStyle w:val="fntxt"/>
      </w:pPr>
      <w:r w:rsidRPr="0019789C">
        <w:rPr>
          <w:rStyle w:val="FootnoteReference"/>
          <w:rFonts w:cs="Arial"/>
        </w:rPr>
        <w:footnoteRef/>
      </w:r>
      <w:r w:rsidRPr="0019789C">
        <w:t xml:space="preserve"> ibid.</w:t>
      </w:r>
    </w:p>
  </w:footnote>
  <w:footnote w:id="393">
    <w:p w14:paraId="7E91CB25" w14:textId="6B4DF6D7" w:rsidR="0019789C" w:rsidRPr="0019789C" w:rsidRDefault="0019789C" w:rsidP="001300A7">
      <w:pPr>
        <w:pStyle w:val="fntxt"/>
      </w:pPr>
      <w:r w:rsidRPr="0019789C">
        <w:rPr>
          <w:rStyle w:val="FootnoteReference"/>
          <w:rFonts w:cs="Arial"/>
        </w:rPr>
        <w:footnoteRef/>
      </w:r>
      <w:r w:rsidRPr="0019789C">
        <w:t xml:space="preserve"> ibid;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 193.</w:t>
      </w:r>
    </w:p>
  </w:footnote>
  <w:footnote w:id="394">
    <w:p w14:paraId="0E322065" w14:textId="7B6CE857" w:rsidR="0019789C" w:rsidRPr="0019789C" w:rsidRDefault="0019789C" w:rsidP="001300A7">
      <w:pPr>
        <w:pStyle w:val="fntxt"/>
      </w:pPr>
      <w:r w:rsidRPr="0019789C">
        <w:rPr>
          <w:rStyle w:val="FootnoteReference"/>
          <w:rFonts w:cs="Arial"/>
        </w:rPr>
        <w:footnoteRef/>
      </w:r>
      <w:r w:rsidRPr="0019789C">
        <w:t xml:space="preserve"> House of Lords Select Committee on the Equality Act 2010 and Disability (n </w:t>
      </w:r>
      <w:r w:rsidRPr="0019789C">
        <w:fldChar w:fldCharType="begin"/>
      </w:r>
      <w:r w:rsidRPr="0019789C">
        <w:instrText xml:space="preserve"> NOTEREF _Ref39667842 \h  \* MERGEFORMAT </w:instrText>
      </w:r>
      <w:r w:rsidRPr="0019789C">
        <w:fldChar w:fldCharType="separate"/>
      </w:r>
      <w:r w:rsidR="00AD46EC">
        <w:t>104</w:t>
      </w:r>
      <w:r w:rsidRPr="0019789C">
        <w:fldChar w:fldCharType="end"/>
      </w:r>
      <w:r w:rsidRPr="0019789C">
        <w:t xml:space="preserve">) paras 395-402;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paras 210-212.</w:t>
      </w:r>
    </w:p>
  </w:footnote>
  <w:footnote w:id="395">
    <w:p w14:paraId="499557B8" w14:textId="6DDFC08C" w:rsidR="0019789C" w:rsidRPr="0019789C" w:rsidRDefault="0019789C" w:rsidP="001300A7">
      <w:pPr>
        <w:pStyle w:val="fntxt"/>
      </w:pPr>
      <w:r w:rsidRPr="0019789C">
        <w:rPr>
          <w:rStyle w:val="FootnoteReference"/>
          <w:rFonts w:cs="Arial"/>
        </w:rPr>
        <w:footnoteRef/>
      </w:r>
      <w:r w:rsidRPr="0019789C">
        <w:t xml:space="preserve"> Civil Procedure Rules, r 44.13(1).</w:t>
      </w:r>
    </w:p>
  </w:footnote>
  <w:footnote w:id="396">
    <w:p w14:paraId="18BEF9F3" w14:textId="38CFA33A" w:rsidR="0019789C" w:rsidRPr="0019789C" w:rsidRDefault="0019789C" w:rsidP="001300A7">
      <w:pPr>
        <w:pStyle w:val="fntxt"/>
      </w:pPr>
      <w:r w:rsidRPr="0019789C">
        <w:rPr>
          <w:rStyle w:val="FootnoteReference"/>
          <w:rFonts w:cs="Arial"/>
        </w:rPr>
        <w:footnoteRef/>
      </w:r>
      <w:r w:rsidRPr="0019789C">
        <w:t xml:space="preserve"> Legal Action Group, ‘No access to legal advice, means no access to goods and services’ (March 2015) </w:t>
      </w:r>
      <w:hyperlink r:id="rId102" w:history="1">
        <w:r w:rsidRPr="0019789C">
          <w:rPr>
            <w:rStyle w:val="Hyperlink"/>
            <w:rFonts w:cs="Arial"/>
          </w:rPr>
          <w:t>&lt;www.lag.org.uk/article/202707/no-access-to-legal-advice--means-no-access-to-goods-and-services&gt;</w:t>
        </w:r>
      </w:hyperlink>
      <w:r w:rsidRPr="0019789C">
        <w:t xml:space="preserve"> accessed 21 January 2020; House of Lords Select Committee on the Equality Act 2010 and Disability (n </w:t>
      </w:r>
      <w:r w:rsidRPr="0019789C">
        <w:fldChar w:fldCharType="begin"/>
      </w:r>
      <w:r w:rsidRPr="0019789C">
        <w:instrText xml:space="preserve"> NOTEREF _Ref39667842 \h  \* MERGEFORMAT </w:instrText>
      </w:r>
      <w:r w:rsidRPr="0019789C">
        <w:fldChar w:fldCharType="separate"/>
      </w:r>
      <w:r w:rsidR="00AD46EC">
        <w:t>104</w:t>
      </w:r>
      <w:r w:rsidRPr="0019789C">
        <w:fldChar w:fldCharType="end"/>
      </w:r>
      <w:r w:rsidRPr="0019789C">
        <w:t>) paras 399.</w:t>
      </w:r>
    </w:p>
  </w:footnote>
  <w:footnote w:id="397">
    <w:p w14:paraId="593E8F54" w14:textId="24B51DA9" w:rsidR="0019789C" w:rsidRPr="0019789C" w:rsidRDefault="0019789C" w:rsidP="001300A7">
      <w:pPr>
        <w:pStyle w:val="fntxt"/>
      </w:pPr>
      <w:r w:rsidRPr="0019789C">
        <w:rPr>
          <w:rStyle w:val="FootnoteReference"/>
          <w:rFonts w:cs="Arial"/>
        </w:rPr>
        <w:footnoteRef/>
      </w:r>
      <w:r w:rsidRPr="0019789C">
        <w:t xml:space="preserve"> House of Lords Select Committee on the Equality Act 2010 and Disability (n </w:t>
      </w:r>
      <w:r w:rsidRPr="0019789C">
        <w:fldChar w:fldCharType="begin"/>
      </w:r>
      <w:r w:rsidRPr="0019789C">
        <w:instrText xml:space="preserve"> NOTEREF _Ref39667842 \h  \* MERGEFORMAT </w:instrText>
      </w:r>
      <w:r w:rsidRPr="0019789C">
        <w:fldChar w:fldCharType="separate"/>
      </w:r>
      <w:r w:rsidR="00AD46EC">
        <w:t>104</w:t>
      </w:r>
      <w:r w:rsidRPr="0019789C">
        <w:fldChar w:fldCharType="end"/>
      </w:r>
      <w:r w:rsidRPr="0019789C">
        <w:t>) para 447.</w:t>
      </w:r>
    </w:p>
  </w:footnote>
  <w:footnote w:id="398">
    <w:p w14:paraId="2F96810C" w14:textId="50149E93" w:rsidR="0019789C" w:rsidRPr="0019789C" w:rsidRDefault="0019789C" w:rsidP="001300A7">
      <w:pPr>
        <w:pStyle w:val="fntxt"/>
      </w:pPr>
      <w:r w:rsidRPr="0019789C">
        <w:rPr>
          <w:rStyle w:val="FootnoteReference"/>
          <w:rFonts w:cs="Arial"/>
        </w:rPr>
        <w:footnoteRef/>
      </w:r>
      <w:r w:rsidRPr="0019789C">
        <w:t xml:space="preserve"> ibid, para 448.</w:t>
      </w:r>
    </w:p>
  </w:footnote>
  <w:footnote w:id="399">
    <w:p w14:paraId="6C7321FF" w14:textId="1E134D05" w:rsidR="0019789C" w:rsidRPr="0019789C" w:rsidRDefault="0019789C" w:rsidP="001300A7">
      <w:pPr>
        <w:pStyle w:val="fntxt"/>
      </w:pPr>
      <w:r w:rsidRPr="0019789C">
        <w:rPr>
          <w:rStyle w:val="FootnoteReference"/>
          <w:rFonts w:cs="Arial"/>
        </w:rPr>
        <w:footnoteRef/>
      </w:r>
      <w:r w:rsidRPr="0019789C">
        <w:t xml:space="preserve"> ibid, para 449.</w:t>
      </w:r>
    </w:p>
  </w:footnote>
  <w:footnote w:id="400">
    <w:p w14:paraId="52601EF2" w14:textId="0310917D" w:rsidR="0019789C" w:rsidRPr="0019789C" w:rsidRDefault="0019789C" w:rsidP="001300A7">
      <w:pPr>
        <w:pStyle w:val="fntxt"/>
      </w:pPr>
      <w:r w:rsidRPr="0019789C">
        <w:rPr>
          <w:rStyle w:val="FootnoteReference"/>
          <w:rFonts w:cs="Arial"/>
        </w:rPr>
        <w:footnoteRef/>
      </w:r>
      <w:r w:rsidRPr="0019789C">
        <w:t xml:space="preserve"> ibid, paras 449-50.</w:t>
      </w:r>
    </w:p>
  </w:footnote>
  <w:footnote w:id="401">
    <w:p w14:paraId="5FE60824" w14:textId="423B77C3" w:rsidR="0019789C" w:rsidRPr="0019789C" w:rsidRDefault="0019789C" w:rsidP="001300A7">
      <w:pPr>
        <w:pStyle w:val="fntxt"/>
      </w:pPr>
      <w:r w:rsidRPr="0019789C">
        <w:rPr>
          <w:rStyle w:val="FootnoteReference"/>
          <w:rFonts w:cs="Arial"/>
        </w:rPr>
        <w:footnoteRef/>
      </w:r>
      <w:r w:rsidRPr="0019789C">
        <w:t xml:space="preserve"> ibid, paras 451-52; </w:t>
      </w:r>
      <w:r w:rsidRPr="0019789C">
        <w:rPr>
          <w:rFonts w:cs="Arial"/>
        </w:rPr>
        <w:t>Advisory, Conciliation and Arbitration Service (ACAS)</w:t>
      </w:r>
      <w:r w:rsidRPr="0019789C">
        <w:t xml:space="preserve">, ‘What we do’ </w:t>
      </w:r>
      <w:hyperlink r:id="rId103" w:history="1">
        <w:r w:rsidRPr="0019789C">
          <w:rPr>
            <w:rStyle w:val="Hyperlink"/>
            <w:rFonts w:cs="Arial"/>
          </w:rPr>
          <w:t>&lt;https://www.acas.org.uk/what-we-do&gt;</w:t>
        </w:r>
      </w:hyperlink>
      <w:r w:rsidRPr="0019789C">
        <w:t xml:space="preserve"> accessed 22 January 2020.</w:t>
      </w:r>
    </w:p>
  </w:footnote>
  <w:footnote w:id="402">
    <w:p w14:paraId="422D1A0D" w14:textId="114625E2" w:rsidR="0019789C" w:rsidRPr="0019789C" w:rsidRDefault="0019789C" w:rsidP="001300A7">
      <w:pPr>
        <w:pStyle w:val="fntxt"/>
      </w:pPr>
      <w:r w:rsidRPr="0019789C">
        <w:rPr>
          <w:rStyle w:val="FootnoteReference"/>
          <w:rFonts w:cs="Arial"/>
        </w:rPr>
        <w:footnoteRef/>
      </w:r>
      <w:r w:rsidRPr="0019789C">
        <w:t xml:space="preserve"> ibid, paras 453-61.</w:t>
      </w:r>
    </w:p>
  </w:footnote>
  <w:footnote w:id="403">
    <w:p w14:paraId="4C810FB1" w14:textId="497F042C" w:rsidR="0019789C" w:rsidRPr="0019789C" w:rsidRDefault="0019789C" w:rsidP="001300A7">
      <w:pPr>
        <w:pStyle w:val="fntxt"/>
      </w:pPr>
      <w:r w:rsidRPr="0019789C">
        <w:rPr>
          <w:rStyle w:val="FootnoteReference"/>
          <w:rFonts w:cs="Arial"/>
        </w:rPr>
        <w:footnoteRef/>
      </w:r>
      <w:r w:rsidRPr="0019789C">
        <w:t xml:space="preserve"> EHRC, ‘Our litigation and enforcement policy 2019-22’ (n </w:t>
      </w:r>
      <w:r w:rsidRPr="0019789C">
        <w:fldChar w:fldCharType="begin"/>
      </w:r>
      <w:r w:rsidRPr="0019789C">
        <w:instrText xml:space="preserve"> NOTEREF _Ref30593374 \h  \* MERGEFORMAT </w:instrText>
      </w:r>
      <w:r w:rsidRPr="0019789C">
        <w:fldChar w:fldCharType="separate"/>
      </w:r>
      <w:r w:rsidR="00AD46EC">
        <w:t>386</w:t>
      </w:r>
      <w:r w:rsidRPr="0019789C">
        <w:fldChar w:fldCharType="end"/>
      </w:r>
      <w:r w:rsidRPr="0019789C">
        <w:t>) 14.</w:t>
      </w:r>
    </w:p>
  </w:footnote>
  <w:footnote w:id="404">
    <w:p w14:paraId="1B7B717C" w14:textId="2925C970" w:rsidR="0019789C" w:rsidRPr="0019789C" w:rsidRDefault="0019789C" w:rsidP="001300A7">
      <w:pPr>
        <w:pStyle w:val="fntxt"/>
      </w:pPr>
      <w:r w:rsidRPr="0019789C">
        <w:rPr>
          <w:rStyle w:val="FootnoteReference"/>
          <w:rFonts w:cs="Arial"/>
        </w:rPr>
        <w:footnoteRef/>
      </w:r>
      <w:r w:rsidRPr="0019789C">
        <w:t xml:space="preserve"> ibid.</w:t>
      </w:r>
    </w:p>
  </w:footnote>
  <w:footnote w:id="405">
    <w:p w14:paraId="0035F20E" w14:textId="4D262500"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 43.</w:t>
      </w:r>
    </w:p>
  </w:footnote>
  <w:footnote w:id="406">
    <w:p w14:paraId="2ED8C8C4" w14:textId="0D967C3D" w:rsidR="0019789C" w:rsidRPr="0019789C" w:rsidRDefault="0019789C" w:rsidP="001300A7">
      <w:pPr>
        <w:pStyle w:val="fntxt"/>
      </w:pPr>
      <w:r w:rsidRPr="0019789C">
        <w:rPr>
          <w:rStyle w:val="FootnoteReference"/>
          <w:rFonts w:cs="Arial"/>
        </w:rPr>
        <w:footnoteRef/>
      </w:r>
      <w:r w:rsidRPr="0019789C">
        <w:t xml:space="preserve"> ibid 13 (Table 1) and para 33.</w:t>
      </w:r>
    </w:p>
  </w:footnote>
  <w:footnote w:id="407">
    <w:p w14:paraId="170EC515" w14:textId="1BC40FE3" w:rsidR="0019789C" w:rsidRPr="0019789C" w:rsidRDefault="0019789C" w:rsidP="001300A7">
      <w:pPr>
        <w:pStyle w:val="fntxt"/>
      </w:pPr>
      <w:r w:rsidRPr="0019789C">
        <w:rPr>
          <w:rStyle w:val="FootnoteReference"/>
          <w:rFonts w:cs="Arial"/>
        </w:rPr>
        <w:footnoteRef/>
      </w:r>
      <w:r w:rsidRPr="0019789C">
        <w:t xml:space="preserve"> ibid.</w:t>
      </w:r>
    </w:p>
  </w:footnote>
  <w:footnote w:id="408">
    <w:p w14:paraId="01F3837B" w14:textId="0A062844" w:rsidR="0019789C" w:rsidRPr="0019789C" w:rsidRDefault="0019789C" w:rsidP="001300A7">
      <w:pPr>
        <w:pStyle w:val="fntxt"/>
      </w:pPr>
      <w:r w:rsidRPr="0019789C">
        <w:rPr>
          <w:rStyle w:val="FootnoteReference"/>
          <w:rFonts w:cs="Arial"/>
        </w:rPr>
        <w:footnoteRef/>
      </w:r>
      <w:r w:rsidRPr="0019789C">
        <w:t xml:space="preserve"> ibid, paras 56-61.</w:t>
      </w:r>
    </w:p>
  </w:footnote>
  <w:footnote w:id="409">
    <w:p w14:paraId="5B1A1047" w14:textId="1A2CB74D" w:rsidR="0019789C" w:rsidRPr="0019789C" w:rsidRDefault="0019789C" w:rsidP="001300A7">
      <w:pPr>
        <w:pStyle w:val="fntxt"/>
      </w:pPr>
      <w:r w:rsidRPr="0019789C">
        <w:rPr>
          <w:rStyle w:val="FootnoteReference"/>
          <w:rFonts w:cs="Arial"/>
        </w:rPr>
        <w:footnoteRef/>
      </w:r>
      <w:r w:rsidRPr="0019789C">
        <w:t xml:space="preserve"> ibid, para 76.</w:t>
      </w:r>
    </w:p>
  </w:footnote>
  <w:footnote w:id="410">
    <w:p w14:paraId="2697F44F" w14:textId="259860CC" w:rsidR="0019789C" w:rsidRPr="0019789C" w:rsidRDefault="0019789C" w:rsidP="001300A7">
      <w:pPr>
        <w:pStyle w:val="fntxt"/>
      </w:pPr>
      <w:r w:rsidRPr="0019789C">
        <w:rPr>
          <w:rStyle w:val="FootnoteReference"/>
          <w:rFonts w:cs="Arial"/>
        </w:rPr>
        <w:footnoteRef/>
      </w:r>
      <w:r w:rsidRPr="0019789C">
        <w:t xml:space="preserve"> ibid, paras 66-71.</w:t>
      </w:r>
    </w:p>
  </w:footnote>
  <w:footnote w:id="411">
    <w:p w14:paraId="4E349521" w14:textId="0A4EF526" w:rsidR="0019789C" w:rsidRPr="0019789C" w:rsidRDefault="0019789C" w:rsidP="001300A7">
      <w:pPr>
        <w:pStyle w:val="fntxt"/>
      </w:pPr>
      <w:r w:rsidRPr="0019789C">
        <w:rPr>
          <w:rStyle w:val="FootnoteReference"/>
          <w:rFonts w:cs="Arial"/>
        </w:rPr>
        <w:footnoteRef/>
      </w:r>
      <w:r w:rsidRPr="0019789C">
        <w:t xml:space="preserve"> ibid, para 73.</w:t>
      </w:r>
    </w:p>
  </w:footnote>
  <w:footnote w:id="412">
    <w:p w14:paraId="289F3BEA" w14:textId="77777777" w:rsidR="0019789C" w:rsidRPr="0019789C" w:rsidRDefault="0019789C" w:rsidP="001300A7">
      <w:pPr>
        <w:pStyle w:val="fntxt"/>
      </w:pPr>
      <w:r w:rsidRPr="0019789C">
        <w:rPr>
          <w:rStyle w:val="FootnoteReference"/>
          <w:rFonts w:cs="Arial"/>
        </w:rPr>
        <w:footnoteRef/>
      </w:r>
      <w:r w:rsidRPr="0019789C">
        <w:t xml:space="preserve"> Equality Act 2010, s 19(3); pregnancy and maternity is the only characteristic protected elsewhere in the EA but not s 19. </w:t>
      </w:r>
    </w:p>
  </w:footnote>
  <w:footnote w:id="413">
    <w:p w14:paraId="4D47C816" w14:textId="764C11F6" w:rsidR="0019789C" w:rsidRPr="0019789C" w:rsidRDefault="0019789C" w:rsidP="001300A7">
      <w:pPr>
        <w:pStyle w:val="fntxt"/>
      </w:pPr>
      <w:r w:rsidRPr="0019789C">
        <w:rPr>
          <w:rStyle w:val="FootnoteReference"/>
          <w:rFonts w:cs="Arial"/>
        </w:rPr>
        <w:footnoteRef/>
      </w:r>
      <w:r w:rsidRPr="0019789C">
        <w:t xml:space="preserve"> Equality Act 2010, s 28(1)(a).</w:t>
      </w:r>
    </w:p>
  </w:footnote>
  <w:footnote w:id="414">
    <w:p w14:paraId="7FCA5952" w14:textId="77777777" w:rsidR="0019789C" w:rsidRPr="0019789C" w:rsidRDefault="0019789C" w:rsidP="001300A7">
      <w:pPr>
        <w:pStyle w:val="fntxt"/>
      </w:pPr>
      <w:r w:rsidRPr="0019789C">
        <w:rPr>
          <w:rStyle w:val="FootnoteReference"/>
          <w:rFonts w:cs="Arial"/>
        </w:rPr>
        <w:footnoteRef/>
      </w:r>
      <w:r w:rsidRPr="0019789C">
        <w:t xml:space="preserve"> Equality Act 2010, s 19(1).</w:t>
      </w:r>
    </w:p>
  </w:footnote>
  <w:footnote w:id="415">
    <w:p w14:paraId="10D18C6A" w14:textId="77777777" w:rsidR="0019789C" w:rsidRPr="0019789C" w:rsidRDefault="0019789C" w:rsidP="001300A7">
      <w:pPr>
        <w:pStyle w:val="fntxt"/>
      </w:pPr>
      <w:r w:rsidRPr="0019789C">
        <w:rPr>
          <w:rStyle w:val="FootnoteReference"/>
          <w:rFonts w:cs="Arial"/>
        </w:rPr>
        <w:footnoteRef/>
      </w:r>
      <w:r w:rsidRPr="0019789C">
        <w:t xml:space="preserve"> Equality Act 2010, s 19(2).</w:t>
      </w:r>
    </w:p>
  </w:footnote>
  <w:footnote w:id="416">
    <w:p w14:paraId="52046818" w14:textId="572DA2C6" w:rsidR="0019789C" w:rsidRPr="0019789C" w:rsidRDefault="0019789C" w:rsidP="001300A7">
      <w:pPr>
        <w:pStyle w:val="fntxt"/>
      </w:pPr>
      <w:r w:rsidRPr="0019789C">
        <w:rPr>
          <w:rStyle w:val="FootnoteReference"/>
          <w:rFonts w:cs="Arial"/>
        </w:rPr>
        <w:footnoteRef/>
      </w:r>
      <w:r w:rsidRPr="0019789C">
        <w:t xml:space="preserve"> See above B1.1 (b) on remedies. </w:t>
      </w:r>
    </w:p>
  </w:footnote>
  <w:footnote w:id="417">
    <w:p w14:paraId="0E1A334B" w14:textId="77777777" w:rsidR="0019789C" w:rsidRPr="0019789C" w:rsidRDefault="0019789C" w:rsidP="001300A7">
      <w:pPr>
        <w:pStyle w:val="fntxt"/>
      </w:pPr>
      <w:r w:rsidRPr="0019789C">
        <w:rPr>
          <w:rStyle w:val="FootnoteReference"/>
          <w:rFonts w:cs="Arial"/>
        </w:rPr>
        <w:footnoteRef/>
      </w:r>
      <w:r w:rsidRPr="0019789C">
        <w:t xml:space="preserve"> Equality Act 2010, s 119(5)-(6).</w:t>
      </w:r>
    </w:p>
  </w:footnote>
  <w:footnote w:id="418">
    <w:p w14:paraId="6D57B61D" w14:textId="6F1B2C49" w:rsidR="0019789C" w:rsidRPr="0019789C" w:rsidRDefault="0019789C" w:rsidP="001300A7">
      <w:pPr>
        <w:pStyle w:val="fntxt"/>
      </w:pPr>
      <w:r w:rsidRPr="0019789C">
        <w:rPr>
          <w:rStyle w:val="FootnoteReference"/>
          <w:rFonts w:cs="Arial"/>
        </w:rPr>
        <w:footnoteRef/>
      </w:r>
      <w:r w:rsidRPr="0019789C">
        <w:t xml:space="preserve"> [2008] UKHL 43.</w:t>
      </w:r>
    </w:p>
  </w:footnote>
  <w:footnote w:id="419">
    <w:p w14:paraId="1E2E7E2B" w14:textId="3E936B71" w:rsidR="0019789C" w:rsidRPr="0019789C" w:rsidRDefault="0019789C" w:rsidP="001300A7">
      <w:pPr>
        <w:pStyle w:val="fntxt"/>
      </w:pPr>
      <w:r w:rsidRPr="0019789C">
        <w:rPr>
          <w:rStyle w:val="FootnoteReference"/>
          <w:rFonts w:cs="Arial"/>
        </w:rPr>
        <w:footnoteRef/>
      </w:r>
      <w:r w:rsidRPr="0019789C">
        <w:t xml:space="preserve"> Equality Act 2010, s 149(3) and (4).</w:t>
      </w:r>
    </w:p>
  </w:footnote>
  <w:footnote w:id="420">
    <w:p w14:paraId="78AAFAC1" w14:textId="77777777" w:rsidR="0019789C" w:rsidRPr="0019789C" w:rsidRDefault="0019789C" w:rsidP="001300A7">
      <w:pPr>
        <w:pStyle w:val="fntxt"/>
      </w:pPr>
      <w:r w:rsidRPr="0019789C">
        <w:rPr>
          <w:rStyle w:val="FootnoteReference"/>
          <w:rFonts w:cs="Arial"/>
        </w:rPr>
        <w:footnoteRef/>
      </w:r>
      <w:r w:rsidRPr="0019789C">
        <w:t xml:space="preserve"> Equality Act 2010, s 149(5).</w:t>
      </w:r>
    </w:p>
  </w:footnote>
  <w:footnote w:id="421">
    <w:p w14:paraId="5262B4B9" w14:textId="77777777" w:rsidR="0019789C" w:rsidRPr="0019789C" w:rsidRDefault="0019789C" w:rsidP="001300A7">
      <w:pPr>
        <w:pStyle w:val="fntxt"/>
      </w:pPr>
      <w:r w:rsidRPr="0019789C">
        <w:rPr>
          <w:rStyle w:val="FootnoteReference"/>
          <w:rFonts w:cs="Arial"/>
        </w:rPr>
        <w:footnoteRef/>
      </w:r>
      <w:r w:rsidRPr="0019789C">
        <w:t xml:space="preserve"> Equality Act 2010, s 149(6).</w:t>
      </w:r>
    </w:p>
  </w:footnote>
  <w:footnote w:id="422">
    <w:p w14:paraId="2FBC0BBA" w14:textId="77777777" w:rsidR="0019789C" w:rsidRPr="0019789C" w:rsidRDefault="0019789C" w:rsidP="001300A7">
      <w:pPr>
        <w:pStyle w:val="fntxt"/>
      </w:pPr>
      <w:r w:rsidRPr="0019789C">
        <w:rPr>
          <w:rStyle w:val="FootnoteReference"/>
          <w:rFonts w:cs="Arial"/>
        </w:rPr>
        <w:footnoteRef/>
      </w:r>
      <w:r w:rsidRPr="0019789C">
        <w:t xml:space="preserve"> Equality Act 2010, ss 149(2) and 150, and sch 19.</w:t>
      </w:r>
    </w:p>
  </w:footnote>
  <w:footnote w:id="423">
    <w:p w14:paraId="5C1AB556" w14:textId="388DA917" w:rsidR="0019789C" w:rsidRPr="0019789C" w:rsidRDefault="0019789C" w:rsidP="001300A7">
      <w:pPr>
        <w:pStyle w:val="fntxt"/>
      </w:pPr>
      <w:r w:rsidRPr="0019789C">
        <w:rPr>
          <w:rStyle w:val="FootnoteReference"/>
          <w:rFonts w:cs="Arial"/>
        </w:rPr>
        <w:footnoteRef/>
      </w:r>
      <w:r w:rsidRPr="0019789C">
        <w:t xml:space="preserve"> See </w:t>
      </w:r>
      <w:r w:rsidRPr="0019789C">
        <w:rPr>
          <w:rStyle w:val="fncaseChar"/>
          <w:rFonts w:cs="Arial"/>
        </w:rPr>
        <w:t>R (JL) v Islington London BC</w:t>
      </w:r>
      <w:r w:rsidRPr="0019789C">
        <w:t xml:space="preserve"> [2009] EWHC 458 (Admin) [114], [2009] 2 FLR 515 [114] (per Black J); </w:t>
      </w:r>
      <w:r w:rsidRPr="0019789C">
        <w:rPr>
          <w:rStyle w:val="fncaseChar"/>
          <w:rFonts w:cs="Arial"/>
        </w:rPr>
        <w:t>Pieretti v Enfield London Borough Council</w:t>
      </w:r>
      <w:r w:rsidRPr="0019789C">
        <w:t xml:space="preserve"> [2011] 2 All ER 642 [25]-[26] (decided under the DDA).</w:t>
      </w:r>
    </w:p>
  </w:footnote>
  <w:footnote w:id="424">
    <w:p w14:paraId="4627FC7B" w14:textId="30FB2D21" w:rsidR="0019789C" w:rsidRPr="0019789C" w:rsidRDefault="0019789C" w:rsidP="001300A7">
      <w:pPr>
        <w:pStyle w:val="fntxt"/>
      </w:pPr>
      <w:r w:rsidRPr="0019789C">
        <w:rPr>
          <w:rStyle w:val="FootnoteReference"/>
          <w:rFonts w:cs="Arial"/>
        </w:rPr>
        <w:footnoteRef/>
      </w:r>
      <w:r w:rsidRPr="0019789C">
        <w:t xml:space="preserve"> B Hepple, ‘The New Single Equality Act in Britain’ (2010) 5 Equal Rights Review 11, 19; see also S Fredman ‘The Public Sector Equality Duty’ (2011) 40 Industrial Law Journal 405; House of Lords Select Committee on the Equality Act 2010 and Disability (n </w:t>
      </w:r>
      <w:r w:rsidRPr="0019789C">
        <w:fldChar w:fldCharType="begin"/>
      </w:r>
      <w:r w:rsidRPr="0019789C">
        <w:instrText xml:space="preserve"> NOTEREF _Ref39667842 \h  \* MERGEFORMAT </w:instrText>
      </w:r>
      <w:r w:rsidRPr="0019789C">
        <w:fldChar w:fldCharType="separate"/>
      </w:r>
      <w:r w:rsidR="00AD46EC">
        <w:t>104</w:t>
      </w:r>
      <w:r w:rsidRPr="0019789C">
        <w:fldChar w:fldCharType="end"/>
      </w:r>
      <w:r w:rsidRPr="0019789C">
        <w:t>) paras 345-46.</w:t>
      </w:r>
    </w:p>
  </w:footnote>
  <w:footnote w:id="425">
    <w:p w14:paraId="66736B66" w14:textId="0A7FE9DC" w:rsidR="0019789C" w:rsidRPr="0019789C" w:rsidRDefault="0019789C" w:rsidP="001300A7">
      <w:pPr>
        <w:pStyle w:val="fntxt"/>
      </w:pPr>
      <w:r w:rsidRPr="0019789C">
        <w:rPr>
          <w:rStyle w:val="FootnoteReference"/>
          <w:rFonts w:cs="Arial"/>
        </w:rPr>
        <w:footnoteRef/>
      </w:r>
      <w:r w:rsidRPr="0019789C">
        <w:t xml:space="preserve"> As per Independent Lives, user-led disability organisation: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 para 34.</w:t>
      </w:r>
    </w:p>
  </w:footnote>
  <w:footnote w:id="426">
    <w:p w14:paraId="00A17C8D" w14:textId="4DCA36DA" w:rsidR="0019789C" w:rsidRPr="0019789C" w:rsidRDefault="0019789C" w:rsidP="001300A7">
      <w:pPr>
        <w:pStyle w:val="fntxt"/>
      </w:pPr>
      <w:r w:rsidRPr="0019789C">
        <w:rPr>
          <w:rStyle w:val="FootnoteReference"/>
          <w:rFonts w:cs="Arial"/>
        </w:rPr>
        <w:footnoteRef/>
      </w:r>
      <w:r w:rsidRPr="0019789C">
        <w:t xml:space="preserve"> </w:t>
      </w:r>
      <w:r w:rsidRPr="0019789C">
        <w:rPr>
          <w:i/>
        </w:rPr>
        <w:t>R v North and East Devon HA ex parte Coughlan</w:t>
      </w:r>
      <w:r w:rsidRPr="0019789C">
        <w:t xml:space="preserve"> [2001] QB 213 [108].</w:t>
      </w:r>
    </w:p>
  </w:footnote>
  <w:footnote w:id="427">
    <w:p w14:paraId="2593068E" w14:textId="6DE75C06" w:rsidR="0019789C" w:rsidRPr="0019789C" w:rsidRDefault="0019789C" w:rsidP="001300A7">
      <w:pPr>
        <w:pStyle w:val="fntxt"/>
      </w:pPr>
      <w:r w:rsidRPr="0019789C">
        <w:rPr>
          <w:rStyle w:val="FootnoteReference"/>
          <w:rFonts w:cs="Arial"/>
        </w:rPr>
        <w:footnoteRef/>
      </w:r>
      <w:r w:rsidRPr="0019789C">
        <w:t xml:space="preserve"> S Manfredi, L Vickers and K Clayton-Hathway, ‘The Public Sector Equality Duty: Enforcing Equality Rights Through Second-Generation Regulation’ (2018) 47(3) Industrial Law Journal 365, 379.</w:t>
      </w:r>
    </w:p>
  </w:footnote>
  <w:footnote w:id="428">
    <w:p w14:paraId="1A108DC1" w14:textId="5C2F767E" w:rsidR="0019789C" w:rsidRPr="0019789C" w:rsidRDefault="0019789C" w:rsidP="001300A7">
      <w:pPr>
        <w:pStyle w:val="fntxt"/>
      </w:pPr>
      <w:r w:rsidRPr="0019789C">
        <w:rPr>
          <w:rStyle w:val="FootnoteReference"/>
          <w:rFonts w:cs="Arial"/>
        </w:rPr>
        <w:footnoteRef/>
      </w:r>
      <w:r w:rsidRPr="0019789C">
        <w:t xml:space="preserve"> Equality and Human Rights Commission (EHRC), ‘Technical Guidance on the Public Sector Equality Duty: England’ (last revised August 2014) para 6.3; The Equality Act 2010 (Specific Duties) Regulations 2011, regs 2 and 3.</w:t>
      </w:r>
    </w:p>
  </w:footnote>
  <w:footnote w:id="429">
    <w:p w14:paraId="2396AC96" w14:textId="24B180F6" w:rsidR="0019789C" w:rsidRPr="0019789C" w:rsidRDefault="0019789C" w:rsidP="001300A7">
      <w:pPr>
        <w:pStyle w:val="fntxt"/>
      </w:pPr>
      <w:r w:rsidRPr="0019789C">
        <w:rPr>
          <w:rStyle w:val="FootnoteReference"/>
          <w:rFonts w:cs="Arial"/>
        </w:rPr>
        <w:footnoteRef/>
      </w:r>
      <w:r w:rsidRPr="0019789C">
        <w:t xml:space="preserve"> Equality and Human Rights Commission (EHRC), ‘Technical Guidance on the Public Sector Equality Duty: Wales’ (last revised August 2014) para 6.6; The Equality Act 2010 (Specific Duties) (Wales) Regulations 2011, regs 14 and 15.</w:t>
      </w:r>
    </w:p>
  </w:footnote>
  <w:footnote w:id="430">
    <w:p w14:paraId="55AD2F96" w14:textId="372349D3" w:rsidR="0019789C" w:rsidRPr="0019789C" w:rsidRDefault="0019789C" w:rsidP="001300A7">
      <w:pPr>
        <w:pStyle w:val="fntxt"/>
      </w:pPr>
      <w:r w:rsidRPr="0019789C">
        <w:rPr>
          <w:rStyle w:val="FootnoteReference"/>
          <w:rFonts w:cs="Arial"/>
        </w:rPr>
        <w:footnoteRef/>
      </w:r>
      <w:r w:rsidRPr="0019789C">
        <w:t xml:space="preserve"> Equality and Human Rights Commission (EHRC), ‘Technical Guidance on the Public Sector Equality Duty: Scotland’ (last updated September 2016) para 6.6; The Equality Act 2010 (Specific Duties) (Scotland) Regulations 2012, reg 3.</w:t>
      </w:r>
    </w:p>
  </w:footnote>
  <w:footnote w:id="431">
    <w:p w14:paraId="3F4E7BA3" w14:textId="218E4BCD" w:rsidR="0019789C" w:rsidRPr="0019789C" w:rsidRDefault="0019789C" w:rsidP="001300A7">
      <w:pPr>
        <w:pStyle w:val="fntxt"/>
      </w:pPr>
      <w:r w:rsidRPr="0019789C">
        <w:rPr>
          <w:rStyle w:val="FootnoteReference"/>
          <w:rFonts w:cs="Arial"/>
        </w:rPr>
        <w:footnoteRef/>
      </w:r>
      <w:r w:rsidRPr="0019789C">
        <w:t xml:space="preserve"> The Equality Act 2010 (Specific Duties) Regulations 2011; The Equality Act 2010 (Statutory Duties) (Wales) Regulations 2011, reg 5(2) (‘must involve such persons …’); The Equality Act 2010 (Specific Duties) (Scotland) Regulations 2012, reg 4(2) (‘take reasonable steps to involve persons …’).</w:t>
      </w:r>
    </w:p>
  </w:footnote>
  <w:footnote w:id="432">
    <w:p w14:paraId="07AB8B1F" w14:textId="77777777" w:rsidR="0019789C" w:rsidRPr="0019789C" w:rsidRDefault="0019789C" w:rsidP="001300A7">
      <w:pPr>
        <w:pStyle w:val="fntxt"/>
      </w:pPr>
      <w:r w:rsidRPr="0019789C">
        <w:rPr>
          <w:rStyle w:val="FootnoteReference"/>
          <w:rFonts w:cs="Arial"/>
        </w:rPr>
        <w:footnoteRef/>
      </w:r>
      <w:r w:rsidRPr="0019789C">
        <w:t xml:space="preserve"> [2012] EWHC 2970 (Admin).</w:t>
      </w:r>
    </w:p>
  </w:footnote>
  <w:footnote w:id="433">
    <w:p w14:paraId="23BD5DA7" w14:textId="661F392C" w:rsidR="0019789C" w:rsidRPr="0019789C" w:rsidRDefault="0019789C" w:rsidP="001300A7">
      <w:pPr>
        <w:pStyle w:val="fntxt"/>
      </w:pPr>
      <w:r w:rsidRPr="0019789C">
        <w:rPr>
          <w:rStyle w:val="FootnoteReference"/>
          <w:rFonts w:cs="Arial"/>
        </w:rPr>
        <w:footnoteRef/>
      </w:r>
      <w:r w:rsidRPr="0019789C">
        <w:t xml:space="preserve"> ibid [1]-[4] and [30].</w:t>
      </w:r>
    </w:p>
  </w:footnote>
  <w:footnote w:id="434">
    <w:p w14:paraId="47E65827" w14:textId="2602F83A" w:rsidR="0019789C" w:rsidRPr="0019789C" w:rsidRDefault="0019789C" w:rsidP="001300A7">
      <w:pPr>
        <w:pStyle w:val="fntxt"/>
      </w:pPr>
      <w:r w:rsidRPr="0019789C">
        <w:rPr>
          <w:rStyle w:val="FootnoteReference"/>
          <w:rFonts w:cs="Arial"/>
        </w:rPr>
        <w:footnoteRef/>
      </w:r>
      <w:r w:rsidRPr="0019789C">
        <w:t xml:space="preserve"> ibid [6]-[10].</w:t>
      </w:r>
    </w:p>
  </w:footnote>
  <w:footnote w:id="435">
    <w:p w14:paraId="0193BC85" w14:textId="14762A82" w:rsidR="0019789C" w:rsidRPr="0019789C" w:rsidRDefault="0019789C" w:rsidP="001300A7">
      <w:pPr>
        <w:pStyle w:val="fntxt"/>
      </w:pPr>
      <w:r w:rsidRPr="0019789C">
        <w:rPr>
          <w:rStyle w:val="FootnoteReference"/>
          <w:rFonts w:cs="Arial"/>
        </w:rPr>
        <w:footnoteRef/>
      </w:r>
      <w:r w:rsidRPr="0019789C">
        <w:t xml:space="preserve"> ibid [1] and [39]-[44].</w:t>
      </w:r>
    </w:p>
  </w:footnote>
  <w:footnote w:id="436">
    <w:p w14:paraId="017DFD3B" w14:textId="535A4A87" w:rsidR="0019789C" w:rsidRPr="0019789C" w:rsidRDefault="0019789C" w:rsidP="001300A7">
      <w:pPr>
        <w:pStyle w:val="fntxt"/>
      </w:pPr>
      <w:r w:rsidRPr="0019789C">
        <w:rPr>
          <w:rStyle w:val="FootnoteReference"/>
          <w:rFonts w:cs="Arial"/>
        </w:rPr>
        <w:footnoteRef/>
      </w:r>
      <w:r w:rsidRPr="0019789C">
        <w:t xml:space="preserve"> [2016] EWHC (Admin) 3795.</w:t>
      </w:r>
    </w:p>
  </w:footnote>
  <w:footnote w:id="437">
    <w:p w14:paraId="0252334A" w14:textId="28D1B332" w:rsidR="0019789C" w:rsidRPr="0019789C" w:rsidRDefault="0019789C" w:rsidP="001300A7">
      <w:pPr>
        <w:pStyle w:val="fntxt"/>
      </w:pPr>
      <w:r w:rsidRPr="0019789C">
        <w:rPr>
          <w:rStyle w:val="FootnoteReference"/>
          <w:rFonts w:cs="Arial"/>
        </w:rPr>
        <w:footnoteRef/>
      </w:r>
      <w:r w:rsidRPr="0019789C">
        <w:t xml:space="preserve"> ibid [4]-[7].</w:t>
      </w:r>
    </w:p>
  </w:footnote>
  <w:footnote w:id="438">
    <w:p w14:paraId="58DBBCA2" w14:textId="354CD4EC" w:rsidR="0019789C" w:rsidRPr="0019789C" w:rsidRDefault="0019789C" w:rsidP="001300A7">
      <w:pPr>
        <w:pStyle w:val="fntxt"/>
      </w:pPr>
      <w:r w:rsidRPr="0019789C">
        <w:rPr>
          <w:rStyle w:val="FootnoteReference"/>
          <w:rFonts w:cs="Arial"/>
        </w:rPr>
        <w:footnoteRef/>
      </w:r>
      <w:r w:rsidRPr="0019789C">
        <w:t xml:space="preserve"> ibid [24] per Steven Kovats QC.</w:t>
      </w:r>
    </w:p>
  </w:footnote>
  <w:footnote w:id="439">
    <w:p w14:paraId="305D8604" w14:textId="43D72AB1" w:rsidR="0019789C" w:rsidRPr="0019789C" w:rsidRDefault="0019789C" w:rsidP="001300A7">
      <w:pPr>
        <w:pStyle w:val="fntxt"/>
      </w:pPr>
      <w:r w:rsidRPr="0019789C">
        <w:rPr>
          <w:rStyle w:val="FootnoteReference"/>
          <w:rFonts w:cs="Arial"/>
        </w:rPr>
        <w:footnoteRef/>
      </w:r>
      <w:r w:rsidRPr="0019789C">
        <w:t xml:space="preserve"> [2017] NIQB 49.</w:t>
      </w:r>
    </w:p>
  </w:footnote>
  <w:footnote w:id="440">
    <w:p w14:paraId="53EB794D" w14:textId="30A6D1E4" w:rsidR="0019789C" w:rsidRPr="0019789C" w:rsidRDefault="0019789C" w:rsidP="001300A7">
      <w:pPr>
        <w:pStyle w:val="fntxt"/>
      </w:pPr>
      <w:r w:rsidRPr="0019789C">
        <w:rPr>
          <w:rStyle w:val="FootnoteReference"/>
          <w:rFonts w:cs="Arial"/>
        </w:rPr>
        <w:footnoteRef/>
      </w:r>
      <w:r w:rsidRPr="0019789C">
        <w:t xml:space="preserve"> ibid [1]-[11].</w:t>
      </w:r>
    </w:p>
  </w:footnote>
  <w:footnote w:id="441">
    <w:p w14:paraId="6F51968E" w14:textId="583A2BB2" w:rsidR="0019789C" w:rsidRPr="0019789C" w:rsidRDefault="0019789C" w:rsidP="001300A7">
      <w:pPr>
        <w:pStyle w:val="fntxt"/>
      </w:pPr>
      <w:r w:rsidRPr="0019789C">
        <w:rPr>
          <w:rStyle w:val="FootnoteReference"/>
          <w:rFonts w:cs="Arial"/>
        </w:rPr>
        <w:footnoteRef/>
      </w:r>
      <w:r w:rsidRPr="0019789C">
        <w:t xml:space="preserve"> ibid [141]-[152].</w:t>
      </w:r>
    </w:p>
  </w:footnote>
  <w:footnote w:id="442">
    <w:p w14:paraId="670DBA58" w14:textId="2F5DEFA8" w:rsidR="0019789C" w:rsidRPr="0019789C" w:rsidRDefault="0019789C" w:rsidP="001300A7">
      <w:pPr>
        <w:pStyle w:val="fntxt"/>
      </w:pPr>
      <w:r w:rsidRPr="0019789C">
        <w:rPr>
          <w:rStyle w:val="FootnoteReference"/>
          <w:rFonts w:cs="Arial"/>
        </w:rPr>
        <w:footnoteRef/>
      </w:r>
      <w:r w:rsidRPr="0019789C">
        <w:t xml:space="preserve"> ibid [178]-[188], specifically [181].</w:t>
      </w:r>
    </w:p>
  </w:footnote>
  <w:footnote w:id="443">
    <w:p w14:paraId="135CB279" w14:textId="4CDF8E43" w:rsidR="0019789C" w:rsidRPr="0019789C" w:rsidRDefault="0019789C" w:rsidP="001300A7">
      <w:pPr>
        <w:pStyle w:val="fntxt"/>
        <w:rPr>
          <w:iCs/>
        </w:rPr>
      </w:pPr>
      <w:r w:rsidRPr="0019789C">
        <w:rPr>
          <w:rStyle w:val="FootnoteReference"/>
          <w:rFonts w:cs="Arial"/>
        </w:rPr>
        <w:footnoteRef/>
      </w:r>
      <w:r w:rsidRPr="0019789C">
        <w:t xml:space="preserve"> Civil Procedure Rules, rr 54.2 and 54.3; </w:t>
      </w:r>
      <w:r w:rsidRPr="0019789C">
        <w:rPr>
          <w:iCs/>
        </w:rPr>
        <w:t>Supreme Court Act</w:t>
      </w:r>
      <w:r w:rsidRPr="0019789C">
        <w:t xml:space="preserve"> </w:t>
      </w:r>
      <w:r w:rsidRPr="0019789C">
        <w:rPr>
          <w:iCs/>
        </w:rPr>
        <w:t xml:space="preserve">1981, s 31(4) sets out the circumstances in which the court may award damages, restitution or the recovery of a sum due on a claim for judicial review; </w:t>
      </w:r>
      <w:r w:rsidRPr="0019789C">
        <w:t>Equality and Human Rights Commission (EHRC), ‘Judicial review’ &lt;</w:t>
      </w:r>
      <w:hyperlink r:id="rId104" w:history="1">
        <w:r w:rsidRPr="0019789C">
          <w:rPr>
            <w:rStyle w:val="Hyperlink"/>
            <w:rFonts w:cs="Arial"/>
          </w:rPr>
          <w:t>www.equalityhumanrights.com/en/advice-and-guidance/judicial-review</w:t>
        </w:r>
      </w:hyperlink>
      <w:r w:rsidRPr="0019789C">
        <w:t>&gt; (last updated 19 February 2019) accessed 24 January 2020.</w:t>
      </w:r>
    </w:p>
  </w:footnote>
  <w:footnote w:id="444">
    <w:p w14:paraId="49DA981C" w14:textId="7857A5FA" w:rsidR="0019789C" w:rsidRPr="0019789C" w:rsidRDefault="0019789C" w:rsidP="001300A7">
      <w:pPr>
        <w:pStyle w:val="fntxt"/>
      </w:pPr>
      <w:r w:rsidRPr="0019789C">
        <w:rPr>
          <w:rStyle w:val="FootnoteReference"/>
          <w:rFonts w:cs="Arial"/>
        </w:rPr>
        <w:footnoteRef/>
      </w:r>
      <w:r w:rsidRPr="0019789C">
        <w:t xml:space="preserve"> See above B1.1 (b) on remedies.</w:t>
      </w:r>
    </w:p>
  </w:footnote>
  <w:footnote w:id="445">
    <w:p w14:paraId="4B3B5EA0" w14:textId="2A751530" w:rsidR="0019789C" w:rsidRPr="0019789C" w:rsidRDefault="0019789C" w:rsidP="001300A7">
      <w:pPr>
        <w:pStyle w:val="fntxt"/>
      </w:pPr>
      <w:r w:rsidRPr="0019789C">
        <w:rPr>
          <w:rStyle w:val="FootnoteReference"/>
          <w:rFonts w:cs="Arial"/>
        </w:rPr>
        <w:footnoteRef/>
      </w:r>
      <w:r w:rsidRPr="0019789C">
        <w:t xml:space="preserve"> Because the Human Rights Act provides for such a remedy, see Human Rights Act 1998, s 8(1).</w:t>
      </w:r>
    </w:p>
  </w:footnote>
  <w:footnote w:id="446">
    <w:p w14:paraId="620A34B9" w14:textId="45D312E0" w:rsidR="0019789C" w:rsidRPr="0019789C" w:rsidRDefault="0019789C" w:rsidP="001300A7">
      <w:pPr>
        <w:pStyle w:val="fntxt"/>
      </w:pPr>
      <w:r w:rsidRPr="0019789C">
        <w:rPr>
          <w:rStyle w:val="FootnoteReference"/>
          <w:rFonts w:cs="Arial"/>
        </w:rPr>
        <w:footnoteRef/>
      </w:r>
      <w:r w:rsidRPr="0019789C">
        <w:t xml:space="preserve"> EHRC, ‘Judicial review’ (n </w:t>
      </w:r>
      <w:r w:rsidRPr="0019789C">
        <w:fldChar w:fldCharType="begin"/>
      </w:r>
      <w:r w:rsidRPr="0019789C">
        <w:instrText xml:space="preserve"> NOTEREF _Ref30768279 \h  \* MERGEFORMAT </w:instrText>
      </w:r>
      <w:r w:rsidRPr="0019789C">
        <w:fldChar w:fldCharType="separate"/>
      </w:r>
      <w:r w:rsidR="00AD46EC">
        <w:t>443</w:t>
      </w:r>
      <w:r w:rsidRPr="0019789C">
        <w:fldChar w:fldCharType="end"/>
      </w:r>
      <w:r w:rsidRPr="0019789C">
        <w:t>).</w:t>
      </w:r>
    </w:p>
  </w:footnote>
  <w:footnote w:id="447">
    <w:p w14:paraId="2752DD2A" w14:textId="44C1B19E" w:rsidR="0019789C" w:rsidRPr="0019789C" w:rsidRDefault="0019789C" w:rsidP="001300A7">
      <w:pPr>
        <w:pStyle w:val="fntxt"/>
      </w:pPr>
      <w:r w:rsidRPr="0019789C">
        <w:rPr>
          <w:rStyle w:val="FootnoteReference"/>
          <w:rFonts w:cs="Arial"/>
        </w:rPr>
        <w:footnoteRef/>
      </w:r>
      <w:r w:rsidRPr="0019789C">
        <w:t xml:space="preserve"> EHRC, ‘Technical Guidance on the Public Sector Equality Duty: England’ (n </w:t>
      </w:r>
      <w:r w:rsidRPr="0019789C">
        <w:fldChar w:fldCharType="begin"/>
      </w:r>
      <w:r w:rsidRPr="0019789C">
        <w:instrText xml:space="preserve"> NOTEREF _Ref30764257 \h  \* MERGEFORMAT </w:instrText>
      </w:r>
      <w:r w:rsidRPr="0019789C">
        <w:fldChar w:fldCharType="separate"/>
      </w:r>
      <w:r w:rsidR="00AD46EC">
        <w:t>428</w:t>
      </w:r>
      <w:r w:rsidRPr="0019789C">
        <w:fldChar w:fldCharType="end"/>
      </w:r>
      <w:r w:rsidRPr="0019789C">
        <w:t xml:space="preserve">) para 7.8; EHRC, ‘Technical Guidance on the Public Sector Equality Duty: Wales’ (n </w:t>
      </w:r>
      <w:r w:rsidRPr="0019789C">
        <w:fldChar w:fldCharType="begin"/>
      </w:r>
      <w:r w:rsidRPr="0019789C">
        <w:instrText xml:space="preserve"> NOTEREF _Ref30764251 \h  \* MERGEFORMAT </w:instrText>
      </w:r>
      <w:r w:rsidRPr="0019789C">
        <w:fldChar w:fldCharType="separate"/>
      </w:r>
      <w:r w:rsidR="00AD46EC">
        <w:t>429</w:t>
      </w:r>
      <w:r w:rsidRPr="0019789C">
        <w:fldChar w:fldCharType="end"/>
      </w:r>
      <w:r w:rsidRPr="0019789C">
        <w:t xml:space="preserve">) para 7.8; EHRC, ‘Technical Guidance on the Public Sector Equality Duty: Scotland’ (n </w:t>
      </w:r>
      <w:r w:rsidRPr="0019789C">
        <w:fldChar w:fldCharType="begin"/>
      </w:r>
      <w:r w:rsidRPr="0019789C">
        <w:instrText xml:space="preserve"> NOTEREF _Ref30764245 \h  \* MERGEFORMAT </w:instrText>
      </w:r>
      <w:r w:rsidRPr="0019789C">
        <w:fldChar w:fldCharType="separate"/>
      </w:r>
      <w:r w:rsidR="00AD46EC">
        <w:t>430</w:t>
      </w:r>
      <w:r w:rsidRPr="0019789C">
        <w:fldChar w:fldCharType="end"/>
      </w:r>
      <w:r w:rsidRPr="0019789C">
        <w:t>) para 7.8.</w:t>
      </w:r>
    </w:p>
  </w:footnote>
  <w:footnote w:id="448">
    <w:p w14:paraId="367A3933" w14:textId="6E9BD487" w:rsidR="0019789C" w:rsidRPr="0019789C" w:rsidRDefault="0019789C" w:rsidP="001300A7">
      <w:pPr>
        <w:pStyle w:val="fntxt"/>
      </w:pPr>
      <w:r w:rsidRPr="0019789C">
        <w:rPr>
          <w:rStyle w:val="FootnoteReference"/>
          <w:rFonts w:cs="Arial"/>
        </w:rPr>
        <w:footnoteRef/>
      </w:r>
      <w:r w:rsidRPr="0019789C">
        <w:t xml:space="preserve"> Manfredi, Vickers and Clayton-Hathway (n </w:t>
      </w:r>
      <w:r w:rsidRPr="0019789C">
        <w:fldChar w:fldCharType="begin"/>
      </w:r>
      <w:r w:rsidRPr="0019789C">
        <w:instrText xml:space="preserve"> NOTEREF _Ref30776670 \h  \* MERGEFORMAT </w:instrText>
      </w:r>
      <w:r w:rsidRPr="0019789C">
        <w:fldChar w:fldCharType="separate"/>
      </w:r>
      <w:r w:rsidR="00AD46EC">
        <w:t>427</w:t>
      </w:r>
      <w:r w:rsidRPr="0019789C">
        <w:fldChar w:fldCharType="end"/>
      </w:r>
      <w:r w:rsidRPr="0019789C">
        <w:t>) 374-75.</w:t>
      </w:r>
    </w:p>
  </w:footnote>
  <w:footnote w:id="449">
    <w:p w14:paraId="13BF31CF" w14:textId="170FD116" w:rsidR="0019789C" w:rsidRPr="0019789C" w:rsidRDefault="0019789C" w:rsidP="001300A7">
      <w:pPr>
        <w:pStyle w:val="fntxt"/>
      </w:pPr>
      <w:r w:rsidRPr="0019789C">
        <w:rPr>
          <w:rStyle w:val="FootnoteReference"/>
          <w:rFonts w:cs="Arial"/>
        </w:rPr>
        <w:footnoteRef/>
      </w:r>
      <w:r w:rsidRPr="0019789C">
        <w:t xml:space="preserve"> Equality Act 2006, s 32(11).</w:t>
      </w:r>
    </w:p>
  </w:footnote>
  <w:footnote w:id="450">
    <w:p w14:paraId="7D113FC5" w14:textId="3CCCF08B" w:rsidR="0019789C" w:rsidRPr="0019789C" w:rsidRDefault="0019789C" w:rsidP="001300A7">
      <w:pPr>
        <w:pStyle w:val="fntxt"/>
      </w:pPr>
      <w:r w:rsidRPr="0019789C">
        <w:rPr>
          <w:rStyle w:val="FootnoteReference"/>
          <w:rFonts w:cs="Arial"/>
        </w:rPr>
        <w:footnoteRef/>
      </w:r>
      <w:r w:rsidRPr="0019789C">
        <w:t xml:space="preserve"> D Pyper, ‘The Public Sector Equality Duty and Equality Impact Assessments’ (House of Commons Library, Briefing Paper No 06591, 8 March 2018) 18. </w:t>
      </w:r>
    </w:p>
  </w:footnote>
  <w:footnote w:id="451">
    <w:p w14:paraId="01C48012" w14:textId="7A84BDC5" w:rsidR="0019789C" w:rsidRPr="0019789C" w:rsidRDefault="0019789C" w:rsidP="001300A7">
      <w:pPr>
        <w:pStyle w:val="fntxt"/>
      </w:pPr>
      <w:r w:rsidRPr="0019789C">
        <w:rPr>
          <w:rStyle w:val="FootnoteReference"/>
          <w:rFonts w:cs="Arial"/>
        </w:rPr>
        <w:footnoteRef/>
      </w:r>
      <w:r w:rsidRPr="0019789C">
        <w:t xml:space="preserve"> See above Section B1.1 (c) on enforcement and the litigation powers of the EHRC.</w:t>
      </w:r>
    </w:p>
  </w:footnote>
  <w:footnote w:id="452">
    <w:p w14:paraId="6C68DE63" w14:textId="234C9FDD" w:rsidR="0019789C" w:rsidRPr="0019789C" w:rsidRDefault="0019789C" w:rsidP="001300A7">
      <w:pPr>
        <w:pStyle w:val="fntxt"/>
      </w:pPr>
      <w:r w:rsidRPr="0019789C">
        <w:rPr>
          <w:rStyle w:val="FootnoteReference"/>
          <w:rFonts w:cs="Arial"/>
        </w:rPr>
        <w:footnoteRef/>
      </w:r>
      <w:r w:rsidRPr="0019789C">
        <w:t xml:space="preserve"> Equality Act 2006, s 30(1).</w:t>
      </w:r>
    </w:p>
  </w:footnote>
  <w:footnote w:id="453">
    <w:p w14:paraId="6A71E5F0" w14:textId="77777777" w:rsidR="0019789C" w:rsidRPr="0019789C" w:rsidRDefault="0019789C" w:rsidP="001300A7">
      <w:pPr>
        <w:pStyle w:val="fntxt"/>
      </w:pPr>
      <w:r w:rsidRPr="0019789C">
        <w:rPr>
          <w:rStyle w:val="FootnoteReference"/>
          <w:rFonts w:cs="Arial"/>
        </w:rPr>
        <w:footnoteRef/>
      </w:r>
      <w:r w:rsidRPr="0019789C">
        <w:t xml:space="preserve"> Equality Act 2006, s 31(1) and sch 2.</w:t>
      </w:r>
    </w:p>
  </w:footnote>
  <w:footnote w:id="454">
    <w:p w14:paraId="2E8F1942" w14:textId="77777777" w:rsidR="0019789C" w:rsidRPr="0019789C" w:rsidRDefault="0019789C" w:rsidP="001300A7">
      <w:pPr>
        <w:pStyle w:val="fntxt"/>
      </w:pPr>
      <w:r w:rsidRPr="0019789C">
        <w:rPr>
          <w:rStyle w:val="FootnoteReference"/>
          <w:rFonts w:cs="Arial"/>
        </w:rPr>
        <w:footnoteRef/>
      </w:r>
      <w:r w:rsidRPr="0019789C">
        <w:t xml:space="preserve"> Equality Act 2006, s 32(2).</w:t>
      </w:r>
    </w:p>
  </w:footnote>
  <w:footnote w:id="455">
    <w:p w14:paraId="42C8C720" w14:textId="77777777" w:rsidR="0019789C" w:rsidRPr="0019789C" w:rsidRDefault="0019789C" w:rsidP="001300A7">
      <w:pPr>
        <w:pStyle w:val="fntxt"/>
      </w:pPr>
      <w:r w:rsidRPr="0019789C">
        <w:rPr>
          <w:rStyle w:val="FootnoteReference"/>
          <w:rFonts w:cs="Arial"/>
        </w:rPr>
        <w:footnoteRef/>
      </w:r>
      <w:r w:rsidRPr="0019789C">
        <w:t xml:space="preserve"> Equality Act 2006, s 32(1)-(4).</w:t>
      </w:r>
    </w:p>
  </w:footnote>
  <w:footnote w:id="456">
    <w:p w14:paraId="2B8C01C6" w14:textId="77777777" w:rsidR="0019789C" w:rsidRPr="0019789C" w:rsidRDefault="0019789C" w:rsidP="001300A7">
      <w:pPr>
        <w:pStyle w:val="fntxt"/>
      </w:pPr>
      <w:r w:rsidRPr="0019789C">
        <w:rPr>
          <w:rStyle w:val="FootnoteReference"/>
          <w:rFonts w:cs="Arial"/>
        </w:rPr>
        <w:footnoteRef/>
      </w:r>
      <w:r w:rsidRPr="0019789C">
        <w:t xml:space="preserve"> Equality Act 2006, s 32(5)-(8).</w:t>
      </w:r>
    </w:p>
  </w:footnote>
  <w:footnote w:id="457">
    <w:p w14:paraId="50480C3F" w14:textId="7263E141"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13 (Table 1) and para 33.</w:t>
      </w:r>
    </w:p>
  </w:footnote>
  <w:footnote w:id="458">
    <w:p w14:paraId="7E0B73D7" w14:textId="3A9EA85E" w:rsidR="0019789C" w:rsidRPr="0019789C" w:rsidRDefault="0019789C" w:rsidP="001300A7">
      <w:pPr>
        <w:pStyle w:val="fntxt"/>
      </w:pPr>
      <w:r w:rsidRPr="0019789C">
        <w:rPr>
          <w:rStyle w:val="FootnoteReference"/>
          <w:rFonts w:cs="Arial"/>
        </w:rPr>
        <w:footnoteRef/>
      </w:r>
      <w:r w:rsidRPr="0019789C">
        <w:t xml:space="preserve">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 para 69.</w:t>
      </w:r>
    </w:p>
  </w:footnote>
  <w:footnote w:id="459">
    <w:p w14:paraId="1867F45F" w14:textId="5B86941A" w:rsidR="0019789C" w:rsidRPr="0019789C" w:rsidRDefault="0019789C" w:rsidP="001300A7">
      <w:pPr>
        <w:pStyle w:val="fntxt"/>
      </w:pPr>
      <w:r w:rsidRPr="0019789C">
        <w:rPr>
          <w:rStyle w:val="FootnoteReference"/>
          <w:rFonts w:cs="Arial"/>
        </w:rPr>
        <w:footnoteRef/>
      </w:r>
      <w:r w:rsidRPr="0019789C">
        <w:t xml:space="preserve"> ibid, paras 70-71.</w:t>
      </w:r>
    </w:p>
  </w:footnote>
  <w:footnote w:id="460">
    <w:p w14:paraId="02720F29" w14:textId="4D8A9156" w:rsidR="0019789C" w:rsidRPr="0019789C" w:rsidRDefault="0019789C" w:rsidP="001300A7">
      <w:pPr>
        <w:pStyle w:val="fntxt"/>
      </w:pPr>
      <w:r w:rsidRPr="0019789C">
        <w:rPr>
          <w:rStyle w:val="FootnoteReference"/>
          <w:rFonts w:cs="Arial"/>
        </w:rPr>
        <w:footnoteRef/>
      </w:r>
      <w:r w:rsidRPr="0019789C">
        <w:t xml:space="preserve"> Civil Procedure Rules, r 54.5; Court of Session Act 1988, s 27A, as amended by the Courts Reform (Scotland) Act 2014.</w:t>
      </w:r>
    </w:p>
  </w:footnote>
  <w:footnote w:id="461">
    <w:p w14:paraId="585BD27A" w14:textId="4ECBC3BE" w:rsidR="0019789C" w:rsidRPr="0019789C" w:rsidRDefault="0019789C" w:rsidP="001300A7">
      <w:pPr>
        <w:pStyle w:val="fntxt"/>
      </w:pPr>
      <w:r w:rsidRPr="0019789C">
        <w:rPr>
          <w:rStyle w:val="FootnoteReference"/>
          <w:rFonts w:cs="Arial"/>
        </w:rPr>
        <w:footnoteRef/>
      </w:r>
      <w:r w:rsidRPr="0019789C">
        <w:t xml:space="preserve"> Court of Session Act 1988, s 27A(1)(b), as amended by the Courts Reform (Scotland) Act 2014.</w:t>
      </w:r>
    </w:p>
  </w:footnote>
  <w:footnote w:id="462">
    <w:p w14:paraId="3AB78285" w14:textId="77777777" w:rsidR="0019789C" w:rsidRPr="0019789C" w:rsidRDefault="0019789C" w:rsidP="001300A7">
      <w:pPr>
        <w:pStyle w:val="fntxt"/>
      </w:pPr>
      <w:r w:rsidRPr="0019789C">
        <w:rPr>
          <w:rStyle w:val="FootnoteReference"/>
          <w:rFonts w:cs="Arial"/>
        </w:rPr>
        <w:footnoteRef/>
      </w:r>
      <w:r w:rsidRPr="0019789C">
        <w:t xml:space="preserve"> Civil Procedure Rules, r 54.5.</w:t>
      </w:r>
    </w:p>
  </w:footnote>
  <w:footnote w:id="463">
    <w:p w14:paraId="25896C4B" w14:textId="6188B1D1" w:rsidR="0019789C" w:rsidRPr="0019789C" w:rsidRDefault="0019789C" w:rsidP="001300A7">
      <w:pPr>
        <w:pStyle w:val="fntxt"/>
      </w:pPr>
      <w:r w:rsidRPr="0019789C">
        <w:rPr>
          <w:rStyle w:val="FootnoteReference"/>
          <w:rFonts w:cs="Arial"/>
        </w:rPr>
        <w:footnoteRef/>
      </w:r>
      <w:r w:rsidRPr="0019789C">
        <w:t xml:space="preserve"> Civil Procedure Rules, r 3.1(1).</w:t>
      </w:r>
    </w:p>
  </w:footnote>
  <w:footnote w:id="464">
    <w:p w14:paraId="4F6BAF63" w14:textId="42E36F51" w:rsidR="0019789C" w:rsidRPr="0019789C" w:rsidRDefault="0019789C" w:rsidP="001300A7">
      <w:pPr>
        <w:pStyle w:val="fntxt"/>
      </w:pPr>
      <w:r w:rsidRPr="0019789C">
        <w:rPr>
          <w:rStyle w:val="FootnoteReference"/>
          <w:rFonts w:cs="Arial"/>
        </w:rPr>
        <w:footnoteRef/>
      </w:r>
      <w:r w:rsidRPr="0019789C">
        <w:t xml:space="preserve"> </w:t>
      </w:r>
      <w:r w:rsidRPr="0019789C">
        <w:rPr>
          <w:i/>
        </w:rPr>
        <w:t xml:space="preserve">Odubajo v Secretary of State for the Home Department </w:t>
      </w:r>
      <w:r w:rsidRPr="0019789C">
        <w:t>[2020] CSOH 2 [14].</w:t>
      </w:r>
    </w:p>
  </w:footnote>
  <w:footnote w:id="465">
    <w:p w14:paraId="51C85681" w14:textId="064A0029"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 xml:space="preserve">Scottish Parliament, </w:t>
      </w:r>
      <w:r w:rsidRPr="0019789C">
        <w:t>Courts Reform (Scotland) Bill 2014 (SP Bill 46) Policy Memorandum (2014) 33, para 179.</w:t>
      </w:r>
    </w:p>
  </w:footnote>
  <w:footnote w:id="466">
    <w:p w14:paraId="69CF46C1" w14:textId="670774D5" w:rsidR="0019789C" w:rsidRPr="0019789C" w:rsidRDefault="0019789C" w:rsidP="001300A7">
      <w:pPr>
        <w:pStyle w:val="fntxt"/>
      </w:pPr>
      <w:r w:rsidRPr="0019789C">
        <w:rPr>
          <w:rStyle w:val="FootnoteReference"/>
          <w:rFonts w:cs="Arial"/>
        </w:rPr>
        <w:footnoteRef/>
      </w:r>
      <w:r w:rsidRPr="0019789C">
        <w:t xml:space="preserve"> [2020] CSOH 2.</w:t>
      </w:r>
    </w:p>
  </w:footnote>
  <w:footnote w:id="467">
    <w:p w14:paraId="54EDE83B" w14:textId="05F5A91B" w:rsidR="0019789C" w:rsidRPr="0019789C" w:rsidRDefault="0019789C" w:rsidP="001300A7">
      <w:pPr>
        <w:pStyle w:val="fntxt"/>
      </w:pPr>
      <w:r w:rsidRPr="0019789C">
        <w:rPr>
          <w:rStyle w:val="FootnoteReference"/>
          <w:rFonts w:cs="Arial"/>
        </w:rPr>
        <w:footnoteRef/>
      </w:r>
      <w:r w:rsidRPr="0019789C">
        <w:t xml:space="preserve"> ibid [18].</w:t>
      </w:r>
    </w:p>
  </w:footnote>
  <w:footnote w:id="468">
    <w:p w14:paraId="6CA098AC" w14:textId="0895342B" w:rsidR="0019789C" w:rsidRPr="0019789C" w:rsidRDefault="0019789C" w:rsidP="001300A7">
      <w:pPr>
        <w:pStyle w:val="fntxt"/>
      </w:pPr>
      <w:r w:rsidRPr="0019789C">
        <w:rPr>
          <w:rStyle w:val="FootnoteReference"/>
          <w:rFonts w:cs="Arial"/>
        </w:rPr>
        <w:footnoteRef/>
      </w:r>
      <w:r w:rsidRPr="0019789C">
        <w:t xml:space="preserve"> ibid.</w:t>
      </w:r>
    </w:p>
  </w:footnote>
  <w:footnote w:id="469">
    <w:p w14:paraId="7C827F1C" w14:textId="353B00DD" w:rsidR="0019789C" w:rsidRPr="0019789C" w:rsidRDefault="0019789C" w:rsidP="001300A7">
      <w:pPr>
        <w:pStyle w:val="fntxt"/>
      </w:pPr>
      <w:r w:rsidRPr="0019789C">
        <w:rPr>
          <w:rStyle w:val="FootnoteReference"/>
          <w:rFonts w:cs="Arial"/>
        </w:rPr>
        <w:footnoteRef/>
      </w:r>
      <w:r w:rsidRPr="0019789C">
        <w:t xml:space="preserve"> See eg </w:t>
      </w:r>
      <w:r w:rsidRPr="0019789C">
        <w:rPr>
          <w:i/>
        </w:rPr>
        <w:t>R (on the application of Crompton) v South Yorkshire Police and Crime Commissioner</w:t>
      </w:r>
      <w:r w:rsidRPr="0019789C">
        <w:t xml:space="preserve"> [2018] 1 WLR 131.</w:t>
      </w:r>
    </w:p>
  </w:footnote>
  <w:footnote w:id="470">
    <w:p w14:paraId="753566FA" w14:textId="7D2ECFF4" w:rsidR="0019789C" w:rsidRPr="0019789C" w:rsidRDefault="0019789C" w:rsidP="001300A7">
      <w:pPr>
        <w:pStyle w:val="fntxt"/>
      </w:pPr>
      <w:r w:rsidRPr="0019789C">
        <w:rPr>
          <w:rStyle w:val="FootnoteReference"/>
          <w:rFonts w:cs="Arial"/>
        </w:rPr>
        <w:footnoteRef/>
      </w:r>
      <w:r w:rsidRPr="0019789C">
        <w:t xml:space="preserve"> See above B1.1 (c) on enforcement.</w:t>
      </w:r>
    </w:p>
  </w:footnote>
  <w:footnote w:id="471">
    <w:p w14:paraId="1CBC8D91" w14:textId="77777777" w:rsidR="0019789C" w:rsidRPr="0019789C" w:rsidRDefault="0019789C" w:rsidP="001300A7">
      <w:pPr>
        <w:pStyle w:val="fntxt"/>
      </w:pPr>
      <w:r w:rsidRPr="0019789C">
        <w:rPr>
          <w:rStyle w:val="FootnoteReference"/>
          <w:rFonts w:cs="Arial"/>
        </w:rPr>
        <w:footnoteRef/>
      </w:r>
      <w:r w:rsidRPr="0019789C">
        <w:t xml:space="preserve"> Ministry of Justice, ‘Reform of Judicial Review: Proposals for the provision and use of financial information’ (July 2015) para 69. </w:t>
      </w:r>
    </w:p>
  </w:footnote>
  <w:footnote w:id="472">
    <w:p w14:paraId="088FBA30" w14:textId="75AD63F5" w:rsidR="0019789C" w:rsidRPr="0019789C" w:rsidRDefault="0019789C" w:rsidP="001300A7">
      <w:pPr>
        <w:pStyle w:val="fntxt"/>
      </w:pPr>
      <w:r w:rsidRPr="0019789C">
        <w:rPr>
          <w:rStyle w:val="FootnoteReference"/>
          <w:rFonts w:cs="Arial"/>
        </w:rPr>
        <w:footnoteRef/>
      </w:r>
      <w:r w:rsidRPr="0019789C">
        <w:t xml:space="preserve"> </w:t>
      </w:r>
      <w:r w:rsidRPr="0019789C">
        <w:rPr>
          <w:i/>
        </w:rPr>
        <w:t xml:space="preserve">Goodall </w:t>
      </w:r>
      <w:r w:rsidRPr="0019789C">
        <w:t xml:space="preserve">(n </w:t>
      </w:r>
      <w:r w:rsidRPr="0019789C">
        <w:fldChar w:fldCharType="begin"/>
      </w:r>
      <w:r w:rsidRPr="0019789C">
        <w:instrText xml:space="preserve"> NOTEREF _Ref30691399 \h  \* MERGEFORMAT </w:instrText>
      </w:r>
      <w:r w:rsidRPr="0019789C">
        <w:fldChar w:fldCharType="separate"/>
      </w:r>
      <w:r w:rsidR="00AD46EC">
        <w:t>436</w:t>
      </w:r>
      <w:r w:rsidRPr="0019789C">
        <w:fldChar w:fldCharType="end"/>
      </w:r>
      <w:r w:rsidRPr="0019789C">
        <w:t>) [70].</w:t>
      </w:r>
    </w:p>
  </w:footnote>
  <w:footnote w:id="473">
    <w:p w14:paraId="1BD3F28C" w14:textId="77777777" w:rsidR="0019789C" w:rsidRPr="0019789C" w:rsidRDefault="0019789C" w:rsidP="001300A7">
      <w:pPr>
        <w:pStyle w:val="fntxt"/>
      </w:pPr>
      <w:r w:rsidRPr="0019789C">
        <w:rPr>
          <w:rStyle w:val="FootnoteReference"/>
          <w:rFonts w:cs="Arial"/>
        </w:rPr>
        <w:footnoteRef/>
      </w:r>
      <w:r w:rsidRPr="0019789C">
        <w:t xml:space="preserve"> This language will soon change from ‘practicable and reasonable’ to ‘appropriate provision’.</w:t>
      </w:r>
    </w:p>
  </w:footnote>
  <w:footnote w:id="474">
    <w:p w14:paraId="2D0C9B55" w14:textId="77777777" w:rsidR="0019789C" w:rsidRPr="0019789C" w:rsidRDefault="0019789C" w:rsidP="001300A7">
      <w:pPr>
        <w:pStyle w:val="fntxt"/>
      </w:pPr>
      <w:r w:rsidRPr="0019789C">
        <w:rPr>
          <w:rStyle w:val="FootnoteReference"/>
          <w:rFonts w:cs="Arial"/>
        </w:rPr>
        <w:footnoteRef/>
      </w:r>
      <w:r w:rsidRPr="0019789C">
        <w:t xml:space="preserve"> Chronically Sick and Disabled Persons Act 1970, s 7(1).</w:t>
      </w:r>
    </w:p>
  </w:footnote>
  <w:footnote w:id="475">
    <w:p w14:paraId="57AFE7BD" w14:textId="77777777" w:rsidR="0019789C" w:rsidRPr="0019789C" w:rsidRDefault="0019789C" w:rsidP="001300A7">
      <w:pPr>
        <w:pStyle w:val="fntxt"/>
      </w:pPr>
      <w:r w:rsidRPr="0019789C">
        <w:rPr>
          <w:rStyle w:val="FootnoteReference"/>
          <w:rFonts w:cs="Arial"/>
        </w:rPr>
        <w:footnoteRef/>
      </w:r>
      <w:r w:rsidRPr="0019789C">
        <w:t xml:space="preserve"> Chronically Sick and Disabled Persons Act 1970, s 5(1).</w:t>
      </w:r>
    </w:p>
  </w:footnote>
  <w:footnote w:id="476">
    <w:p w14:paraId="125A3207" w14:textId="77777777" w:rsidR="0019789C" w:rsidRPr="0019789C" w:rsidRDefault="0019789C" w:rsidP="001300A7">
      <w:pPr>
        <w:pStyle w:val="fntxt"/>
      </w:pPr>
      <w:r w:rsidRPr="0019789C">
        <w:rPr>
          <w:rStyle w:val="FootnoteReference"/>
          <w:rFonts w:cs="Arial"/>
        </w:rPr>
        <w:footnoteRef/>
      </w:r>
      <w:r w:rsidRPr="0019789C">
        <w:t xml:space="preserve"> Chronically Sick and Disabled Persons Act 1970, s 5(2).</w:t>
      </w:r>
    </w:p>
  </w:footnote>
  <w:footnote w:id="477">
    <w:p w14:paraId="293DED64" w14:textId="77777777" w:rsidR="0019789C" w:rsidRPr="0019789C" w:rsidRDefault="0019789C" w:rsidP="001300A7">
      <w:pPr>
        <w:pStyle w:val="fntxt"/>
      </w:pPr>
      <w:r w:rsidRPr="0019789C">
        <w:rPr>
          <w:rStyle w:val="FootnoteReference"/>
          <w:rFonts w:cs="Arial"/>
        </w:rPr>
        <w:footnoteRef/>
      </w:r>
      <w:r w:rsidRPr="0019789C">
        <w:t xml:space="preserve"> See below C1.2 on breach of statutory duty.</w:t>
      </w:r>
    </w:p>
  </w:footnote>
  <w:footnote w:id="478">
    <w:p w14:paraId="47C8EDAB" w14:textId="77777777" w:rsidR="0019789C" w:rsidRPr="0019789C" w:rsidRDefault="0019789C" w:rsidP="001300A7">
      <w:pPr>
        <w:pStyle w:val="fntxt"/>
        <w:rPr>
          <w:b/>
        </w:rPr>
      </w:pPr>
      <w:r w:rsidRPr="0019789C">
        <w:rPr>
          <w:rStyle w:val="FootnoteReference"/>
          <w:rFonts w:cs="Arial"/>
        </w:rPr>
        <w:footnoteRef/>
      </w:r>
      <w:r w:rsidRPr="0019789C">
        <w:t xml:space="preserve"> See above B1.1 on the reasonable adjustment duty.</w:t>
      </w:r>
    </w:p>
  </w:footnote>
  <w:footnote w:id="479">
    <w:p w14:paraId="63F07A8B" w14:textId="1ECA988F"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 192.</w:t>
      </w:r>
    </w:p>
  </w:footnote>
  <w:footnote w:id="480">
    <w:p w14:paraId="34D7429C" w14:textId="30E3030D" w:rsidR="0019789C" w:rsidRPr="0019789C" w:rsidRDefault="0019789C" w:rsidP="001300A7">
      <w:pPr>
        <w:pStyle w:val="fntxt"/>
      </w:pPr>
      <w:r w:rsidRPr="0019789C">
        <w:rPr>
          <w:rStyle w:val="FootnoteReference"/>
          <w:rFonts w:cs="Arial"/>
        </w:rPr>
        <w:footnoteRef/>
      </w:r>
      <w:r w:rsidRPr="0019789C">
        <w:t xml:space="preserve"> House of Lords Select Committee on the Equality Act 2010 and Disability (n </w:t>
      </w:r>
      <w:r w:rsidRPr="0019789C">
        <w:fldChar w:fldCharType="begin"/>
      </w:r>
      <w:r w:rsidRPr="0019789C">
        <w:instrText xml:space="preserve"> NOTEREF _Ref39667842 \h  \* MERGEFORMAT </w:instrText>
      </w:r>
      <w:r w:rsidRPr="0019789C">
        <w:fldChar w:fldCharType="separate"/>
      </w:r>
      <w:r w:rsidR="00AD46EC">
        <w:t>104</w:t>
      </w:r>
      <w:r w:rsidRPr="0019789C">
        <w:fldChar w:fldCharType="end"/>
      </w:r>
      <w:r w:rsidRPr="0019789C">
        <w:t xml:space="preserve">) paras 182 and 201. </w:t>
      </w:r>
    </w:p>
  </w:footnote>
  <w:footnote w:id="481">
    <w:p w14:paraId="412329DF" w14:textId="101F1D13" w:rsidR="0019789C" w:rsidRPr="0019789C" w:rsidRDefault="0019789C" w:rsidP="001300A7">
      <w:pPr>
        <w:pStyle w:val="fntxt"/>
      </w:pPr>
      <w:r w:rsidRPr="0019789C">
        <w:rPr>
          <w:rStyle w:val="FootnoteReference"/>
          <w:rFonts w:cs="Arial"/>
        </w:rPr>
        <w:footnoteRef/>
      </w:r>
      <w:r w:rsidRPr="0019789C">
        <w:t xml:space="preserve"> ibid, para 205.</w:t>
      </w:r>
    </w:p>
  </w:footnote>
  <w:footnote w:id="482">
    <w:p w14:paraId="5F1E1688" w14:textId="5A7B3A44" w:rsidR="0019789C" w:rsidRPr="0019789C" w:rsidRDefault="0019789C" w:rsidP="001300A7">
      <w:pPr>
        <w:pStyle w:val="fntxt"/>
      </w:pPr>
      <w:r w:rsidRPr="0019789C">
        <w:rPr>
          <w:rStyle w:val="FootnoteReference"/>
          <w:rFonts w:cs="Arial"/>
        </w:rPr>
        <w:footnoteRef/>
      </w:r>
      <w:r w:rsidRPr="0019789C">
        <w:t xml:space="preserve">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 para 12.</w:t>
      </w:r>
    </w:p>
  </w:footnote>
  <w:footnote w:id="483">
    <w:p w14:paraId="7D0A299F" w14:textId="2CC4C1AC" w:rsidR="0019789C" w:rsidRPr="0019789C" w:rsidRDefault="0019789C" w:rsidP="001300A7">
      <w:pPr>
        <w:pStyle w:val="fntxt"/>
      </w:pPr>
      <w:r w:rsidRPr="0019789C">
        <w:rPr>
          <w:rStyle w:val="FootnoteReference"/>
          <w:rFonts w:cs="Arial"/>
        </w:rPr>
        <w:footnoteRef/>
      </w:r>
      <w:r w:rsidRPr="0019789C">
        <w:t xml:space="preserve"> House of Lords Select Committee on the Equality Act 2010 and Disability (n </w:t>
      </w:r>
      <w:r w:rsidRPr="0019789C">
        <w:fldChar w:fldCharType="begin"/>
      </w:r>
      <w:r w:rsidRPr="0019789C">
        <w:instrText xml:space="preserve"> NOTEREF _Ref39667842 \h  \* MERGEFORMAT </w:instrText>
      </w:r>
      <w:r w:rsidRPr="0019789C">
        <w:fldChar w:fldCharType="separate"/>
      </w:r>
      <w:r w:rsidR="00AD46EC">
        <w:t>104</w:t>
      </w:r>
      <w:r w:rsidRPr="0019789C">
        <w:fldChar w:fldCharType="end"/>
      </w:r>
      <w:r w:rsidRPr="0019789C">
        <w:t xml:space="preserve">) para 203. </w:t>
      </w:r>
    </w:p>
  </w:footnote>
  <w:footnote w:id="484">
    <w:p w14:paraId="09EBC242" w14:textId="71C17869" w:rsidR="0019789C" w:rsidRPr="0019789C" w:rsidRDefault="0019789C" w:rsidP="001300A7">
      <w:pPr>
        <w:pStyle w:val="fntxt"/>
      </w:pPr>
      <w:r w:rsidRPr="0019789C">
        <w:rPr>
          <w:rStyle w:val="FootnoteReference"/>
          <w:rFonts w:cs="Arial"/>
        </w:rPr>
        <w:footnoteRef/>
      </w:r>
      <w:r w:rsidRPr="0019789C">
        <w:t xml:space="preserve"> ibid, paras 198 and 208; The Mental Health Foundation – Written Evidence (EQD0030). </w:t>
      </w:r>
    </w:p>
  </w:footnote>
  <w:footnote w:id="485">
    <w:p w14:paraId="34881D71" w14:textId="657EDCD6" w:rsidR="0019789C" w:rsidRPr="0019789C" w:rsidRDefault="0019789C" w:rsidP="001300A7">
      <w:pPr>
        <w:pStyle w:val="fntxt"/>
      </w:pPr>
      <w:r w:rsidRPr="0019789C">
        <w:rPr>
          <w:rStyle w:val="FootnoteReference"/>
          <w:rFonts w:cs="Arial"/>
        </w:rPr>
        <w:footnoteRef/>
      </w:r>
      <w:r w:rsidRPr="0019789C">
        <w:t xml:space="preserve"> ibid, paras 198 and 208; Mind – Written Evidence (EQD0147).</w:t>
      </w:r>
    </w:p>
  </w:footnote>
  <w:footnote w:id="486">
    <w:p w14:paraId="2C0B7592" w14:textId="1A27DE5B" w:rsidR="0019789C" w:rsidRPr="0019789C" w:rsidRDefault="0019789C" w:rsidP="001300A7">
      <w:pPr>
        <w:pStyle w:val="fntxt"/>
      </w:pPr>
      <w:r w:rsidRPr="0019789C">
        <w:rPr>
          <w:rStyle w:val="FootnoteReference"/>
          <w:rFonts w:cs="Arial"/>
        </w:rPr>
        <w:footnoteRef/>
      </w:r>
      <w:r w:rsidRPr="0019789C">
        <w:t xml:space="preserve">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para 12.</w:t>
      </w:r>
    </w:p>
  </w:footnote>
  <w:footnote w:id="487">
    <w:p w14:paraId="4EAA1EF5" w14:textId="77777777" w:rsidR="0019789C" w:rsidRPr="0019789C" w:rsidRDefault="0019789C" w:rsidP="001300A7">
      <w:pPr>
        <w:pStyle w:val="fntxt"/>
      </w:pPr>
      <w:r w:rsidRPr="0019789C">
        <w:rPr>
          <w:rStyle w:val="FootnoteReference"/>
          <w:rFonts w:cs="Arial"/>
        </w:rPr>
        <w:footnoteRef/>
      </w:r>
      <w:r w:rsidRPr="0019789C">
        <w:t xml:space="preserve"> See above B1.1 (c) and B2.1 (c) on enforcement.</w:t>
      </w:r>
    </w:p>
  </w:footnote>
  <w:footnote w:id="488">
    <w:p w14:paraId="4C2022DE" w14:textId="77DD779A" w:rsidR="0019789C" w:rsidRPr="0019789C" w:rsidRDefault="0019789C" w:rsidP="001300A7">
      <w:pPr>
        <w:pStyle w:val="fntxt"/>
      </w:pPr>
      <w:r w:rsidRPr="0019789C">
        <w:rPr>
          <w:rStyle w:val="FootnoteReference"/>
          <w:rFonts w:cs="Arial"/>
        </w:rPr>
        <w:footnoteRef/>
      </w:r>
      <w:r w:rsidRPr="0019789C">
        <w:t xml:space="preserve">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 paras 181-82.</w:t>
      </w:r>
    </w:p>
  </w:footnote>
  <w:footnote w:id="489">
    <w:p w14:paraId="6D3602E0" w14:textId="79D93439" w:rsidR="0019789C" w:rsidRPr="0019789C" w:rsidRDefault="0019789C" w:rsidP="001300A7">
      <w:pPr>
        <w:pStyle w:val="fntxt"/>
      </w:pPr>
      <w:r w:rsidRPr="0019789C">
        <w:rPr>
          <w:rStyle w:val="FootnoteReference"/>
          <w:rFonts w:cs="Arial"/>
        </w:rPr>
        <w:footnoteRef/>
      </w:r>
      <w:r w:rsidRPr="0019789C">
        <w:t xml:space="preserve"> ibid.</w:t>
      </w:r>
    </w:p>
  </w:footnote>
  <w:footnote w:id="490">
    <w:p w14:paraId="00B8481D" w14:textId="77777777" w:rsidR="0019789C" w:rsidRPr="0019789C" w:rsidRDefault="0019789C" w:rsidP="001300A7">
      <w:pPr>
        <w:pStyle w:val="fntxt"/>
      </w:pPr>
      <w:r w:rsidRPr="0019789C">
        <w:rPr>
          <w:rStyle w:val="FootnoteReference"/>
          <w:rFonts w:cs="Arial"/>
        </w:rPr>
        <w:footnoteRef/>
      </w:r>
      <w:r w:rsidRPr="0019789C">
        <w:rPr>
          <w:i/>
        </w:rPr>
        <w:t xml:space="preserve"> </w:t>
      </w:r>
      <w:r w:rsidRPr="0019789C">
        <w:t>[1843-60] All ER Rep 478, 479.</w:t>
      </w:r>
    </w:p>
  </w:footnote>
  <w:footnote w:id="491">
    <w:p w14:paraId="16570FEE" w14:textId="74628E16" w:rsidR="0019789C" w:rsidRPr="0019789C" w:rsidRDefault="0019789C" w:rsidP="001300A7">
      <w:pPr>
        <w:pStyle w:val="fntxt"/>
        <w:rPr>
          <w:lang w:val="en-US"/>
        </w:rPr>
      </w:pPr>
      <w:r w:rsidRPr="0019789C">
        <w:rPr>
          <w:rStyle w:val="FootnoteReference"/>
        </w:rPr>
        <w:footnoteRef/>
      </w:r>
      <w:r w:rsidRPr="0019789C">
        <w:t xml:space="preserve"> [1990] 2 AC 605.</w:t>
      </w:r>
    </w:p>
  </w:footnote>
  <w:footnote w:id="492">
    <w:p w14:paraId="38B32507" w14:textId="355DDCAD"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i w:val="0"/>
          <w:iCs/>
        </w:rPr>
        <w:t>ibid 617-18 (Lord Bridge of Harwich).</w:t>
      </w:r>
    </w:p>
  </w:footnote>
  <w:footnote w:id="493">
    <w:p w14:paraId="4BA042A1" w14:textId="6B3D8905"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Robinson v Chief Constable of West Yorkshire Police</w:t>
      </w:r>
      <w:r w:rsidRPr="0019789C">
        <w:t xml:space="preserve"> [2018] AC 736, 746 (Lord Reed); see also </w:t>
      </w:r>
      <w:r w:rsidRPr="0019789C">
        <w:rPr>
          <w:rStyle w:val="fncaseChar"/>
          <w:rFonts w:cs="Arial"/>
        </w:rPr>
        <w:t xml:space="preserve">Darnley v Croydon NHS Trust </w:t>
      </w:r>
      <w:r w:rsidRPr="0019789C">
        <w:t>[2018] AC 831, 838-39 (Lord Lloyd-Jones).</w:t>
      </w:r>
    </w:p>
  </w:footnote>
  <w:footnote w:id="494">
    <w:p w14:paraId="5E28EB8F" w14:textId="77777777" w:rsidR="0019789C" w:rsidRPr="0019789C" w:rsidRDefault="0019789C" w:rsidP="001300A7">
      <w:pPr>
        <w:pStyle w:val="fntxt"/>
      </w:pPr>
      <w:r w:rsidRPr="0019789C">
        <w:rPr>
          <w:rStyle w:val="FootnoteReference"/>
          <w:rFonts w:cs="Arial"/>
        </w:rPr>
        <w:footnoteRef/>
      </w:r>
      <w:r w:rsidRPr="0019789C">
        <w:t xml:space="preserve"> [1977] QB 859.</w:t>
      </w:r>
    </w:p>
  </w:footnote>
  <w:footnote w:id="495">
    <w:p w14:paraId="0D369F6F" w14:textId="35FAB7F9" w:rsidR="0019789C" w:rsidRPr="0019789C" w:rsidRDefault="0019789C" w:rsidP="001300A7">
      <w:pPr>
        <w:pStyle w:val="fntxt"/>
      </w:pPr>
      <w:r w:rsidRPr="0019789C">
        <w:rPr>
          <w:rStyle w:val="FootnoteReference"/>
        </w:rPr>
        <w:footnoteRef/>
      </w:r>
      <w:r w:rsidRPr="0019789C">
        <w:t xml:space="preserve"> </w:t>
      </w:r>
      <w:r w:rsidRPr="0019789C">
        <w:rPr>
          <w:rStyle w:val="fncaseChar"/>
          <w:rFonts w:cs="Arial"/>
        </w:rPr>
        <w:t>Robinson</w:t>
      </w:r>
      <w:r w:rsidRPr="0019789C">
        <w:t xml:space="preserve"> (n </w:t>
      </w:r>
      <w:r w:rsidRPr="0019789C">
        <w:fldChar w:fldCharType="begin"/>
      </w:r>
      <w:r w:rsidRPr="0019789C">
        <w:instrText xml:space="preserve"> NOTEREF _Ref32914378 \h  \* MERGEFORMAT </w:instrText>
      </w:r>
      <w:r w:rsidRPr="0019789C">
        <w:fldChar w:fldCharType="separate"/>
      </w:r>
      <w:r w:rsidR="00AD46EC">
        <w:t>493</w:t>
      </w:r>
      <w:r w:rsidRPr="0019789C">
        <w:fldChar w:fldCharType="end"/>
      </w:r>
      <w:r w:rsidRPr="0019789C">
        <w:t>) 746 (Lord Reed).</w:t>
      </w:r>
    </w:p>
  </w:footnote>
  <w:footnote w:id="496">
    <w:p w14:paraId="08DC01A0" w14:textId="0D40525D"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Robinson </w:t>
      </w:r>
      <w:r w:rsidRPr="0019789C">
        <w:t xml:space="preserve">(n </w:t>
      </w:r>
      <w:r w:rsidRPr="0019789C">
        <w:fldChar w:fldCharType="begin"/>
      </w:r>
      <w:r w:rsidRPr="0019789C">
        <w:instrText xml:space="preserve"> NOTEREF _Ref32914378 \h  \* MERGEFORMAT </w:instrText>
      </w:r>
      <w:r w:rsidRPr="0019789C">
        <w:fldChar w:fldCharType="separate"/>
      </w:r>
      <w:r w:rsidR="00AD46EC">
        <w:t>493</w:t>
      </w:r>
      <w:r w:rsidRPr="0019789C">
        <w:fldChar w:fldCharType="end"/>
      </w:r>
      <w:r w:rsidRPr="0019789C">
        <w:t>)</w:t>
      </w:r>
      <w:r w:rsidRPr="0019789C">
        <w:rPr>
          <w:rStyle w:val="fncaseChar"/>
          <w:rFonts w:cs="Arial"/>
        </w:rPr>
        <w:t xml:space="preserve"> </w:t>
      </w:r>
      <w:r w:rsidRPr="0019789C">
        <w:t xml:space="preserve">744-47 (Lord Reed); </w:t>
      </w:r>
      <w:r w:rsidRPr="0019789C">
        <w:rPr>
          <w:rStyle w:val="fncaseChar"/>
          <w:rFonts w:cs="Arial"/>
        </w:rPr>
        <w:t>James-Bowen v Commissioner of Police for the Metropolis</w:t>
      </w:r>
      <w:r w:rsidRPr="0019789C">
        <w:t xml:space="preserve"> [2018] UKSC 40 [23] (Lord Lloyd-Jones); see also</w:t>
      </w:r>
      <w:r w:rsidRPr="0019789C">
        <w:rPr>
          <w:rStyle w:val="fncaseChar"/>
          <w:rFonts w:cs="Arial"/>
        </w:rPr>
        <w:t xml:space="preserve"> Michael v Chief Constable of South Wales</w:t>
      </w:r>
      <w:r w:rsidRPr="0019789C">
        <w:t xml:space="preserve"> [2015] UKSC 2; and</w:t>
      </w:r>
      <w:r w:rsidRPr="0019789C">
        <w:rPr>
          <w:rStyle w:val="fncaseChar"/>
          <w:rFonts w:cs="Arial"/>
        </w:rPr>
        <w:t xml:space="preserve"> Darnley</w:t>
      </w:r>
      <w:r w:rsidRPr="0019789C">
        <w:t xml:space="preserve"> (n </w:t>
      </w:r>
      <w:r w:rsidRPr="0019789C">
        <w:fldChar w:fldCharType="begin"/>
      </w:r>
      <w:r w:rsidRPr="0019789C">
        <w:instrText xml:space="preserve"> NOTEREF _Ref32914378 \h  \* MERGEFORMAT </w:instrText>
      </w:r>
      <w:r w:rsidRPr="0019789C">
        <w:fldChar w:fldCharType="separate"/>
      </w:r>
      <w:r w:rsidR="00AD46EC">
        <w:t>493</w:t>
      </w:r>
      <w:r w:rsidRPr="0019789C">
        <w:fldChar w:fldCharType="end"/>
      </w:r>
      <w:r w:rsidRPr="0019789C">
        <w:t>).</w:t>
      </w:r>
    </w:p>
  </w:footnote>
  <w:footnote w:id="497">
    <w:p w14:paraId="7B36F984" w14:textId="77777777" w:rsidR="0019789C" w:rsidRPr="0019789C" w:rsidRDefault="0019789C" w:rsidP="001300A7">
      <w:pPr>
        <w:pStyle w:val="fntxt"/>
      </w:pPr>
      <w:r w:rsidRPr="0019789C">
        <w:rPr>
          <w:rStyle w:val="FootnoteReference"/>
          <w:rFonts w:cs="Arial"/>
        </w:rPr>
        <w:footnoteRef/>
      </w:r>
      <w:r w:rsidRPr="0019789C">
        <w:t xml:space="preserve"> See below C1.2 on breach of statutory duty.</w:t>
      </w:r>
    </w:p>
  </w:footnote>
  <w:footnote w:id="498">
    <w:p w14:paraId="070F251B" w14:textId="77777777" w:rsidR="0019789C" w:rsidRPr="0019789C" w:rsidRDefault="0019789C" w:rsidP="001300A7">
      <w:pPr>
        <w:pStyle w:val="fntxt"/>
      </w:pPr>
      <w:r w:rsidRPr="0019789C">
        <w:rPr>
          <w:rStyle w:val="FootnoteReference"/>
          <w:rFonts w:cs="Arial"/>
        </w:rPr>
        <w:footnoteRef/>
      </w:r>
      <w:r w:rsidRPr="0019789C">
        <w:t xml:space="preserve"> [1920] SC 590, [1920] 2 SLT 51.</w:t>
      </w:r>
    </w:p>
  </w:footnote>
  <w:footnote w:id="499">
    <w:p w14:paraId="6B0F42DD" w14:textId="77777777" w:rsidR="0019789C" w:rsidRPr="0019789C" w:rsidRDefault="0019789C" w:rsidP="001300A7">
      <w:pPr>
        <w:pStyle w:val="fntxt"/>
      </w:pPr>
      <w:r w:rsidRPr="0019789C">
        <w:rPr>
          <w:rStyle w:val="FootnoteReference"/>
          <w:rFonts w:cs="Arial"/>
        </w:rPr>
        <w:footnoteRef/>
      </w:r>
      <w:r w:rsidRPr="0019789C">
        <w:t xml:space="preserve"> ibid 591.</w:t>
      </w:r>
    </w:p>
  </w:footnote>
  <w:footnote w:id="500">
    <w:p w14:paraId="4385121E" w14:textId="77777777" w:rsidR="0019789C" w:rsidRPr="0019789C" w:rsidRDefault="0019789C" w:rsidP="001300A7">
      <w:pPr>
        <w:pStyle w:val="fntxt"/>
      </w:pPr>
      <w:r w:rsidRPr="0019789C">
        <w:rPr>
          <w:rStyle w:val="FootnoteReference"/>
          <w:rFonts w:cs="Arial"/>
        </w:rPr>
        <w:footnoteRef/>
      </w:r>
      <w:r w:rsidRPr="0019789C">
        <w:t xml:space="preserve"> ibid 592.</w:t>
      </w:r>
    </w:p>
  </w:footnote>
  <w:footnote w:id="501">
    <w:p w14:paraId="6314F039" w14:textId="77777777" w:rsidR="0019789C" w:rsidRPr="0019789C" w:rsidRDefault="0019789C" w:rsidP="001300A7">
      <w:pPr>
        <w:pStyle w:val="fntxt"/>
      </w:pPr>
      <w:r w:rsidRPr="0019789C">
        <w:rPr>
          <w:rStyle w:val="FootnoteReference"/>
          <w:rFonts w:cs="Arial"/>
        </w:rPr>
        <w:footnoteRef/>
      </w:r>
      <w:r w:rsidRPr="0019789C">
        <w:t xml:space="preserve"> ibid 593-95.</w:t>
      </w:r>
    </w:p>
  </w:footnote>
  <w:footnote w:id="502">
    <w:p w14:paraId="3550A70E" w14:textId="77777777" w:rsidR="0019789C" w:rsidRPr="0019789C" w:rsidRDefault="0019789C" w:rsidP="001300A7">
      <w:pPr>
        <w:pStyle w:val="fntxt"/>
      </w:pPr>
      <w:r w:rsidRPr="0019789C">
        <w:rPr>
          <w:rStyle w:val="FootnoteReference"/>
          <w:rFonts w:cs="Arial"/>
        </w:rPr>
        <w:footnoteRef/>
      </w:r>
      <w:r w:rsidRPr="0019789C">
        <w:t xml:space="preserve"> See ibid 592-93, arguing that ‘[t]he duty of a public authority to persons using the streets was discharged when ordinary and reasonable precautions had been taken for the safety of the normal or average person’ and drawing an analogy in contributory negligence between a five-year-old boy and ‘a person of defective vision’.</w:t>
      </w:r>
    </w:p>
  </w:footnote>
  <w:footnote w:id="503">
    <w:p w14:paraId="72259096" w14:textId="77777777" w:rsidR="0019789C" w:rsidRPr="0019789C" w:rsidRDefault="0019789C" w:rsidP="001300A7">
      <w:pPr>
        <w:pStyle w:val="fntxt"/>
      </w:pPr>
      <w:r w:rsidRPr="0019789C">
        <w:rPr>
          <w:rStyle w:val="FootnoteReference"/>
          <w:rFonts w:cs="Arial"/>
        </w:rPr>
        <w:footnoteRef/>
      </w:r>
      <w:r w:rsidRPr="0019789C">
        <w:t xml:space="preserve"> ibid 594.</w:t>
      </w:r>
    </w:p>
  </w:footnote>
  <w:footnote w:id="504">
    <w:p w14:paraId="2628B5CB" w14:textId="77777777" w:rsidR="0019789C" w:rsidRPr="0019789C" w:rsidRDefault="0019789C" w:rsidP="001300A7">
      <w:pPr>
        <w:pStyle w:val="fntxt"/>
      </w:pPr>
      <w:r w:rsidRPr="0019789C">
        <w:rPr>
          <w:rStyle w:val="FootnoteReference"/>
          <w:rFonts w:cs="Arial"/>
        </w:rPr>
        <w:footnoteRef/>
      </w:r>
      <w:r w:rsidRPr="0019789C">
        <w:t xml:space="preserve"> [1950] 114 JP 370, [1950] 94 Sol Jo 404.</w:t>
      </w:r>
    </w:p>
  </w:footnote>
  <w:footnote w:id="505">
    <w:p w14:paraId="02D2E46C"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506">
    <w:p w14:paraId="6F91B522"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507">
    <w:p w14:paraId="43DED882" w14:textId="77777777"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bidi="en-US"/>
        </w:rPr>
        <w:t>1965] AC 778.</w:t>
      </w:r>
    </w:p>
  </w:footnote>
  <w:footnote w:id="508">
    <w:p w14:paraId="5724C712" w14:textId="77777777" w:rsidR="0019789C" w:rsidRPr="0019789C" w:rsidRDefault="0019789C" w:rsidP="001300A7">
      <w:pPr>
        <w:pStyle w:val="fntxt"/>
      </w:pPr>
      <w:r w:rsidRPr="0019789C">
        <w:rPr>
          <w:rStyle w:val="FootnoteReference"/>
          <w:rFonts w:cs="Arial"/>
        </w:rPr>
        <w:footnoteRef/>
      </w:r>
      <w:r w:rsidRPr="0019789C">
        <w:t xml:space="preserve"> ibid 779.</w:t>
      </w:r>
    </w:p>
  </w:footnote>
  <w:footnote w:id="509">
    <w:p w14:paraId="38F5E132" w14:textId="77777777" w:rsidR="0019789C" w:rsidRPr="0019789C" w:rsidRDefault="0019789C" w:rsidP="001300A7">
      <w:pPr>
        <w:pStyle w:val="fntxt"/>
      </w:pPr>
      <w:r w:rsidRPr="0019789C">
        <w:rPr>
          <w:rStyle w:val="FootnoteReference"/>
          <w:rFonts w:cs="Arial"/>
        </w:rPr>
        <w:footnoteRef/>
      </w:r>
      <w:r w:rsidRPr="0019789C">
        <w:t xml:space="preserve"> ibid 808 and 809: ‘There is … no authority except </w:t>
      </w:r>
      <w:r w:rsidRPr="0019789C">
        <w:rPr>
          <w:i/>
        </w:rPr>
        <w:t>Pritchard's case</w:t>
      </w:r>
      <w:r w:rsidRPr="0019789C">
        <w:t xml:space="preserve"> which would compel one to take the view that the obligation of those responsible for the safety of foot pavements is restricted to those persons who have normal sight. In my view, they must have regard to all road users, which include the blind and other persons.’ </w:t>
      </w:r>
    </w:p>
  </w:footnote>
  <w:footnote w:id="510">
    <w:p w14:paraId="4BCD04F8" w14:textId="77777777" w:rsidR="0019789C" w:rsidRPr="0019789C" w:rsidRDefault="0019789C" w:rsidP="001300A7">
      <w:pPr>
        <w:pStyle w:val="fntxt"/>
      </w:pPr>
      <w:r w:rsidRPr="0019789C">
        <w:rPr>
          <w:rStyle w:val="FootnoteReference"/>
          <w:rFonts w:cs="Arial"/>
        </w:rPr>
        <w:footnoteRef/>
      </w:r>
      <w:r w:rsidRPr="0019789C">
        <w:t xml:space="preserve"> ibid 791.</w:t>
      </w:r>
    </w:p>
  </w:footnote>
  <w:footnote w:id="511">
    <w:p w14:paraId="134474B7" w14:textId="77777777" w:rsidR="0019789C" w:rsidRPr="0019789C" w:rsidRDefault="0019789C" w:rsidP="001300A7">
      <w:pPr>
        <w:pStyle w:val="fntxt"/>
      </w:pPr>
      <w:r w:rsidRPr="0019789C">
        <w:rPr>
          <w:rStyle w:val="FootnoteReference"/>
          <w:rFonts w:cs="Arial"/>
        </w:rPr>
        <w:footnoteRef/>
      </w:r>
      <w:r w:rsidRPr="0019789C">
        <w:t xml:space="preserve"> ibid 793-95, 803-06, and 808-10.</w:t>
      </w:r>
    </w:p>
  </w:footnote>
  <w:footnote w:id="512">
    <w:p w14:paraId="443E430F"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Blyth v Birmingham Waterworks Co</w:t>
      </w:r>
      <w:r w:rsidRPr="0019789C">
        <w:t xml:space="preserve"> [1843-60] All ER Rep 478, 479.</w:t>
      </w:r>
    </w:p>
  </w:footnote>
  <w:footnote w:id="513">
    <w:p w14:paraId="239F613B"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Bolton v Stone </w:t>
      </w:r>
      <w:r w:rsidRPr="0019789C">
        <w:t>[1951] AC 850.</w:t>
      </w:r>
    </w:p>
  </w:footnote>
  <w:footnote w:id="514">
    <w:p w14:paraId="3461D28D"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Glasgow Corporation v Muir </w:t>
      </w:r>
      <w:r w:rsidRPr="0019789C">
        <w:t>[1943] AC 448, 457.</w:t>
      </w:r>
    </w:p>
  </w:footnote>
  <w:footnote w:id="515">
    <w:p w14:paraId="27D734F4"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Nettleship v Weston </w:t>
      </w:r>
      <w:r w:rsidRPr="0019789C">
        <w:t>[1971] 2 QB 691, 704-05.</w:t>
      </w:r>
    </w:p>
  </w:footnote>
  <w:footnote w:id="516">
    <w:p w14:paraId="0617444B"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Mullin v Richards</w:t>
      </w:r>
      <w:r w:rsidRPr="0019789C">
        <w:t xml:space="preserve"> [1998] 1 All ER 920.</w:t>
      </w:r>
    </w:p>
  </w:footnote>
  <w:footnote w:id="517">
    <w:p w14:paraId="45A3A7F2" w14:textId="77777777" w:rsidR="0019789C" w:rsidRPr="0019789C" w:rsidRDefault="0019789C" w:rsidP="001300A7">
      <w:pPr>
        <w:pStyle w:val="fntxt"/>
      </w:pPr>
      <w:r w:rsidRPr="0019789C">
        <w:rPr>
          <w:rStyle w:val="FootnoteReference"/>
          <w:rFonts w:cs="Arial"/>
        </w:rPr>
        <w:footnoteRef/>
      </w:r>
      <w:r w:rsidRPr="0019789C">
        <w:t xml:space="preserve"> See eg Social Action, Responsibility and Heroism Act 2015.</w:t>
      </w:r>
    </w:p>
  </w:footnote>
  <w:footnote w:id="518">
    <w:p w14:paraId="326EB952"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Dunnage v Randall</w:t>
      </w:r>
      <w:r w:rsidRPr="0019789C">
        <w:t xml:space="preserve"> [2015] EWCA Civ 673; M Orchard, ‘Liability in negligence of the mentally ill: A comment on </w:t>
      </w:r>
      <w:r w:rsidRPr="0019789C">
        <w:rPr>
          <w:rStyle w:val="fncaseChar"/>
          <w:rFonts w:cs="Arial"/>
        </w:rPr>
        <w:t>Dunnage v Randall</w:t>
      </w:r>
      <w:r w:rsidRPr="0019789C">
        <w:t>’ (2016) 45(4) Common Law World Review 366.</w:t>
      </w:r>
    </w:p>
  </w:footnote>
  <w:footnote w:id="519">
    <w:p w14:paraId="58F83BC4" w14:textId="341AECA2" w:rsidR="0019789C" w:rsidRPr="0019789C" w:rsidRDefault="0019789C" w:rsidP="001300A7">
      <w:pPr>
        <w:pStyle w:val="fntxt"/>
        <w:rPr>
          <w:lang w:val="en-US"/>
        </w:rPr>
      </w:pPr>
      <w:r w:rsidRPr="0019789C">
        <w:rPr>
          <w:rStyle w:val="FootnoteReference"/>
        </w:rPr>
        <w:footnoteRef/>
      </w:r>
      <w:r w:rsidRPr="0019789C">
        <w:t xml:space="preserve"> [1998] 1 WLR 1263.</w:t>
      </w:r>
    </w:p>
  </w:footnote>
  <w:footnote w:id="520">
    <w:p w14:paraId="5CC8406D" w14:textId="46F6CFDE" w:rsidR="0019789C" w:rsidRPr="0019789C" w:rsidRDefault="0019789C" w:rsidP="001300A7">
      <w:pPr>
        <w:pStyle w:val="fntxt"/>
      </w:pPr>
      <w:r w:rsidRPr="0019789C">
        <w:rPr>
          <w:rStyle w:val="FootnoteReference"/>
          <w:rFonts w:cs="Arial"/>
        </w:rPr>
        <w:footnoteRef/>
      </w:r>
      <w:r w:rsidRPr="0019789C">
        <w:rPr>
          <w:iCs/>
        </w:rPr>
        <w:t xml:space="preserve"> </w:t>
      </w:r>
      <w:r w:rsidRPr="0019789C">
        <w:rPr>
          <w:rStyle w:val="fncaseChar"/>
          <w:rFonts w:cs="Arial"/>
          <w:i w:val="0"/>
        </w:rPr>
        <w:t>ibid</w:t>
      </w:r>
      <w:r w:rsidRPr="0019789C">
        <w:t xml:space="preserve"> 1268.</w:t>
      </w:r>
    </w:p>
  </w:footnote>
  <w:footnote w:id="521">
    <w:p w14:paraId="7846E489" w14:textId="7D842C8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Jolley v Sutton LBC</w:t>
      </w:r>
      <w:r w:rsidRPr="0019789C">
        <w:rPr>
          <w:i/>
        </w:rPr>
        <w:t xml:space="preserve"> </w:t>
      </w:r>
      <w:r w:rsidRPr="0019789C">
        <w:t xml:space="preserve">[2000] 1 WLR 1082, 1091; see also </w:t>
      </w:r>
      <w:r w:rsidRPr="0019789C">
        <w:rPr>
          <w:rStyle w:val="fncaseChar"/>
          <w:rFonts w:cs="Arial"/>
        </w:rPr>
        <w:t>Bolton</w:t>
      </w:r>
      <w:r w:rsidRPr="0019789C">
        <w:rPr>
          <w:rStyle w:val="fncaseChar"/>
          <w:rFonts w:cs="Arial"/>
          <w:i w:val="0"/>
          <w:iCs/>
        </w:rPr>
        <w:t xml:space="preserve"> (n </w:t>
      </w:r>
      <w:r w:rsidRPr="0019789C">
        <w:rPr>
          <w:rStyle w:val="fncaseChar"/>
          <w:rFonts w:cs="Arial"/>
          <w:i w:val="0"/>
          <w:iCs/>
        </w:rPr>
        <w:fldChar w:fldCharType="begin"/>
      </w:r>
      <w:r w:rsidRPr="0019789C">
        <w:rPr>
          <w:rStyle w:val="fncaseChar"/>
          <w:rFonts w:cs="Arial"/>
          <w:i w:val="0"/>
          <w:iCs/>
        </w:rPr>
        <w:instrText xml:space="preserve"> NOTEREF _Ref94099700 \h </w:instrText>
      </w:r>
      <w:r>
        <w:rPr>
          <w:rStyle w:val="fncaseChar"/>
          <w:rFonts w:cs="Arial"/>
          <w:i w:val="0"/>
          <w:iCs/>
        </w:rPr>
        <w:instrText xml:space="preserve"> \* MERGEFORMAT </w:instrText>
      </w:r>
      <w:r w:rsidRPr="0019789C">
        <w:rPr>
          <w:rStyle w:val="fncaseChar"/>
          <w:rFonts w:cs="Arial"/>
          <w:i w:val="0"/>
          <w:iCs/>
        </w:rPr>
      </w:r>
      <w:r w:rsidRPr="0019789C">
        <w:rPr>
          <w:rStyle w:val="fncaseChar"/>
          <w:rFonts w:cs="Arial"/>
          <w:i w:val="0"/>
          <w:iCs/>
        </w:rPr>
        <w:fldChar w:fldCharType="separate"/>
      </w:r>
      <w:r w:rsidR="00AD46EC">
        <w:rPr>
          <w:rStyle w:val="fncaseChar"/>
          <w:rFonts w:cs="Arial"/>
          <w:i w:val="0"/>
          <w:iCs/>
        </w:rPr>
        <w:t>513</w:t>
      </w:r>
      <w:r w:rsidRPr="0019789C">
        <w:rPr>
          <w:rStyle w:val="fncaseChar"/>
          <w:rFonts w:cs="Arial"/>
          <w:i w:val="0"/>
          <w:iCs/>
        </w:rPr>
        <w:fldChar w:fldCharType="end"/>
      </w:r>
      <w:r w:rsidRPr="0019789C">
        <w:rPr>
          <w:rStyle w:val="fncaseChar"/>
          <w:rFonts w:cs="Arial"/>
          <w:i w:val="0"/>
          <w:iCs/>
        </w:rPr>
        <w:t>)</w:t>
      </w:r>
      <w:r w:rsidRPr="0019789C">
        <w:t>.</w:t>
      </w:r>
    </w:p>
  </w:footnote>
  <w:footnote w:id="522">
    <w:p w14:paraId="52BA4FFC" w14:textId="77777777" w:rsidR="0019789C" w:rsidRPr="0019789C" w:rsidRDefault="0019789C" w:rsidP="001300A7">
      <w:pPr>
        <w:pStyle w:val="fntxt"/>
      </w:pPr>
      <w:r w:rsidRPr="0019789C">
        <w:rPr>
          <w:rStyle w:val="FootnoteReference"/>
          <w:rFonts w:cs="Arial"/>
        </w:rPr>
        <w:footnoteRef/>
      </w:r>
      <w:r w:rsidRPr="0019789C">
        <w:t xml:space="preserve"> ‘The law expects of a man a great deal more care in carrying a pound of dynamite than a pound of butter’:</w:t>
      </w:r>
      <w:r w:rsidRPr="0019789C">
        <w:rPr>
          <w:rStyle w:val="fncaseChar"/>
          <w:rFonts w:cs="Arial"/>
        </w:rPr>
        <w:t xml:space="preserve"> Beckett v Newalls Insulation Co Ltd </w:t>
      </w:r>
      <w:r w:rsidRPr="0019789C">
        <w:t xml:space="preserve">[1953] 1 All ER 250, 255; see also </w:t>
      </w:r>
      <w:r w:rsidRPr="0019789C">
        <w:rPr>
          <w:rStyle w:val="fncaseChar"/>
          <w:rFonts w:cs="Arial"/>
        </w:rPr>
        <w:t>Paris v Stepney Borough Council</w:t>
      </w:r>
      <w:r w:rsidRPr="0019789C">
        <w:t xml:space="preserve"> [1951] AC 367.</w:t>
      </w:r>
    </w:p>
  </w:footnote>
  <w:footnote w:id="523">
    <w:p w14:paraId="509B45E5" w14:textId="5C49A552"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Bolton </w:t>
      </w:r>
      <w:r w:rsidRPr="0019789C">
        <w:rPr>
          <w:rStyle w:val="fncaseChar"/>
          <w:rFonts w:cs="Arial"/>
          <w:i w:val="0"/>
          <w:iCs/>
        </w:rPr>
        <w:t xml:space="preserve">(n </w:t>
      </w:r>
      <w:r w:rsidRPr="0019789C">
        <w:rPr>
          <w:rStyle w:val="fncaseChar"/>
          <w:rFonts w:cs="Arial"/>
          <w:i w:val="0"/>
          <w:iCs/>
        </w:rPr>
        <w:fldChar w:fldCharType="begin"/>
      </w:r>
      <w:r w:rsidRPr="0019789C">
        <w:rPr>
          <w:rStyle w:val="fncaseChar"/>
          <w:rFonts w:cs="Arial"/>
          <w:i w:val="0"/>
          <w:iCs/>
        </w:rPr>
        <w:instrText xml:space="preserve"> NOTEREF _Ref94099700 \h </w:instrText>
      </w:r>
      <w:r>
        <w:rPr>
          <w:rStyle w:val="fncaseChar"/>
          <w:rFonts w:cs="Arial"/>
          <w:i w:val="0"/>
          <w:iCs/>
        </w:rPr>
        <w:instrText xml:space="preserve"> \* MERGEFORMAT </w:instrText>
      </w:r>
      <w:r w:rsidRPr="0019789C">
        <w:rPr>
          <w:rStyle w:val="fncaseChar"/>
          <w:rFonts w:cs="Arial"/>
          <w:i w:val="0"/>
          <w:iCs/>
        </w:rPr>
      </w:r>
      <w:r w:rsidRPr="0019789C">
        <w:rPr>
          <w:rStyle w:val="fncaseChar"/>
          <w:rFonts w:cs="Arial"/>
          <w:i w:val="0"/>
          <w:iCs/>
        </w:rPr>
        <w:fldChar w:fldCharType="separate"/>
      </w:r>
      <w:r w:rsidR="00AD46EC">
        <w:rPr>
          <w:rStyle w:val="fncaseChar"/>
          <w:rFonts w:cs="Arial"/>
          <w:i w:val="0"/>
          <w:iCs/>
        </w:rPr>
        <w:t>513</w:t>
      </w:r>
      <w:r w:rsidRPr="0019789C">
        <w:rPr>
          <w:rStyle w:val="fncaseChar"/>
          <w:rFonts w:cs="Arial"/>
          <w:i w:val="0"/>
          <w:iCs/>
        </w:rPr>
        <w:fldChar w:fldCharType="end"/>
      </w:r>
      <w:r w:rsidRPr="0019789C">
        <w:rPr>
          <w:rStyle w:val="fncaseChar"/>
          <w:rFonts w:cs="Arial"/>
          <w:i w:val="0"/>
          <w:iCs/>
        </w:rPr>
        <w:t>)</w:t>
      </w:r>
      <w:r w:rsidRPr="0019789C">
        <w:t xml:space="preserve">; </w:t>
      </w:r>
      <w:r w:rsidRPr="0019789C">
        <w:rPr>
          <w:rStyle w:val="fncaseChar"/>
          <w:rFonts w:cs="Arial"/>
        </w:rPr>
        <w:t>Latimer v AEC Ltd</w:t>
      </w:r>
      <w:r w:rsidRPr="0019789C">
        <w:t xml:space="preserve"> [1953] AC 643; </w:t>
      </w:r>
      <w:r w:rsidRPr="0019789C">
        <w:rPr>
          <w:rStyle w:val="fncaseChar"/>
          <w:rFonts w:cs="Arial"/>
        </w:rPr>
        <w:t xml:space="preserve">Overseas Tankship(UK) Ltd v Miller Steamship Co (Wagon Mound No 2) </w:t>
      </w:r>
      <w:r w:rsidRPr="0019789C">
        <w:t>[1967] 1 AC 617.</w:t>
      </w:r>
    </w:p>
  </w:footnote>
  <w:footnote w:id="524">
    <w:p w14:paraId="6FD549BD"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Watt v Hertfordshire CC</w:t>
      </w:r>
      <w:r w:rsidRPr="0019789C">
        <w:t xml:space="preserve"> [1954] 1 WLR 835, 838; see also Compensation Act 2006, s 1.</w:t>
      </w:r>
    </w:p>
  </w:footnote>
  <w:footnote w:id="525">
    <w:p w14:paraId="2953D347" w14:textId="1DF6D7D8" w:rsidR="0019789C" w:rsidRPr="0019789C" w:rsidRDefault="0019789C" w:rsidP="001300A7">
      <w:pPr>
        <w:pStyle w:val="fntxt"/>
      </w:pPr>
      <w:r w:rsidRPr="0019789C">
        <w:rPr>
          <w:rStyle w:val="FootnoteReference"/>
          <w:rFonts w:cs="Arial"/>
        </w:rPr>
        <w:footnoteRef/>
      </w:r>
      <w:r w:rsidRPr="0019789C">
        <w:t xml:space="preserve"> </w:t>
      </w:r>
      <w:r w:rsidRPr="0019789C">
        <w:rPr>
          <w:i/>
        </w:rPr>
        <w:t xml:space="preserve">Haley </w:t>
      </w:r>
      <w:r w:rsidRPr="0019789C">
        <w:t xml:space="preserve">(n </w:t>
      </w:r>
      <w:r w:rsidRPr="0019789C">
        <w:fldChar w:fldCharType="begin"/>
      </w:r>
      <w:r w:rsidRPr="0019789C">
        <w:instrText xml:space="preserve"> NOTEREF _Ref30770777 \h  \* MERGEFORMAT </w:instrText>
      </w:r>
      <w:r w:rsidRPr="0019789C">
        <w:fldChar w:fldCharType="separate"/>
      </w:r>
      <w:r w:rsidR="00AD46EC">
        <w:t>507</w:t>
      </w:r>
      <w:r w:rsidRPr="0019789C">
        <w:fldChar w:fldCharType="end"/>
      </w:r>
      <w:r w:rsidRPr="0019789C">
        <w:t>) 792-95, 805-06, and 807-10.</w:t>
      </w:r>
    </w:p>
  </w:footnote>
  <w:footnote w:id="526">
    <w:p w14:paraId="0FDD0E15" w14:textId="77777777" w:rsidR="0019789C" w:rsidRPr="0019789C" w:rsidRDefault="0019789C" w:rsidP="001300A7">
      <w:pPr>
        <w:pStyle w:val="fntxt"/>
      </w:pPr>
      <w:r w:rsidRPr="0019789C">
        <w:rPr>
          <w:rStyle w:val="FootnoteReference"/>
          <w:rFonts w:cs="Arial"/>
        </w:rPr>
        <w:footnoteRef/>
      </w:r>
      <w:r w:rsidRPr="0019789C">
        <w:t xml:space="preserve"> ibid 804-06.</w:t>
      </w:r>
    </w:p>
  </w:footnote>
  <w:footnote w:id="527">
    <w:p w14:paraId="2E71F374" w14:textId="77777777" w:rsidR="0019789C" w:rsidRPr="0019789C" w:rsidRDefault="0019789C" w:rsidP="001300A7">
      <w:pPr>
        <w:pStyle w:val="fntxt"/>
      </w:pPr>
      <w:r w:rsidRPr="0019789C">
        <w:rPr>
          <w:rStyle w:val="FootnoteReference"/>
          <w:rFonts w:cs="Arial"/>
        </w:rPr>
        <w:footnoteRef/>
      </w:r>
      <w:r w:rsidRPr="0019789C">
        <w:t xml:space="preserve"> ibid 793.</w:t>
      </w:r>
    </w:p>
  </w:footnote>
  <w:footnote w:id="528">
    <w:p w14:paraId="649568FA" w14:textId="77777777" w:rsidR="0019789C" w:rsidRPr="0019789C" w:rsidRDefault="0019789C" w:rsidP="001300A7">
      <w:pPr>
        <w:pStyle w:val="fntxt"/>
      </w:pPr>
      <w:r w:rsidRPr="0019789C">
        <w:rPr>
          <w:rStyle w:val="FootnoteReference"/>
          <w:rFonts w:cs="Arial"/>
        </w:rPr>
        <w:footnoteRef/>
      </w:r>
      <w:r w:rsidRPr="0019789C">
        <w:t xml:space="preserve"> T Honoré, ‘Necessary and Sufficient Conditions’ in D Owen (ed), </w:t>
      </w:r>
      <w:r w:rsidRPr="0019789C">
        <w:rPr>
          <w:i/>
        </w:rPr>
        <w:t xml:space="preserve">Philosophical Foundations of of Tort Law </w:t>
      </w:r>
      <w:r w:rsidRPr="0019789C">
        <w:t>(OUP 1995) 385.</w:t>
      </w:r>
    </w:p>
  </w:footnote>
  <w:footnote w:id="529">
    <w:p w14:paraId="52E935BB"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Cork v Kirby Maclean Ltd </w:t>
      </w:r>
      <w:r w:rsidRPr="0019789C">
        <w:t xml:space="preserve">[1952] 2 All ER 402, 407; see also </w:t>
      </w:r>
      <w:r w:rsidRPr="0019789C">
        <w:rPr>
          <w:rStyle w:val="fncaseChar"/>
          <w:rFonts w:cs="Arial"/>
        </w:rPr>
        <w:t>Barnett v Chelsea and Kensington Hospital Management</w:t>
      </w:r>
      <w:r w:rsidRPr="0019789C">
        <w:t xml:space="preserve"> [1969] 1 QB 428, which is regarded as a classic illustration of the ‘but for’ test.</w:t>
      </w:r>
    </w:p>
  </w:footnote>
  <w:footnote w:id="530">
    <w:p w14:paraId="57BF2AE3"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Kuwait Airways Corp v Iraq Airways Corp</w:t>
      </w:r>
      <w:r w:rsidRPr="0019789C">
        <w:t xml:space="preserve"> [2002] 2 AC 883 [128] (Lord Hoffmann): there is ‘no uniform causal requirement for liability in tort. Instead, there are varying causal requirements, depending upon the basis and purpose of liability’.</w:t>
      </w:r>
    </w:p>
  </w:footnote>
  <w:footnote w:id="531">
    <w:p w14:paraId="5BDD2C24" w14:textId="77777777" w:rsidR="0019789C" w:rsidRPr="0019789C" w:rsidRDefault="0019789C" w:rsidP="001300A7">
      <w:pPr>
        <w:pStyle w:val="fntxt"/>
      </w:pPr>
      <w:r w:rsidRPr="0019789C">
        <w:rPr>
          <w:rStyle w:val="FootnoteReference"/>
          <w:rFonts w:cs="Arial"/>
        </w:rPr>
        <w:footnoteRef/>
      </w:r>
      <w:r w:rsidRPr="0019789C">
        <w:t xml:space="preserve"> Many of the complex causation cases involve medical or occupational negligence, eg </w:t>
      </w:r>
      <w:r w:rsidRPr="0019789C">
        <w:rPr>
          <w:rStyle w:val="fncaseChar"/>
          <w:rFonts w:cs="Arial"/>
        </w:rPr>
        <w:t>Wilsher v Essex Area Health Authority</w:t>
      </w:r>
      <w:r w:rsidRPr="0019789C">
        <w:t xml:space="preserve"> [1988] AC 1074 (blindness in premature baby; only one indeterminate cause, but 5 possible causes, was determined on a balance of probabilities); see also an exception to the </w:t>
      </w:r>
      <w:r w:rsidRPr="0019789C">
        <w:rPr>
          <w:rStyle w:val="fncaseChar"/>
          <w:rFonts w:cs="Arial"/>
        </w:rPr>
        <w:t>Wilsher</w:t>
      </w:r>
      <w:r w:rsidRPr="0019789C">
        <w:t xml:space="preserve"> approach: </w:t>
      </w:r>
      <w:r w:rsidRPr="0019789C">
        <w:rPr>
          <w:rStyle w:val="fncaseChar"/>
          <w:rFonts w:cs="Arial"/>
        </w:rPr>
        <w:t xml:space="preserve">Fairchild v Glenhaven Funeral Services </w:t>
      </w:r>
      <w:r w:rsidRPr="0019789C">
        <w:t>[2003] 1 AC 32 (involved asbestos-related mesothelioma; the resulting ‘material increase in risk’ approach is a very narrow exception to the ‘but for’ test based on policy and fairness, but is limited to single agent cases where there’s an evidential gap; apportionment of damages in such cases is further addressed by the Compensation Act 2006, s 3).</w:t>
      </w:r>
    </w:p>
  </w:footnote>
  <w:footnote w:id="532">
    <w:p w14:paraId="4EF34D93"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i/>
        </w:rPr>
        <w:t>The Oropesa</w:t>
      </w:r>
      <w:r w:rsidRPr="0019789C">
        <w:t xml:space="preserve"> [1943] 32, 39.</w:t>
      </w:r>
    </w:p>
  </w:footnote>
  <w:footnote w:id="533">
    <w:p w14:paraId="66F3DAD7"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McKew v Holland &amp; Hannen &amp; Cubitts (Scotland) Ltd </w:t>
      </w:r>
      <w:r w:rsidRPr="0019789C">
        <w:t>[1969] 3 All ER 1621.</w:t>
      </w:r>
    </w:p>
  </w:footnote>
  <w:footnote w:id="534">
    <w:p w14:paraId="341F4D29" w14:textId="77777777"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Clay v TUI UK Ltd </w:t>
      </w:r>
      <w:r w:rsidRPr="0019789C">
        <w:t>[2018] EWCA Civ 1177.</w:t>
      </w:r>
    </w:p>
  </w:footnote>
  <w:footnote w:id="535">
    <w:p w14:paraId="2FDFFCAE"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Home Office v Dorset Yacht </w:t>
      </w:r>
      <w:r w:rsidRPr="0019789C">
        <w:t xml:space="preserve">[1970] AC 1004 (Lord Reid); see also </w:t>
      </w:r>
      <w:r w:rsidRPr="0019789C">
        <w:rPr>
          <w:rStyle w:val="fncaseChar"/>
          <w:rFonts w:cs="Arial"/>
        </w:rPr>
        <w:t xml:space="preserve">Lamb v Camden London Borough Council </w:t>
      </w:r>
      <w:r w:rsidRPr="0019789C">
        <w:t>[1981] QB 625.</w:t>
      </w:r>
    </w:p>
  </w:footnote>
  <w:footnote w:id="536">
    <w:p w14:paraId="3EED706F"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Overseas Tankship (UK) Ltd v Morts Dock and Engineering Co Ltd (The Wagon Mound No 1) </w:t>
      </w:r>
      <w:r w:rsidRPr="0019789C">
        <w:t>[1961] AC 388, 426.</w:t>
      </w:r>
    </w:p>
  </w:footnote>
  <w:footnote w:id="537">
    <w:p w14:paraId="35FF2845"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lang w:bidi="en-US"/>
        </w:rPr>
        <w:t>[1996] AC 155.</w:t>
      </w:r>
    </w:p>
  </w:footnote>
  <w:footnote w:id="538">
    <w:p w14:paraId="18B89FA8" w14:textId="77777777" w:rsidR="0019789C" w:rsidRPr="0019789C" w:rsidRDefault="0019789C" w:rsidP="001300A7">
      <w:pPr>
        <w:pStyle w:val="fntxt"/>
      </w:pPr>
      <w:r w:rsidRPr="0019789C">
        <w:rPr>
          <w:rStyle w:val="FootnoteReference"/>
          <w:rFonts w:cs="Arial"/>
        </w:rPr>
        <w:footnoteRef/>
      </w:r>
      <w:r w:rsidRPr="0019789C">
        <w:t xml:space="preserve"> ibid 157.</w:t>
      </w:r>
    </w:p>
  </w:footnote>
  <w:footnote w:id="539">
    <w:p w14:paraId="7DD1B988" w14:textId="77777777" w:rsidR="0019789C" w:rsidRPr="0019789C" w:rsidRDefault="0019789C" w:rsidP="001300A7">
      <w:pPr>
        <w:pStyle w:val="fntxt"/>
      </w:pPr>
      <w:r w:rsidRPr="0019789C">
        <w:rPr>
          <w:rStyle w:val="FootnoteReference"/>
          <w:rFonts w:cs="Arial"/>
        </w:rPr>
        <w:footnoteRef/>
      </w:r>
      <w:r w:rsidRPr="0019789C">
        <w:t xml:space="preserve"> ibid 161-62.</w:t>
      </w:r>
    </w:p>
  </w:footnote>
  <w:footnote w:id="540">
    <w:p w14:paraId="71C79DE0" w14:textId="77777777" w:rsidR="0019789C" w:rsidRPr="0019789C" w:rsidRDefault="0019789C" w:rsidP="001300A7">
      <w:pPr>
        <w:pStyle w:val="fntxt"/>
      </w:pPr>
      <w:r w:rsidRPr="0019789C">
        <w:rPr>
          <w:rStyle w:val="FootnoteReference"/>
          <w:rFonts w:cs="Arial"/>
        </w:rPr>
        <w:footnoteRef/>
      </w:r>
      <w:r w:rsidRPr="0019789C">
        <w:t xml:space="preserve"> ibid 180-83 (Lord Browne-Wilkinson) and 189-98 (Lord Lloyd of Berwick).</w:t>
      </w:r>
    </w:p>
  </w:footnote>
  <w:footnote w:id="541">
    <w:p w14:paraId="120083CD" w14:textId="77777777" w:rsidR="0019789C" w:rsidRPr="0019789C" w:rsidRDefault="0019789C" w:rsidP="001300A7">
      <w:pPr>
        <w:pStyle w:val="fntxt"/>
      </w:pPr>
      <w:r w:rsidRPr="0019789C">
        <w:rPr>
          <w:rStyle w:val="FootnoteReference"/>
          <w:rFonts w:cs="Arial"/>
        </w:rPr>
        <w:footnoteRef/>
      </w:r>
      <w:r w:rsidRPr="0019789C">
        <w:t xml:space="preserve"> ibid 182 (Lord Browne-Wilkinson) and 190 (Lord Lloyd of Berwick).</w:t>
      </w:r>
    </w:p>
  </w:footnote>
  <w:footnote w:id="542">
    <w:p w14:paraId="38CD18D4" w14:textId="77777777" w:rsidR="0019789C" w:rsidRPr="0019789C" w:rsidRDefault="0019789C" w:rsidP="001300A7">
      <w:pPr>
        <w:pStyle w:val="fntxt"/>
      </w:pPr>
      <w:r w:rsidRPr="0019789C">
        <w:rPr>
          <w:rStyle w:val="FootnoteReference"/>
          <w:rFonts w:cs="Arial"/>
        </w:rPr>
        <w:footnoteRef/>
      </w:r>
      <w:r w:rsidRPr="0019789C">
        <w:t xml:space="preserve"> See also </w:t>
      </w:r>
      <w:r w:rsidRPr="0019789C">
        <w:rPr>
          <w:rStyle w:val="fncaseChar"/>
          <w:rFonts w:cs="Arial"/>
        </w:rPr>
        <w:t>Smith v Leech</w:t>
      </w:r>
      <w:r w:rsidRPr="0019789C">
        <w:rPr>
          <w:i/>
        </w:rPr>
        <w:t xml:space="preserve"> </w:t>
      </w:r>
      <w:r w:rsidRPr="0019789C">
        <w:t>[1962] 2 QB 405, 408-09 and 415: the claimant was burned on the lip by molten metal, which was a promoting agent of the cancer that caused his death; even though there was a strong likelihood that the cancer would have developed at some stage in his life, this was not relevant to the determination of damages: ‘the tortfeasor takes the victim as he finds him … The test is not whether these employers could reasonably have foreseen that a burn would cause cancer and that he would die. The question is whether these employers could reasonably foresee the type of injury he suffered, namely, the burn. What, in the particular case, is the amount of damage which he suffers as a result of that burn, depends upon the characteristics and constitution of the victim.’</w:t>
      </w:r>
    </w:p>
  </w:footnote>
  <w:footnote w:id="543">
    <w:p w14:paraId="2F3E5030"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i/>
        </w:rPr>
        <w:t xml:space="preserve">Livingstone v Rawyards Coal Co </w:t>
      </w:r>
      <w:r w:rsidRPr="0019789C">
        <w:t>[1880] 5 App Cas 25, 39.</w:t>
      </w:r>
    </w:p>
  </w:footnote>
  <w:footnote w:id="544">
    <w:p w14:paraId="04970CBF" w14:textId="77777777" w:rsidR="0019789C" w:rsidRPr="0019789C" w:rsidRDefault="0019789C" w:rsidP="001300A7">
      <w:pPr>
        <w:pStyle w:val="fntxt"/>
      </w:pPr>
      <w:r w:rsidRPr="0019789C">
        <w:rPr>
          <w:rStyle w:val="FootnoteReference"/>
        </w:rPr>
        <w:footnoteRef/>
      </w:r>
      <w:r w:rsidRPr="0019789C">
        <w:t xml:space="preserve"> </w:t>
      </w:r>
      <w:r w:rsidRPr="0019789C">
        <w:rPr>
          <w:i/>
        </w:rPr>
        <w:t>Kralj and another v McGrath and another</w:t>
      </w:r>
      <w:r w:rsidRPr="0019789C">
        <w:t xml:space="preserve"> [1986] 1 All ER 54, 61.</w:t>
      </w:r>
    </w:p>
  </w:footnote>
  <w:footnote w:id="545">
    <w:p w14:paraId="31D09D8E" w14:textId="77777777" w:rsidR="0019789C" w:rsidRPr="0019789C" w:rsidRDefault="0019789C" w:rsidP="001300A7">
      <w:pPr>
        <w:pStyle w:val="fntxt"/>
      </w:pPr>
      <w:r w:rsidRPr="0019789C">
        <w:rPr>
          <w:rStyle w:val="FootnoteReference"/>
        </w:rPr>
        <w:footnoteRef/>
      </w:r>
      <w:r w:rsidRPr="0019789C">
        <w:t xml:space="preserve"> ibid.</w:t>
      </w:r>
    </w:p>
  </w:footnote>
  <w:footnote w:id="546">
    <w:p w14:paraId="2B3923D5" w14:textId="77777777" w:rsidR="0019789C" w:rsidRPr="0019789C" w:rsidRDefault="0019789C" w:rsidP="001300A7">
      <w:pPr>
        <w:pStyle w:val="fntxt"/>
      </w:pPr>
      <w:r w:rsidRPr="0019789C">
        <w:rPr>
          <w:rStyle w:val="FootnoteReference"/>
        </w:rPr>
        <w:footnoteRef/>
      </w:r>
      <w:r w:rsidRPr="0019789C">
        <w:t xml:space="preserve"> </w:t>
      </w:r>
      <w:r w:rsidRPr="0019789C">
        <w:rPr>
          <w:i/>
        </w:rPr>
        <w:t xml:space="preserve">Broome v Cassell &amp; Co Ltd </w:t>
      </w:r>
      <w:r w:rsidRPr="0019789C">
        <w:t xml:space="preserve">[1972] AC 1027, 1131; </w:t>
      </w:r>
      <w:r w:rsidRPr="0019789C">
        <w:rPr>
          <w:i/>
        </w:rPr>
        <w:t>Kuddus v Chief Constable of Leicestershire Constabulary</w:t>
      </w:r>
      <w:r w:rsidRPr="0019789C">
        <w:t xml:space="preserve"> [2002] 2 AC 122, 142 and 153.</w:t>
      </w:r>
    </w:p>
  </w:footnote>
  <w:footnote w:id="547">
    <w:p w14:paraId="4A2074A6" w14:textId="77777777" w:rsidR="0019789C" w:rsidRPr="0019789C" w:rsidRDefault="0019789C" w:rsidP="001300A7">
      <w:pPr>
        <w:pStyle w:val="fntxt"/>
      </w:pPr>
      <w:r w:rsidRPr="0019789C">
        <w:rPr>
          <w:rStyle w:val="FootnoteReference"/>
        </w:rPr>
        <w:footnoteRef/>
      </w:r>
      <w:r w:rsidRPr="0019789C">
        <w:t xml:space="preserve"> Law Commission, ‘Damages for Personal Injury: Non-Pecuniary Loss’ (Consultation Paper No 140, 1995) para 2.10.</w:t>
      </w:r>
    </w:p>
  </w:footnote>
  <w:footnote w:id="548">
    <w:p w14:paraId="5A27EF14" w14:textId="77777777" w:rsidR="0019789C" w:rsidRPr="0019789C" w:rsidRDefault="0019789C" w:rsidP="001300A7">
      <w:pPr>
        <w:pStyle w:val="fntxt"/>
      </w:pPr>
      <w:r w:rsidRPr="0019789C">
        <w:rPr>
          <w:rStyle w:val="FootnoteReference"/>
        </w:rPr>
        <w:footnoteRef/>
      </w:r>
      <w:r w:rsidRPr="0019789C">
        <w:t xml:space="preserve"> </w:t>
      </w:r>
      <w:r w:rsidRPr="0019789C">
        <w:rPr>
          <w:i/>
        </w:rPr>
        <w:t>H West &amp; Son Ltd and Another v Shephard</w:t>
      </w:r>
      <w:r w:rsidRPr="0019789C">
        <w:t xml:space="preserve"> [1963] 2 All ER 625, 634 and 702.</w:t>
      </w:r>
    </w:p>
  </w:footnote>
  <w:footnote w:id="549">
    <w:p w14:paraId="490BA5E3" w14:textId="77777777" w:rsidR="0019789C" w:rsidRPr="0019789C" w:rsidRDefault="0019789C" w:rsidP="001300A7">
      <w:pPr>
        <w:pStyle w:val="fntxt"/>
      </w:pPr>
      <w:r w:rsidRPr="0019789C">
        <w:rPr>
          <w:rStyle w:val="FootnoteReference"/>
        </w:rPr>
        <w:footnoteRef/>
      </w:r>
      <w:r w:rsidRPr="0019789C">
        <w:t xml:space="preserve"> ibid 637.</w:t>
      </w:r>
    </w:p>
  </w:footnote>
  <w:footnote w:id="550">
    <w:p w14:paraId="5EE7C437" w14:textId="77777777" w:rsidR="0019789C" w:rsidRPr="0019789C" w:rsidRDefault="0019789C" w:rsidP="001300A7">
      <w:pPr>
        <w:pStyle w:val="fntxt"/>
      </w:pPr>
      <w:r w:rsidRPr="0019789C">
        <w:rPr>
          <w:rStyle w:val="FootnoteReference"/>
        </w:rPr>
        <w:footnoteRef/>
      </w:r>
      <w:r w:rsidRPr="0019789C">
        <w:t xml:space="preserve"> </w:t>
      </w:r>
      <w:r w:rsidRPr="0019789C">
        <w:rPr>
          <w:i/>
        </w:rPr>
        <w:t>Hunt v Severs</w:t>
      </w:r>
      <w:r w:rsidRPr="0019789C">
        <w:t xml:space="preserve"> [1994] 2 All ER 385.</w:t>
      </w:r>
    </w:p>
  </w:footnote>
  <w:footnote w:id="551">
    <w:p w14:paraId="7C5F4825" w14:textId="77777777" w:rsidR="0019789C" w:rsidRPr="0019789C" w:rsidRDefault="0019789C" w:rsidP="001300A7">
      <w:pPr>
        <w:pStyle w:val="fntxt"/>
      </w:pPr>
      <w:r w:rsidRPr="0019789C">
        <w:rPr>
          <w:rStyle w:val="FootnoteReference"/>
        </w:rPr>
        <w:footnoteRef/>
      </w:r>
      <w:r w:rsidRPr="0019789C">
        <w:t xml:space="preserve"> </w:t>
      </w:r>
      <w:r w:rsidRPr="0019789C">
        <w:rPr>
          <w:i/>
        </w:rPr>
        <w:t>Wright v British Railways Board</w:t>
      </w:r>
      <w:r w:rsidRPr="0019789C">
        <w:t xml:space="preserve"> [1983] 2 All ER 698, 699.</w:t>
      </w:r>
    </w:p>
  </w:footnote>
  <w:footnote w:id="552">
    <w:p w14:paraId="7C41F7CF" w14:textId="57DD5110"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 xml:space="preserve">Judicial College, </w:t>
      </w:r>
      <w:r w:rsidRPr="0019789C">
        <w:rPr>
          <w:rStyle w:val="fnbookChar"/>
        </w:rPr>
        <w:t>Guidelines for the Assessment of General Damages in Personal Injury Cases</w:t>
      </w:r>
      <w:r w:rsidRPr="0019789C">
        <w:t xml:space="preserve"> (15</w:t>
      </w:r>
      <w:r w:rsidRPr="0019789C">
        <w:rPr>
          <w:vertAlign w:val="superscript"/>
        </w:rPr>
        <w:t>th</w:t>
      </w:r>
      <w:r w:rsidRPr="0019789C">
        <w:t xml:space="preserve"> edn, OUP 2020).</w:t>
      </w:r>
    </w:p>
  </w:footnote>
  <w:footnote w:id="553">
    <w:p w14:paraId="6E5FAF4C" w14:textId="59D6581C" w:rsidR="0019789C" w:rsidRPr="0019789C" w:rsidRDefault="0019789C" w:rsidP="001300A7">
      <w:pPr>
        <w:pStyle w:val="fntxt"/>
      </w:pPr>
      <w:r w:rsidRPr="0019789C">
        <w:rPr>
          <w:rStyle w:val="FootnoteReference"/>
        </w:rPr>
        <w:footnoteRef/>
      </w:r>
      <w:r w:rsidRPr="0019789C">
        <w:t xml:space="preserve"> Law Commission, ‘Damages for Personal Injury: Non-Pecuniary Loss’ (n </w:t>
      </w:r>
      <w:r w:rsidRPr="0019789C">
        <w:fldChar w:fldCharType="begin"/>
      </w:r>
      <w:r w:rsidRPr="0019789C">
        <w:instrText xml:space="preserve"> NOTEREF _Ref32913653 \h  \* MERGEFORMAT </w:instrText>
      </w:r>
      <w:r w:rsidRPr="0019789C">
        <w:fldChar w:fldCharType="separate"/>
      </w:r>
      <w:r w:rsidR="00AD46EC">
        <w:t>547</w:t>
      </w:r>
      <w:r w:rsidRPr="0019789C">
        <w:fldChar w:fldCharType="end"/>
      </w:r>
      <w:r w:rsidRPr="0019789C">
        <w:t>) para 1.5.</w:t>
      </w:r>
    </w:p>
  </w:footnote>
  <w:footnote w:id="554">
    <w:p w14:paraId="67D4DA30" w14:textId="77777777" w:rsidR="0019789C" w:rsidRPr="0019789C" w:rsidRDefault="0019789C" w:rsidP="001300A7">
      <w:pPr>
        <w:pStyle w:val="fntxt"/>
      </w:pPr>
      <w:r w:rsidRPr="0019789C">
        <w:rPr>
          <w:rStyle w:val="FootnoteReference"/>
        </w:rPr>
        <w:footnoteRef/>
      </w:r>
      <w:r w:rsidRPr="0019789C">
        <w:t xml:space="preserve"> </w:t>
      </w:r>
      <w:r w:rsidRPr="0019789C">
        <w:rPr>
          <w:i/>
        </w:rPr>
        <w:t>Simmons v Castle</w:t>
      </w:r>
      <w:r w:rsidRPr="0019789C">
        <w:t xml:space="preserve"> [2013] 1 All ER 334, 335-36.</w:t>
      </w:r>
    </w:p>
  </w:footnote>
  <w:footnote w:id="555">
    <w:p w14:paraId="6BC34CB6" w14:textId="6749E445" w:rsidR="0019789C" w:rsidRPr="0019789C" w:rsidRDefault="0019789C" w:rsidP="001300A7">
      <w:pPr>
        <w:pStyle w:val="fntxt"/>
      </w:pPr>
      <w:r w:rsidRPr="0019789C">
        <w:rPr>
          <w:rStyle w:val="FootnoteReference"/>
        </w:rPr>
        <w:footnoteRef/>
      </w:r>
      <w:r w:rsidRPr="0019789C">
        <w:t xml:space="preserve"> At the risk of oversimplifying a complicated formula, it suffices for these purposes to say that the courts calculate future financial loss by </w:t>
      </w:r>
      <w:r w:rsidRPr="0019789C">
        <w:rPr>
          <w:color w:val="000000" w:themeColor="text1"/>
        </w:rPr>
        <w:t xml:space="preserve">multiplying a multiplicand by a multiplier, a methodology that has been endorsed by the House of Lords: </w:t>
      </w:r>
      <w:r w:rsidRPr="0019789C">
        <w:rPr>
          <w:rStyle w:val="fncaseChar"/>
        </w:rPr>
        <w:t>Wells v Wells</w:t>
      </w:r>
      <w:r w:rsidRPr="0019789C">
        <w:rPr>
          <w:iCs/>
          <w:color w:val="000000" w:themeColor="text1"/>
        </w:rPr>
        <w:t xml:space="preserve"> </w:t>
      </w:r>
      <w:r w:rsidRPr="0019789C">
        <w:rPr>
          <w:rFonts w:eastAsia="Times New Roman" w:cs="Arial"/>
          <w:color w:val="000000" w:themeColor="text1"/>
          <w:shd w:val="clear" w:color="auto" w:fill="FFFFFF"/>
          <w:lang w:val="en-US" w:eastAsia="en-US"/>
        </w:rPr>
        <w:t>[1999] 1AC 345</w:t>
      </w:r>
      <w:r w:rsidRPr="0019789C">
        <w:rPr>
          <w:iCs/>
          <w:color w:val="000000" w:themeColor="text1"/>
        </w:rPr>
        <w:t xml:space="preserve">; </w:t>
      </w:r>
      <w:r w:rsidRPr="0019789C">
        <w:rPr>
          <w:rStyle w:val="fncaseChar"/>
        </w:rPr>
        <w:t>Thomas v Brighton Health Authority; Page v Sheerness Steel Co plc</w:t>
      </w:r>
      <w:r w:rsidRPr="0019789C">
        <w:rPr>
          <w:color w:val="000000" w:themeColor="text1"/>
        </w:rPr>
        <w:t xml:space="preserve"> [1998] 3 All ER 481. For loss of earnings, the multiplicand is the claimant’s net annual loss (eg salary and benefits </w:t>
      </w:r>
      <w:r w:rsidRPr="0019789C">
        <w:t xml:space="preserve">in kind), while the multiplier depends on a range of factors (eg the number of years the loss is expected to continue for, the span of a person’s working life), for a case on injury to a pedestrian, see eg </w:t>
      </w:r>
      <w:r w:rsidRPr="0019789C">
        <w:rPr>
          <w:i/>
        </w:rPr>
        <w:t>H West &amp; Son Ltd</w:t>
      </w:r>
      <w:r w:rsidRPr="0019789C">
        <w:t xml:space="preserve"> (n </w:t>
      </w:r>
      <w:r w:rsidRPr="0019789C">
        <w:fldChar w:fldCharType="begin"/>
      </w:r>
      <w:r w:rsidRPr="0019789C">
        <w:instrText xml:space="preserve"> NOTEREF _Ref32913616 \h  \* MERGEFORMAT </w:instrText>
      </w:r>
      <w:r w:rsidRPr="0019789C">
        <w:fldChar w:fldCharType="separate"/>
      </w:r>
      <w:r w:rsidR="00AD46EC">
        <w:t>548</w:t>
      </w:r>
      <w:r w:rsidRPr="0019789C">
        <w:fldChar w:fldCharType="end"/>
      </w:r>
      <w:r w:rsidRPr="0019789C">
        <w:t>).</w:t>
      </w:r>
    </w:p>
  </w:footnote>
  <w:footnote w:id="556">
    <w:p w14:paraId="6DFF4A18" w14:textId="6FABDA0C" w:rsidR="0019789C" w:rsidRPr="0019789C" w:rsidRDefault="0019789C" w:rsidP="001300A7">
      <w:pPr>
        <w:pStyle w:val="fntxt"/>
      </w:pPr>
      <w:r w:rsidRPr="0019789C">
        <w:rPr>
          <w:rStyle w:val="FootnoteReference"/>
        </w:rPr>
        <w:footnoteRef/>
      </w:r>
      <w:r w:rsidRPr="0019789C">
        <w:t xml:space="preserve"> Government Actuary's Department, ‘Ogden tables: actuarial compensation tables for injury and death’ (published 10 October 2011, last updated 23 July 2019) </w:t>
      </w:r>
      <w:hyperlink r:id="rId105" w:history="1">
        <w:r w:rsidRPr="0019789C">
          <w:rPr>
            <w:rStyle w:val="Hyperlink"/>
            <w:rFonts w:cstheme="minorBidi"/>
          </w:rPr>
          <w:t>&lt;www.gov.uk/government/publications/ogden-tables-actuarial-compensation-tables-for-injury-and-death&gt;</w:t>
        </w:r>
      </w:hyperlink>
      <w:r w:rsidRPr="0019789C">
        <w:rPr>
          <w:rStyle w:val="Hyperlink"/>
          <w:rFonts w:cstheme="minorBidi"/>
        </w:rPr>
        <w:t xml:space="preserve"> </w:t>
      </w:r>
      <w:r w:rsidRPr="0019789C">
        <w:t>accessed 15 December 2019.</w:t>
      </w:r>
    </w:p>
  </w:footnote>
  <w:footnote w:id="557">
    <w:p w14:paraId="75CA6FC1" w14:textId="77777777" w:rsidR="0019789C" w:rsidRPr="0019789C" w:rsidRDefault="0019789C" w:rsidP="001300A7">
      <w:pPr>
        <w:pStyle w:val="fntxt"/>
      </w:pPr>
      <w:r w:rsidRPr="0019789C">
        <w:rPr>
          <w:rStyle w:val="FootnoteReference"/>
        </w:rPr>
        <w:footnoteRef/>
      </w:r>
      <w:r w:rsidRPr="0019789C">
        <w:t xml:space="preserve"> Government Actuary’s Department, ‘Actuarial Tables for use in Personal Injury and Fatal Accident Cases’ (7th edn, 2011) 8, paras 2-3: (1) loss begins immediately and continues for the rest of the claimant’s life; (2) loss begins immediately but continues only until the claimant’s retirement or earlier death; (3) loss will not begin until the claimant reaches retirement but then continues for the rest of their life.</w:t>
      </w:r>
    </w:p>
  </w:footnote>
  <w:footnote w:id="558">
    <w:p w14:paraId="722E34D3" w14:textId="77777777" w:rsidR="0019789C" w:rsidRPr="0019789C" w:rsidRDefault="0019789C" w:rsidP="001300A7">
      <w:pPr>
        <w:pStyle w:val="fntxt"/>
      </w:pPr>
      <w:r w:rsidRPr="0019789C">
        <w:rPr>
          <w:rStyle w:val="FootnoteReference"/>
        </w:rPr>
        <w:footnoteRef/>
      </w:r>
      <w:r w:rsidRPr="0019789C">
        <w:t xml:space="preserve"> ibid 14-19, paras 26-44.</w:t>
      </w:r>
    </w:p>
  </w:footnote>
  <w:footnote w:id="559">
    <w:p w14:paraId="4EDC2DA1"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Nance v British Columbia Electric Rly Co Ltd </w:t>
      </w:r>
      <w:r w:rsidRPr="0019789C">
        <w:t>[1951] AC 601, 611 (Lord Simon): ‘When contributory negligence is set up as a defence, its existence does not depend on any duty owed by the injured party to the party sued, and all that is necessary to establish such a defence is to prove … that the injured party did not in his own interest take reasonable care of himself and contributed, by this want of care, to his own injury.'</w:t>
      </w:r>
    </w:p>
  </w:footnote>
  <w:footnote w:id="560">
    <w:p w14:paraId="6FCF6921" w14:textId="77777777" w:rsidR="0019789C" w:rsidRPr="0019789C" w:rsidRDefault="0019789C" w:rsidP="001300A7">
      <w:pPr>
        <w:pStyle w:val="fntxt"/>
      </w:pPr>
      <w:r w:rsidRPr="0019789C">
        <w:rPr>
          <w:rStyle w:val="FootnoteReference"/>
          <w:rFonts w:cs="Arial"/>
        </w:rPr>
        <w:footnoteRef/>
      </w:r>
      <w:r w:rsidRPr="0019789C">
        <w:t xml:space="preserve"> Law Reform (Contributory Negligence) Act 1945, s 4.</w:t>
      </w:r>
    </w:p>
  </w:footnote>
  <w:footnote w:id="561">
    <w:p w14:paraId="0301098F"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Pitts v Hunt</w:t>
      </w:r>
      <w:r w:rsidRPr="0019789C">
        <w:rPr>
          <w:rStyle w:val="fncaseChar"/>
          <w:rFonts w:cs="Arial"/>
        </w:rPr>
        <w:t xml:space="preserve"> </w:t>
      </w:r>
      <w:r w:rsidRPr="0019789C">
        <w:t>[1990] 3 All ER 344.</w:t>
      </w:r>
    </w:p>
  </w:footnote>
  <w:footnote w:id="562">
    <w:p w14:paraId="59D85C15" w14:textId="293BC59D"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M'Kibbin v Glasgow Corporation</w:t>
      </w:r>
      <w:r w:rsidRPr="0019789C">
        <w:t xml:space="preserve"> (n </w:t>
      </w:r>
      <w:r w:rsidRPr="0019789C">
        <w:fldChar w:fldCharType="begin"/>
      </w:r>
      <w:r w:rsidRPr="0019789C">
        <w:instrText xml:space="preserve"> NOTEREF _Ref39501196 \h  \* MERGEFORMAT </w:instrText>
      </w:r>
      <w:r w:rsidRPr="0019789C">
        <w:fldChar w:fldCharType="separate"/>
      </w:r>
      <w:r w:rsidR="00AD46EC">
        <w:t>498</w:t>
      </w:r>
      <w:r w:rsidRPr="0019789C">
        <w:fldChar w:fldCharType="end"/>
      </w:r>
      <w:r w:rsidRPr="0019789C">
        <w:t>) 594.</w:t>
      </w:r>
    </w:p>
  </w:footnote>
  <w:footnote w:id="563">
    <w:p w14:paraId="5C51871E" w14:textId="77777777" w:rsidR="0019789C" w:rsidRPr="0019789C" w:rsidRDefault="0019789C" w:rsidP="001300A7">
      <w:pPr>
        <w:pStyle w:val="fntxt"/>
      </w:pPr>
      <w:r w:rsidRPr="0019789C">
        <w:rPr>
          <w:rStyle w:val="FootnoteReference"/>
          <w:rFonts w:cs="Arial"/>
        </w:rPr>
        <w:footnoteRef/>
      </w:r>
      <w:r w:rsidRPr="0019789C">
        <w:t xml:space="preserve"> See eg </w:t>
      </w:r>
      <w:r w:rsidRPr="0019789C">
        <w:rPr>
          <w:rStyle w:val="fncaseChar"/>
          <w:rFonts w:cs="Arial"/>
        </w:rPr>
        <w:t>Morris v Murray</w:t>
      </w:r>
      <w:r w:rsidRPr="0019789C">
        <w:t xml:space="preserve"> [1991] [1991] 2 QB 6, [1990] 3 All ER 801.</w:t>
      </w:r>
    </w:p>
  </w:footnote>
  <w:footnote w:id="564">
    <w:p w14:paraId="3EB9738C" w14:textId="57E19D1C" w:rsidR="0019789C" w:rsidRPr="0019789C" w:rsidRDefault="0019789C" w:rsidP="001300A7">
      <w:pPr>
        <w:pStyle w:val="fntxt"/>
      </w:pPr>
      <w:r w:rsidRPr="0019789C">
        <w:rPr>
          <w:rStyle w:val="FootnoteReference"/>
          <w:rFonts w:cs="Arial"/>
        </w:rPr>
        <w:footnoteRef/>
      </w:r>
      <w:r w:rsidRPr="0019789C">
        <w:t xml:space="preserve"> See also</w:t>
      </w:r>
      <w:r w:rsidRPr="0019789C">
        <w:rPr>
          <w:rStyle w:val="fncaseChar"/>
          <w:rFonts w:cs="Arial"/>
        </w:rPr>
        <w:t xml:space="preserve"> Pitts</w:t>
      </w:r>
      <w:r w:rsidRPr="0019789C">
        <w:t xml:space="preserve"> (n </w:t>
      </w:r>
      <w:r w:rsidRPr="0019789C">
        <w:fldChar w:fldCharType="begin"/>
      </w:r>
      <w:r w:rsidRPr="0019789C">
        <w:instrText xml:space="preserve"> NOTEREF _Ref32913755 \h  \* MERGEFORMAT </w:instrText>
      </w:r>
      <w:r w:rsidRPr="0019789C">
        <w:fldChar w:fldCharType="separate"/>
      </w:r>
      <w:r w:rsidR="00AD46EC">
        <w:t>561</w:t>
      </w:r>
      <w:r w:rsidRPr="0019789C">
        <w:fldChar w:fldCharType="end"/>
      </w:r>
      <w:r w:rsidRPr="0019789C">
        <w:t>).</w:t>
      </w:r>
    </w:p>
  </w:footnote>
  <w:footnote w:id="565">
    <w:p w14:paraId="6B92A00B" w14:textId="77777777" w:rsidR="0019789C" w:rsidRPr="0019789C" w:rsidRDefault="0019789C" w:rsidP="001300A7">
      <w:pPr>
        <w:pStyle w:val="fntxt"/>
      </w:pPr>
      <w:r w:rsidRPr="0019789C">
        <w:rPr>
          <w:rStyle w:val="FootnoteReference"/>
          <w:rFonts w:cs="Arial"/>
        </w:rPr>
        <w:footnoteRef/>
      </w:r>
      <w:r w:rsidRPr="0019789C">
        <w:t xml:space="preserve"> [2009] 1 AC 1339.</w:t>
      </w:r>
    </w:p>
  </w:footnote>
  <w:footnote w:id="566">
    <w:p w14:paraId="7312AC32" w14:textId="77777777" w:rsidR="0019789C" w:rsidRPr="0019789C" w:rsidRDefault="0019789C" w:rsidP="001300A7">
      <w:pPr>
        <w:pStyle w:val="fntxt"/>
      </w:pPr>
      <w:r w:rsidRPr="0019789C">
        <w:rPr>
          <w:rStyle w:val="FootnoteReference"/>
          <w:rFonts w:cs="Arial"/>
        </w:rPr>
        <w:footnoteRef/>
      </w:r>
      <w:r w:rsidRPr="0019789C">
        <w:t xml:space="preserve"> ibid 1370.</w:t>
      </w:r>
    </w:p>
  </w:footnote>
  <w:footnote w:id="567">
    <w:p w14:paraId="2E64F114" w14:textId="77777777" w:rsidR="0019789C" w:rsidRPr="0019789C" w:rsidRDefault="0019789C" w:rsidP="001300A7">
      <w:pPr>
        <w:pStyle w:val="fntxt"/>
      </w:pPr>
      <w:r w:rsidRPr="0019789C">
        <w:rPr>
          <w:rStyle w:val="FootnoteReference"/>
          <w:rFonts w:cs="Arial"/>
        </w:rPr>
        <w:footnoteRef/>
      </w:r>
      <w:r w:rsidRPr="0019789C">
        <w:t xml:space="preserve"> ibid 1370 [in </w:t>
      </w:r>
      <w:r w:rsidRPr="0019789C">
        <w:rPr>
          <w:rStyle w:val="fncaseChar"/>
          <w:rFonts w:cs="Arial"/>
        </w:rPr>
        <w:t>Gray</w:t>
      </w:r>
      <w:r w:rsidRPr="0019789C">
        <w:t>, where the criminal act was manslaughter, the wide form blocked recovery for loss of earnings during imprisonment and general damages for detention, conviction and damage to reputation].</w:t>
      </w:r>
    </w:p>
  </w:footnote>
  <w:footnote w:id="568">
    <w:p w14:paraId="718149EE" w14:textId="77777777" w:rsidR="0019789C" w:rsidRPr="0019789C" w:rsidRDefault="0019789C" w:rsidP="001300A7">
      <w:pPr>
        <w:pStyle w:val="fntxt"/>
      </w:pPr>
      <w:r w:rsidRPr="0019789C">
        <w:rPr>
          <w:rStyle w:val="FootnoteReference"/>
          <w:rFonts w:cs="Arial"/>
        </w:rPr>
        <w:footnoteRef/>
      </w:r>
      <w:r w:rsidRPr="0019789C">
        <w:t xml:space="preserve"> See eg </w:t>
      </w:r>
      <w:r w:rsidRPr="0019789C">
        <w:rPr>
          <w:rStyle w:val="fncaseChar"/>
          <w:rFonts w:cs="Arial"/>
        </w:rPr>
        <w:t xml:space="preserve">Joyce v O’Brien </w:t>
      </w:r>
      <w:r w:rsidRPr="0019789C">
        <w:t xml:space="preserve">[2013] EWCA Civ 546 [the two parties had stolen some ladders and trying to make a speedy escape; Joyce, holding onto the stolen ladders in the back of the van, was injured when he fell from the van; illegality blocked Joyce’s claim because the injury was caused by the criminal act and not incidental]; </w:t>
      </w:r>
      <w:r w:rsidRPr="0019789C">
        <w:rPr>
          <w:rStyle w:val="fncaseChar"/>
          <w:rFonts w:cs="Arial"/>
        </w:rPr>
        <w:t>Delaney v Pickett</w:t>
      </w:r>
      <w:r w:rsidRPr="0019789C">
        <w:t xml:space="preserve"> [2011] EWCA Civ 1532 [driving while in possession of cannabis and crashed; Delaney sued Pickett and illegality did not block the claim because Delaney’s injuries were not a consequence of possession of cannabis with intent to supply, Pickett was just driving negligently; the illegality was incidental to the car accident, not causative].</w:t>
      </w:r>
    </w:p>
  </w:footnote>
  <w:footnote w:id="569">
    <w:p w14:paraId="07FE1C1C"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Saunders v Edwards</w:t>
      </w:r>
      <w:r w:rsidRPr="0019789C">
        <w:t xml:space="preserve"> [1987] 2 All ER 651, [1987] 1 WLR 1116.</w:t>
      </w:r>
    </w:p>
  </w:footnote>
  <w:footnote w:id="570">
    <w:p w14:paraId="3A892056" w14:textId="77777777" w:rsidR="0019789C" w:rsidRPr="0019789C" w:rsidRDefault="0019789C" w:rsidP="001300A7">
      <w:pPr>
        <w:pStyle w:val="fntxt"/>
      </w:pPr>
      <w:r w:rsidRPr="0019789C">
        <w:rPr>
          <w:rStyle w:val="FootnoteReference"/>
          <w:rFonts w:cs="Arial"/>
        </w:rPr>
        <w:footnoteRef/>
      </w:r>
      <w:r w:rsidRPr="0019789C">
        <w:t xml:space="preserve"> Road Traffic Act 1988, s 37.</w:t>
      </w:r>
    </w:p>
  </w:footnote>
  <w:footnote w:id="571">
    <w:p w14:paraId="39AA45A1" w14:textId="77777777" w:rsidR="0019789C" w:rsidRPr="0019789C" w:rsidRDefault="0019789C" w:rsidP="001300A7">
      <w:pPr>
        <w:pStyle w:val="fntxt"/>
      </w:pPr>
      <w:r w:rsidRPr="0019789C">
        <w:rPr>
          <w:rStyle w:val="FootnoteReference"/>
          <w:rFonts w:cs="Arial"/>
        </w:rPr>
        <w:footnoteRef/>
      </w:r>
      <w:r w:rsidRPr="0019789C">
        <w:t xml:space="preserve"> Road Traffic Offenders Act 1988, sch 2.</w:t>
      </w:r>
    </w:p>
  </w:footnote>
  <w:footnote w:id="572">
    <w:p w14:paraId="543E08C7" w14:textId="77777777" w:rsidR="0019789C" w:rsidRPr="0019789C" w:rsidRDefault="0019789C" w:rsidP="001300A7">
      <w:pPr>
        <w:pStyle w:val="fntxt"/>
      </w:pPr>
      <w:r w:rsidRPr="0019789C">
        <w:rPr>
          <w:rStyle w:val="FootnoteReference"/>
          <w:rFonts w:cs="Arial"/>
        </w:rPr>
        <w:footnoteRef/>
      </w:r>
      <w:r w:rsidRPr="0019789C">
        <w:t xml:space="preserve"> In eg </w:t>
      </w:r>
      <w:r w:rsidRPr="0019789C">
        <w:rPr>
          <w:rStyle w:val="fncaseChar"/>
          <w:rFonts w:cs="Arial"/>
        </w:rPr>
        <w:t>Hernandez v Acar &amp; Anor</w:t>
      </w:r>
      <w:r w:rsidRPr="0019789C">
        <w:t xml:space="preserve"> [2019] EWHC 72 (QB), in determining the apportionment of liability, the Court placed a ‘little bit more blame’ on the claimant than the defendant; yet the claimant was a vulnerable road user, being a motorcyclist, which tilted the balance back in favour of the claimant; the Court gave judgment for 60% of the claimant's claim and 40% of the defendant's counterclaim.</w:t>
      </w:r>
    </w:p>
  </w:footnote>
  <w:footnote w:id="573">
    <w:p w14:paraId="6AE3AB95" w14:textId="7794F13C" w:rsidR="0019789C" w:rsidRPr="0019789C" w:rsidRDefault="0019789C" w:rsidP="001300A7">
      <w:pPr>
        <w:pStyle w:val="fntxt"/>
      </w:pPr>
      <w:r w:rsidRPr="0019789C">
        <w:rPr>
          <w:rStyle w:val="FootnoteReference"/>
          <w:rFonts w:cs="Arial"/>
        </w:rPr>
        <w:footnoteRef/>
      </w:r>
      <w:r w:rsidRPr="0019789C">
        <w:t xml:space="preserve"> Limitations Act 1980, s 11(1); personal injuries are defined by s 38(1) of the Limitation Act 1980.</w:t>
      </w:r>
    </w:p>
  </w:footnote>
  <w:footnote w:id="574">
    <w:p w14:paraId="3B3A658C" w14:textId="77777777" w:rsidR="0019789C" w:rsidRPr="0019789C" w:rsidRDefault="0019789C" w:rsidP="001300A7">
      <w:pPr>
        <w:pStyle w:val="fntxt"/>
      </w:pPr>
      <w:r w:rsidRPr="0019789C">
        <w:rPr>
          <w:rStyle w:val="FootnoteReference"/>
          <w:rFonts w:cs="Arial"/>
        </w:rPr>
        <w:footnoteRef/>
      </w:r>
      <w:r w:rsidRPr="0019789C">
        <w:t xml:space="preserve"> Limitations Act 1980, s 11(4).</w:t>
      </w:r>
    </w:p>
  </w:footnote>
  <w:footnote w:id="575">
    <w:p w14:paraId="4A566D6C" w14:textId="77777777" w:rsidR="0019789C" w:rsidRPr="0019789C" w:rsidRDefault="0019789C" w:rsidP="001300A7">
      <w:pPr>
        <w:pStyle w:val="fntxt"/>
      </w:pPr>
      <w:r w:rsidRPr="0019789C">
        <w:rPr>
          <w:rStyle w:val="FootnoteReference"/>
          <w:rFonts w:cs="Arial"/>
        </w:rPr>
        <w:footnoteRef/>
      </w:r>
      <w:r w:rsidRPr="0019789C">
        <w:t xml:space="preserve"> Limitations Act 1980, s 11(5).</w:t>
      </w:r>
    </w:p>
  </w:footnote>
  <w:footnote w:id="576">
    <w:p w14:paraId="70B09F99" w14:textId="77777777" w:rsidR="0019789C" w:rsidRPr="0019789C" w:rsidRDefault="0019789C" w:rsidP="001300A7">
      <w:pPr>
        <w:pStyle w:val="fntxt"/>
      </w:pPr>
      <w:r w:rsidRPr="0019789C">
        <w:rPr>
          <w:rStyle w:val="FootnoteReference"/>
          <w:rFonts w:cs="Arial"/>
        </w:rPr>
        <w:footnoteRef/>
      </w:r>
      <w:r w:rsidRPr="0019789C">
        <w:t xml:space="preserve"> Limitations Act 1980, s 33.</w:t>
      </w:r>
    </w:p>
  </w:footnote>
  <w:footnote w:id="577">
    <w:p w14:paraId="42E7A8D8" w14:textId="465448F6" w:rsidR="0019789C" w:rsidRPr="0019789C" w:rsidRDefault="0019789C" w:rsidP="001300A7">
      <w:pPr>
        <w:pStyle w:val="fntxt"/>
      </w:pPr>
      <w:r w:rsidRPr="0019789C">
        <w:rPr>
          <w:rStyle w:val="FootnoteReference"/>
          <w:rFonts w:cs="Arial"/>
        </w:rPr>
        <w:footnoteRef/>
      </w:r>
      <w:r w:rsidRPr="0019789C">
        <w:t xml:space="preserve"> Legal Aid, Sentencing and Punishment of Offenders Act 2012, sch 1, pt 2, ss 1, 2 and 6 (applicable in England and Wales).</w:t>
      </w:r>
    </w:p>
  </w:footnote>
  <w:footnote w:id="578">
    <w:p w14:paraId="4C452E79" w14:textId="77777777" w:rsidR="0019789C" w:rsidRPr="0019789C" w:rsidRDefault="0019789C" w:rsidP="001300A7">
      <w:pPr>
        <w:pStyle w:val="fntxt"/>
      </w:pPr>
      <w:r w:rsidRPr="0019789C">
        <w:rPr>
          <w:rStyle w:val="FootnoteReference"/>
        </w:rPr>
        <w:footnoteRef/>
      </w:r>
      <w:r w:rsidRPr="0019789C">
        <w:t xml:space="preserve"> Courts and Legal Services Act 1990, s 58AA: ‘a damages-based agreement is an agreement between a person providing advocacy services, litigation services or claims management services and the recipient of those services which provides that – (i) the recipient is to make a payment to the person providing the services if the recipient obtains a specified financial benefit in connection with the matter in relation to which the services are provided, and (ii) the amount of that payment is to be determined by reference to the amount of the financial benefit obtained.’</w:t>
      </w:r>
    </w:p>
  </w:footnote>
  <w:footnote w:id="579">
    <w:p w14:paraId="43E30070" w14:textId="2B28305E" w:rsidR="0019789C" w:rsidRPr="0019789C" w:rsidRDefault="0019789C" w:rsidP="001300A7">
      <w:pPr>
        <w:pStyle w:val="fntxt"/>
        <w:rPr>
          <w:lang w:val="en-US"/>
        </w:rPr>
      </w:pPr>
      <w:r w:rsidRPr="0019789C">
        <w:rPr>
          <w:rStyle w:val="FootnoteReference"/>
        </w:rPr>
        <w:footnoteRef/>
      </w:r>
      <w:r w:rsidRPr="0019789C">
        <w:t xml:space="preserve"> </w:t>
      </w:r>
      <w:r w:rsidRPr="0019789C">
        <w:rPr>
          <w:i/>
        </w:rPr>
        <w:t xml:space="preserve">Simmons </w:t>
      </w:r>
      <w:r w:rsidRPr="0019789C">
        <w:t xml:space="preserve">(n </w:t>
      </w:r>
      <w:r w:rsidRPr="0019789C">
        <w:fldChar w:fldCharType="begin"/>
      </w:r>
      <w:r w:rsidRPr="0019789C">
        <w:instrText xml:space="preserve"> NOTEREF _Ref39502816 \h  \* MERGEFORMAT </w:instrText>
      </w:r>
      <w:r w:rsidRPr="0019789C">
        <w:fldChar w:fldCharType="separate"/>
      </w:r>
      <w:r w:rsidR="00AD46EC">
        <w:t>554</w:t>
      </w:r>
      <w:r w:rsidRPr="0019789C">
        <w:fldChar w:fldCharType="end"/>
      </w:r>
      <w:r w:rsidRPr="0019789C">
        <w:t xml:space="preserve">) 340. </w:t>
      </w:r>
    </w:p>
  </w:footnote>
  <w:footnote w:id="580">
    <w:p w14:paraId="1514C727" w14:textId="39B82808" w:rsidR="0019789C" w:rsidRPr="0019789C" w:rsidRDefault="0019789C" w:rsidP="001300A7">
      <w:pPr>
        <w:pStyle w:val="fntxt"/>
      </w:pPr>
      <w:r w:rsidRPr="0019789C">
        <w:rPr>
          <w:rStyle w:val="FootnoteReference"/>
        </w:rPr>
        <w:footnoteRef/>
      </w:r>
      <w:r w:rsidRPr="0019789C">
        <w:t xml:space="preserve"> </w:t>
      </w:r>
      <w:r w:rsidRPr="0019789C">
        <w:rPr>
          <w:iCs/>
        </w:rPr>
        <w:t>ibid</w:t>
      </w:r>
      <w:r w:rsidRPr="0019789C">
        <w:t>.</w:t>
      </w:r>
    </w:p>
  </w:footnote>
  <w:footnote w:id="581">
    <w:p w14:paraId="5928EBEC" w14:textId="77777777" w:rsidR="0019789C" w:rsidRPr="0019789C" w:rsidRDefault="0019789C" w:rsidP="001300A7">
      <w:pPr>
        <w:pStyle w:val="fntxt"/>
      </w:pPr>
      <w:r w:rsidRPr="0019789C">
        <w:rPr>
          <w:rStyle w:val="FootnoteReference"/>
        </w:rPr>
        <w:footnoteRef/>
      </w:r>
      <w:r w:rsidRPr="0019789C">
        <w:t xml:space="preserve"> Sir Rupert Jackson, ‘Review of Civil Litigation Costs: Final Report’ (December 2009) para 2.4</w:t>
      </w:r>
    </w:p>
  </w:footnote>
  <w:footnote w:id="582">
    <w:p w14:paraId="11EFA4E3" w14:textId="50484C08" w:rsidR="0019789C" w:rsidRPr="0019789C" w:rsidRDefault="0019789C" w:rsidP="001300A7">
      <w:pPr>
        <w:pStyle w:val="fntxt"/>
      </w:pPr>
      <w:r w:rsidRPr="0019789C">
        <w:rPr>
          <w:rStyle w:val="FootnoteReference"/>
        </w:rPr>
        <w:footnoteRef/>
      </w:r>
      <w:r w:rsidRPr="0019789C">
        <w:t xml:space="preserve"> </w:t>
      </w:r>
      <w:r w:rsidRPr="0019789C">
        <w:rPr>
          <w:i/>
        </w:rPr>
        <w:t xml:space="preserve">Simmons </w:t>
      </w:r>
      <w:r w:rsidRPr="0019789C">
        <w:t xml:space="preserve">(n </w:t>
      </w:r>
      <w:r w:rsidRPr="0019789C">
        <w:fldChar w:fldCharType="begin"/>
      </w:r>
      <w:r w:rsidRPr="0019789C">
        <w:instrText xml:space="preserve"> NOTEREF _Ref39502816 \h  \* MERGEFORMAT </w:instrText>
      </w:r>
      <w:r w:rsidRPr="0019789C">
        <w:fldChar w:fldCharType="separate"/>
      </w:r>
      <w:r w:rsidR="00AD46EC">
        <w:t>554</w:t>
      </w:r>
      <w:r w:rsidRPr="0019789C">
        <w:fldChar w:fldCharType="end"/>
      </w:r>
      <w:r w:rsidRPr="0019789C">
        <w:t>) 348.</w:t>
      </w:r>
    </w:p>
  </w:footnote>
  <w:footnote w:id="583">
    <w:p w14:paraId="31955E60" w14:textId="77777777" w:rsidR="0019789C" w:rsidRPr="0019789C" w:rsidRDefault="0019789C" w:rsidP="001300A7">
      <w:pPr>
        <w:pStyle w:val="fntxt"/>
      </w:pPr>
      <w:r w:rsidRPr="0019789C">
        <w:rPr>
          <w:rStyle w:val="FootnoteReference"/>
          <w:rFonts w:cs="Arial"/>
        </w:rPr>
        <w:footnoteRef/>
      </w:r>
      <w:r w:rsidRPr="0019789C">
        <w:t xml:space="preserve"> K Oliphant, ‘The liability of public authorities in England and Wales’ in K Oliphant (ed), </w:t>
      </w:r>
      <w:r w:rsidRPr="0019789C">
        <w:rPr>
          <w:i/>
        </w:rPr>
        <w:t>The Liability of Public Authorities in Comparative Perspective</w:t>
      </w:r>
      <w:r w:rsidRPr="0019789C">
        <w:t xml:space="preserve"> (Intersentia 2016) 136.</w:t>
      </w:r>
    </w:p>
  </w:footnote>
  <w:footnote w:id="584">
    <w:p w14:paraId="4A524E68" w14:textId="77777777"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X v Bedfordshire CC </w:t>
      </w:r>
      <w:r w:rsidRPr="0019789C">
        <w:t>[1995] 2 AC 633, 731: ‘a private law cause of action will arise if it can be shown, as a matter of construction of the statute, that the statutory duty was imposed for the protection of a limited class of the public and that Parliament intended to confer on members of that class a private right of action for breach of the duty.’</w:t>
      </w:r>
    </w:p>
  </w:footnote>
  <w:footnote w:id="585">
    <w:p w14:paraId="5296DB33" w14:textId="22D72E75"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Stovin v Wise </w:t>
      </w:r>
      <w:r w:rsidRPr="0019789C">
        <w:t>[1996] AC 923, [1996] 3 All ER 801;</w:t>
      </w:r>
      <w:r w:rsidRPr="0019789C">
        <w:rPr>
          <w:rStyle w:val="fncaseChar"/>
          <w:rFonts w:cs="Arial"/>
        </w:rPr>
        <w:t xml:space="preserve"> X v Bedfordshire</w:t>
      </w:r>
      <w:r w:rsidRPr="0019789C">
        <w:rPr>
          <w:rStyle w:val="fncaseChar"/>
          <w:rFonts w:cs="Arial"/>
          <w:i w:val="0"/>
          <w:iCs/>
        </w:rPr>
        <w:t xml:space="preserve"> (n </w:t>
      </w:r>
      <w:r w:rsidRPr="0019789C">
        <w:rPr>
          <w:rStyle w:val="fncaseChar"/>
          <w:rFonts w:cs="Arial"/>
          <w:i w:val="0"/>
          <w:iCs/>
        </w:rPr>
        <w:fldChar w:fldCharType="begin"/>
      </w:r>
      <w:r w:rsidRPr="0019789C">
        <w:rPr>
          <w:rStyle w:val="fncaseChar"/>
          <w:rFonts w:cs="Arial"/>
          <w:i w:val="0"/>
          <w:iCs/>
        </w:rPr>
        <w:instrText xml:space="preserve"> NOTEREF _Ref94099878 \h </w:instrText>
      </w:r>
      <w:r>
        <w:rPr>
          <w:rStyle w:val="fncaseChar"/>
          <w:rFonts w:cs="Arial"/>
          <w:i w:val="0"/>
          <w:iCs/>
        </w:rPr>
        <w:instrText xml:space="preserve"> \* MERGEFORMAT </w:instrText>
      </w:r>
      <w:r w:rsidRPr="0019789C">
        <w:rPr>
          <w:rStyle w:val="fncaseChar"/>
          <w:rFonts w:cs="Arial"/>
          <w:i w:val="0"/>
          <w:iCs/>
        </w:rPr>
      </w:r>
      <w:r w:rsidRPr="0019789C">
        <w:rPr>
          <w:rStyle w:val="fncaseChar"/>
          <w:rFonts w:cs="Arial"/>
          <w:i w:val="0"/>
          <w:iCs/>
        </w:rPr>
        <w:fldChar w:fldCharType="separate"/>
      </w:r>
      <w:r w:rsidR="00AD46EC">
        <w:rPr>
          <w:rStyle w:val="fncaseChar"/>
          <w:rFonts w:cs="Arial"/>
          <w:i w:val="0"/>
          <w:iCs/>
        </w:rPr>
        <w:t>584</w:t>
      </w:r>
      <w:r w:rsidRPr="0019789C">
        <w:rPr>
          <w:rStyle w:val="fncaseChar"/>
          <w:rFonts w:cs="Arial"/>
          <w:i w:val="0"/>
          <w:iCs/>
        </w:rPr>
        <w:fldChar w:fldCharType="end"/>
      </w:r>
      <w:r w:rsidRPr="0019789C">
        <w:rPr>
          <w:rStyle w:val="fncaseChar"/>
          <w:rFonts w:cs="Arial"/>
          <w:i w:val="0"/>
          <w:iCs/>
        </w:rPr>
        <w:t>)</w:t>
      </w:r>
      <w:r w:rsidRPr="0019789C">
        <w:t>.</w:t>
      </w:r>
    </w:p>
  </w:footnote>
  <w:footnote w:id="586">
    <w:p w14:paraId="00641131"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Griffiths v Liverpool Corp</w:t>
      </w:r>
      <w:r w:rsidRPr="0019789C">
        <w:t xml:space="preserve"> [1967] 1 QB 374, 389: ‘The duty at common law to maintain, which includes a duty to repair a highway, was not based in negligence but in nuisance. It was an absolute duty to maintain, not merely a duty to take reasonable care to maintain, and the statutory duty which replaced it was also absolute’.</w:t>
      </w:r>
    </w:p>
  </w:footnote>
  <w:footnote w:id="587">
    <w:p w14:paraId="19F43A3A" w14:textId="77777777" w:rsidR="0019789C" w:rsidRPr="0019789C" w:rsidRDefault="0019789C" w:rsidP="001300A7">
      <w:pPr>
        <w:pStyle w:val="fntxt"/>
      </w:pPr>
      <w:r w:rsidRPr="0019789C">
        <w:rPr>
          <w:rStyle w:val="FootnoteReference"/>
          <w:rFonts w:cs="Arial"/>
        </w:rPr>
        <w:footnoteRef/>
      </w:r>
      <w:r w:rsidRPr="0019789C">
        <w:t xml:space="preserve"> See </w:t>
      </w:r>
      <w:r w:rsidRPr="0019789C">
        <w:rPr>
          <w:rStyle w:val="fncaseChar"/>
          <w:rFonts w:cs="Arial"/>
        </w:rPr>
        <w:t xml:space="preserve">Hardaker v Idle DC </w:t>
      </w:r>
      <w:r w:rsidRPr="0019789C">
        <w:t>[1896] 1 QB 335 (injury occurred due to the sub-contractors failure to discharge the s 41 duty the council owed to the public; notwithstanding that they had delegated the performance of the duty to the contractor, they were responsible to the plaintiffs for the breach).</w:t>
      </w:r>
    </w:p>
  </w:footnote>
  <w:footnote w:id="588">
    <w:p w14:paraId="496A8A1B" w14:textId="25C8492A" w:rsidR="0019789C" w:rsidRPr="0019789C" w:rsidRDefault="0019789C" w:rsidP="001300A7">
      <w:pPr>
        <w:pStyle w:val="fntxt"/>
      </w:pPr>
      <w:r w:rsidRPr="0019789C">
        <w:rPr>
          <w:rStyle w:val="FootnoteReference"/>
          <w:rFonts w:cs="Arial"/>
        </w:rPr>
        <w:footnoteRef/>
      </w:r>
      <w:r w:rsidRPr="0019789C">
        <w:t xml:space="preserve"> </w:t>
      </w:r>
      <w:r w:rsidRPr="0019789C">
        <w:rPr>
          <w:rFonts w:cs="Arial"/>
        </w:rPr>
        <w:t>UK Roads Liaison Group</w:t>
      </w:r>
      <w:r w:rsidRPr="0019789C">
        <w:t>, ‘Well-managed Highway Infrastructure - A Code of Practice’ (2016) para A.3.2.9.</w:t>
      </w:r>
    </w:p>
  </w:footnote>
  <w:footnote w:id="589">
    <w:p w14:paraId="1740F726"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Mills v Barnsley Metropolitan Borough Council</w:t>
      </w:r>
      <w:r w:rsidRPr="0019789C">
        <w:t xml:space="preserve"> [1992] PIQR P291, 292.</w:t>
      </w:r>
    </w:p>
  </w:footnote>
  <w:footnote w:id="590">
    <w:p w14:paraId="3256217B" w14:textId="77777777" w:rsidR="0019789C" w:rsidRPr="0019789C" w:rsidRDefault="0019789C" w:rsidP="001300A7">
      <w:pPr>
        <w:pStyle w:val="fntxt"/>
      </w:pPr>
      <w:r w:rsidRPr="0019789C">
        <w:rPr>
          <w:rStyle w:val="FootnoteReference"/>
          <w:rFonts w:cs="Arial"/>
        </w:rPr>
        <w:footnoteRef/>
      </w:r>
      <w:r w:rsidRPr="0019789C">
        <w:t xml:space="preserve"> ibid 292-93.</w:t>
      </w:r>
    </w:p>
  </w:footnote>
  <w:footnote w:id="591">
    <w:p w14:paraId="21297FD6" w14:textId="77777777"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Department for Transport, Environment &amp; the Regions v MacDonald Ltd &amp; Ors </w:t>
      </w:r>
      <w:r w:rsidRPr="0019789C">
        <w:t>[2006] EWCA Civ 1089 (the duty imposed on highway authorities extends to repairing and maintaining drains beneath the surface of the road and clearing blockages).</w:t>
      </w:r>
    </w:p>
  </w:footnote>
  <w:footnote w:id="592">
    <w:p w14:paraId="5019ED50" w14:textId="77777777" w:rsidR="0019789C" w:rsidRPr="0019789C" w:rsidRDefault="0019789C" w:rsidP="001300A7">
      <w:pPr>
        <w:pStyle w:val="fntxt"/>
      </w:pPr>
      <w:r w:rsidRPr="0019789C">
        <w:rPr>
          <w:rStyle w:val="FootnoteReference"/>
          <w:rFonts w:cs="Arial"/>
        </w:rPr>
        <w:footnoteRef/>
      </w:r>
      <w:r w:rsidRPr="0019789C">
        <w:t xml:space="preserve"> Highways Act 1980, s 41(1A).</w:t>
      </w:r>
    </w:p>
  </w:footnote>
  <w:footnote w:id="593">
    <w:p w14:paraId="0DB1F53A" w14:textId="6FFC32F3" w:rsidR="0019789C" w:rsidRPr="0019789C" w:rsidRDefault="0019789C" w:rsidP="001300A7">
      <w:pPr>
        <w:pStyle w:val="fntxt"/>
      </w:pPr>
      <w:r w:rsidRPr="0019789C">
        <w:rPr>
          <w:rStyle w:val="FootnoteReference"/>
          <w:rFonts w:cs="Arial"/>
        </w:rPr>
        <w:footnoteRef/>
      </w:r>
      <w:r w:rsidRPr="0019789C">
        <w:t xml:space="preserve"> Unreported, but see Highways Reporter, ‘Test case on risk-based approach to go to appeal’ (1 June 2017) </w:t>
      </w:r>
      <w:hyperlink r:id="rId106" w:history="1">
        <w:r w:rsidRPr="0019789C">
          <w:rPr>
            <w:rStyle w:val="Hyperlink"/>
            <w:rFonts w:cs="Arial"/>
          </w:rPr>
          <w:t>&lt;www.highwaysmagazine.co.uk/article/detail/3454&gt;</w:t>
        </w:r>
      </w:hyperlink>
      <w:r w:rsidRPr="0019789C">
        <w:t xml:space="preserve"> accessed 12 May 2019.</w:t>
      </w:r>
    </w:p>
  </w:footnote>
  <w:footnote w:id="594">
    <w:p w14:paraId="7F195967"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595">
    <w:p w14:paraId="0A87D27C" w14:textId="77777777" w:rsidR="0019789C" w:rsidRPr="0019789C" w:rsidRDefault="0019789C" w:rsidP="001300A7">
      <w:pPr>
        <w:pStyle w:val="fntxt"/>
      </w:pPr>
      <w:r w:rsidRPr="0019789C">
        <w:rPr>
          <w:rStyle w:val="FootnoteReference"/>
          <w:rFonts w:cs="Arial"/>
        </w:rPr>
        <w:footnoteRef/>
      </w:r>
      <w:r w:rsidRPr="0019789C">
        <w:t xml:space="preserve"> ibid. </w:t>
      </w:r>
    </w:p>
  </w:footnote>
  <w:footnote w:id="596">
    <w:p w14:paraId="7C4DF8D0" w14:textId="3764A298"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Rider v Rider </w:t>
      </w:r>
      <w:r w:rsidRPr="0019789C">
        <w:t>[1993] 1QB 505, 514 (per Sachs LJ, in relation to Highways Act 1959, s 44, which is now Highways Act 1980, s 41). The statutory duty was: ‘reasonably to maintain and repair the highway so that it is free of danger to all users who use that highway in the way normally to be expected of them … Motorists who thus use the highway, and to whom a duty is owed, are not expected by the authority all to be model drivers. … The highway authority must provide not merely for model drivers, but for the normal run of drivers to be found on their highways, and that includes those who make mistakes which experience and common sense teaches are likely to occur.’</w:t>
      </w:r>
    </w:p>
    <w:p w14:paraId="2D4F39C3" w14:textId="44555E7C"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 xml:space="preserve">See above B1.1 </w:t>
      </w:r>
      <w:r w:rsidRPr="0019789C">
        <w:rPr>
          <w:lang w:val="en-US"/>
        </w:rPr>
        <w:fldChar w:fldCharType="begin"/>
      </w:r>
      <w:r w:rsidRPr="0019789C">
        <w:rPr>
          <w:lang w:val="en-US"/>
        </w:rPr>
        <w:instrText xml:space="preserve"> REF _Ref27061814 \h  \* MERGEFORMAT </w:instrText>
      </w:r>
      <w:r w:rsidRPr="0019789C">
        <w:rPr>
          <w:lang w:val="en-US"/>
        </w:rPr>
      </w:r>
      <w:r w:rsidRPr="0019789C">
        <w:rPr>
          <w:lang w:val="en-US"/>
        </w:rPr>
        <w:fldChar w:fldCharType="separate"/>
      </w:r>
      <w:r w:rsidR="00AD46EC" w:rsidRPr="002A65B0">
        <w:t>(c) Enforcement</w:t>
      </w:r>
      <w:r w:rsidRPr="0019789C">
        <w:rPr>
          <w:lang w:val="en-US"/>
        </w:rPr>
        <w:fldChar w:fldCharType="end"/>
      </w:r>
      <w:r w:rsidRPr="0019789C">
        <w:rPr>
          <w:lang w:val="en-US"/>
        </w:rPr>
        <w:t>.</w:t>
      </w:r>
    </w:p>
  </w:footnote>
  <w:footnote w:id="597">
    <w:p w14:paraId="5367ABA8"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Valentine v Transport for London</w:t>
      </w:r>
      <w:r w:rsidRPr="0019789C">
        <w:t xml:space="preserve"> [2010] EWCA Civ 1358, [2011] PIQR P7 [8].</w:t>
      </w:r>
    </w:p>
  </w:footnote>
  <w:footnote w:id="598">
    <w:p w14:paraId="4B312040"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Thompson v Hampshire County Council</w:t>
      </w:r>
      <w:r w:rsidRPr="0019789C">
        <w:t xml:space="preserve"> [2004] EMCA Civ 1016.</w:t>
      </w:r>
    </w:p>
  </w:footnote>
  <w:footnote w:id="599">
    <w:p w14:paraId="36AF1762"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Gorringe v Calderdale Metropolitan Borough Council</w:t>
      </w:r>
      <w:r w:rsidRPr="0019789C">
        <w:t xml:space="preserve"> [2004] UKHL 15, [2004] 2 All ER 326, [2004] 1 WLR 1057.</w:t>
      </w:r>
    </w:p>
  </w:footnote>
  <w:footnote w:id="600">
    <w:p w14:paraId="7620E629"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James and Anor v Preseli Pembrokeshire District Council</w:t>
      </w:r>
      <w:r w:rsidRPr="0019789C">
        <w:t xml:space="preserve"> [1993] PIQR 114, 119.</w:t>
      </w:r>
    </w:p>
  </w:footnote>
  <w:footnote w:id="601">
    <w:p w14:paraId="080D3A9E" w14:textId="77777777" w:rsidR="0019789C" w:rsidRPr="0019789C" w:rsidRDefault="0019789C" w:rsidP="001300A7">
      <w:pPr>
        <w:pStyle w:val="fntxt"/>
      </w:pPr>
      <w:r w:rsidRPr="0019789C">
        <w:rPr>
          <w:rStyle w:val="FootnoteReference"/>
          <w:rFonts w:cs="Arial"/>
        </w:rPr>
        <w:footnoteRef/>
      </w:r>
      <w:r w:rsidRPr="0019789C">
        <w:t xml:space="preserve"> See </w:t>
      </w:r>
      <w:r w:rsidRPr="0019789C">
        <w:rPr>
          <w:rStyle w:val="fncaseChar"/>
          <w:rFonts w:cs="Arial"/>
        </w:rPr>
        <w:t>Jones v Rhondda Cynon Taff CBC</w:t>
      </w:r>
      <w:r w:rsidRPr="0019789C">
        <w:t xml:space="preserve"> [2009] RTR 151, 157-58 [14]-[16] (as per Laws LJ).</w:t>
      </w:r>
    </w:p>
  </w:footnote>
  <w:footnote w:id="602">
    <w:p w14:paraId="7E8E7964" w14:textId="7200FB9D"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 xml:space="preserve">Mills </w:t>
      </w:r>
      <w:r w:rsidRPr="0019789C">
        <w:rPr>
          <w:rStyle w:val="fncaseChar"/>
          <w:rFonts w:cs="Arial"/>
          <w:i w:val="0"/>
          <w:iCs/>
        </w:rPr>
        <w:t xml:space="preserve">(n </w:t>
      </w:r>
      <w:r w:rsidRPr="0019789C">
        <w:rPr>
          <w:rStyle w:val="fncaseChar"/>
          <w:rFonts w:cs="Arial"/>
          <w:i w:val="0"/>
          <w:iCs/>
        </w:rPr>
        <w:fldChar w:fldCharType="begin"/>
      </w:r>
      <w:r w:rsidRPr="0019789C">
        <w:rPr>
          <w:rStyle w:val="fncaseChar"/>
          <w:rFonts w:cs="Arial"/>
          <w:i w:val="0"/>
          <w:iCs/>
        </w:rPr>
        <w:instrText xml:space="preserve"> NOTEREF _Ref94099942 \h </w:instrText>
      </w:r>
      <w:r>
        <w:rPr>
          <w:rStyle w:val="fncaseChar"/>
          <w:rFonts w:cs="Arial"/>
          <w:i w:val="0"/>
          <w:iCs/>
        </w:rPr>
        <w:instrText xml:space="preserve"> \* MERGEFORMAT </w:instrText>
      </w:r>
      <w:r w:rsidRPr="0019789C">
        <w:rPr>
          <w:rStyle w:val="fncaseChar"/>
          <w:rFonts w:cs="Arial"/>
          <w:i w:val="0"/>
          <w:iCs/>
        </w:rPr>
      </w:r>
      <w:r w:rsidRPr="0019789C">
        <w:rPr>
          <w:rStyle w:val="fncaseChar"/>
          <w:rFonts w:cs="Arial"/>
          <w:i w:val="0"/>
          <w:iCs/>
        </w:rPr>
        <w:fldChar w:fldCharType="separate"/>
      </w:r>
      <w:r w:rsidR="00AD46EC">
        <w:rPr>
          <w:rStyle w:val="fncaseChar"/>
          <w:rFonts w:cs="Arial"/>
          <w:i w:val="0"/>
          <w:iCs/>
        </w:rPr>
        <w:t>589</w:t>
      </w:r>
      <w:r w:rsidRPr="0019789C">
        <w:rPr>
          <w:rStyle w:val="fncaseChar"/>
          <w:rFonts w:cs="Arial"/>
          <w:i w:val="0"/>
          <w:iCs/>
        </w:rPr>
        <w:fldChar w:fldCharType="end"/>
      </w:r>
      <w:r w:rsidRPr="0019789C">
        <w:rPr>
          <w:rStyle w:val="fncaseChar"/>
          <w:rFonts w:cs="Arial"/>
          <w:i w:val="0"/>
          <w:iCs/>
        </w:rPr>
        <w:t xml:space="preserve">) </w:t>
      </w:r>
      <w:r w:rsidRPr="0019789C">
        <w:t>291 and 293.</w:t>
      </w:r>
    </w:p>
  </w:footnote>
  <w:footnote w:id="603">
    <w:p w14:paraId="3AD3E1CC" w14:textId="77777777" w:rsidR="0019789C" w:rsidRPr="0019789C" w:rsidRDefault="0019789C" w:rsidP="001300A7">
      <w:pPr>
        <w:pStyle w:val="fntxt"/>
      </w:pPr>
      <w:r w:rsidRPr="0019789C">
        <w:rPr>
          <w:rStyle w:val="FootnoteReference"/>
          <w:rFonts w:cs="Arial"/>
        </w:rPr>
        <w:footnoteRef/>
      </w:r>
      <w:r w:rsidRPr="0019789C">
        <w:t xml:space="preserve"> ibid 291.</w:t>
      </w:r>
    </w:p>
  </w:footnote>
  <w:footnote w:id="604">
    <w:p w14:paraId="6D8A1B4F" w14:textId="77777777" w:rsidR="0019789C" w:rsidRPr="0019789C" w:rsidRDefault="0019789C" w:rsidP="001300A7">
      <w:pPr>
        <w:pStyle w:val="fntxt"/>
      </w:pPr>
      <w:r w:rsidRPr="0019789C">
        <w:rPr>
          <w:rStyle w:val="FootnoteReference"/>
          <w:rFonts w:cs="Arial"/>
        </w:rPr>
        <w:footnoteRef/>
      </w:r>
      <w:r w:rsidRPr="0019789C">
        <w:t xml:space="preserve"> ibid 292.</w:t>
      </w:r>
    </w:p>
  </w:footnote>
  <w:footnote w:id="605">
    <w:p w14:paraId="66469B7C" w14:textId="77777777" w:rsidR="0019789C" w:rsidRPr="0019789C" w:rsidRDefault="0019789C" w:rsidP="001300A7">
      <w:pPr>
        <w:pStyle w:val="fntxt"/>
      </w:pPr>
      <w:r w:rsidRPr="0019789C">
        <w:rPr>
          <w:rStyle w:val="FootnoteReference"/>
          <w:rFonts w:cs="Arial"/>
        </w:rPr>
        <w:footnoteRef/>
      </w:r>
      <w:r w:rsidRPr="0019789C">
        <w:t xml:space="preserve"> ibid 294.</w:t>
      </w:r>
    </w:p>
  </w:footnote>
  <w:footnote w:id="606">
    <w:p w14:paraId="3DC7D291" w14:textId="77777777" w:rsidR="0019789C" w:rsidRPr="0019789C" w:rsidRDefault="0019789C" w:rsidP="001300A7">
      <w:pPr>
        <w:pStyle w:val="fntxt"/>
      </w:pPr>
      <w:r w:rsidRPr="0019789C">
        <w:rPr>
          <w:rStyle w:val="FootnoteReference"/>
          <w:rFonts w:cs="Arial"/>
        </w:rPr>
        <w:footnoteRef/>
      </w:r>
      <w:r w:rsidRPr="0019789C">
        <w:t xml:space="preserve"> ibid 295.</w:t>
      </w:r>
    </w:p>
  </w:footnote>
  <w:footnote w:id="607">
    <w:p w14:paraId="35E5DB72" w14:textId="77777777" w:rsidR="0019789C" w:rsidRPr="0019789C" w:rsidRDefault="0019789C" w:rsidP="001300A7">
      <w:pPr>
        <w:pStyle w:val="fntxt"/>
      </w:pPr>
      <w:r w:rsidRPr="0019789C">
        <w:rPr>
          <w:rStyle w:val="FootnoteReference"/>
          <w:rFonts w:cs="Arial"/>
        </w:rPr>
        <w:footnoteRef/>
      </w:r>
      <w:r w:rsidRPr="0019789C">
        <w:t xml:space="preserve"> ibid 295.</w:t>
      </w:r>
    </w:p>
  </w:footnote>
  <w:footnote w:id="608">
    <w:p w14:paraId="4E2064ED" w14:textId="77777777" w:rsidR="0019789C" w:rsidRPr="0019789C" w:rsidRDefault="0019789C" w:rsidP="001300A7">
      <w:pPr>
        <w:pStyle w:val="fntxt"/>
      </w:pPr>
      <w:r w:rsidRPr="0019789C">
        <w:rPr>
          <w:rStyle w:val="FootnoteReference"/>
          <w:rFonts w:cs="Arial"/>
        </w:rPr>
        <w:footnoteRef/>
      </w:r>
      <w:r w:rsidRPr="0019789C">
        <w:t xml:space="preserve"> [2008] EWHC 1407 (QB), [2008] WL 2465669.</w:t>
      </w:r>
    </w:p>
  </w:footnote>
  <w:footnote w:id="609">
    <w:p w14:paraId="4BCCC0FF" w14:textId="77777777" w:rsidR="0019789C" w:rsidRPr="0019789C" w:rsidRDefault="0019789C" w:rsidP="001300A7">
      <w:pPr>
        <w:pStyle w:val="fntxt"/>
      </w:pPr>
      <w:r w:rsidRPr="0019789C">
        <w:rPr>
          <w:rStyle w:val="FootnoteReference"/>
          <w:rFonts w:cs="Arial"/>
        </w:rPr>
        <w:footnoteRef/>
      </w:r>
      <w:r w:rsidRPr="0019789C">
        <w:t xml:space="preserve"> [2008] WL 2465669 [2].</w:t>
      </w:r>
    </w:p>
  </w:footnote>
  <w:footnote w:id="610">
    <w:p w14:paraId="0914DBDE" w14:textId="2258B307" w:rsidR="0019789C" w:rsidRPr="0019789C" w:rsidRDefault="0019789C" w:rsidP="001300A7">
      <w:pPr>
        <w:pStyle w:val="fntxt"/>
      </w:pPr>
      <w:r w:rsidRPr="0019789C">
        <w:rPr>
          <w:rStyle w:val="FootnoteReference"/>
          <w:rFonts w:cs="Arial"/>
        </w:rPr>
        <w:footnoteRef/>
      </w:r>
      <w:r w:rsidRPr="0019789C">
        <w:t xml:space="preserve"> ibid [39]-[49]; also, the defendant's case at trial was that the history of involvement in similar claims was such as to give rise to doubts about the reliability of the claimant's evidence and that of her witness, and seriously to undermine her case as to the happening and circumstances of the accident: ibid [8].</w:t>
      </w:r>
    </w:p>
  </w:footnote>
  <w:footnote w:id="611">
    <w:p w14:paraId="00439657" w14:textId="77777777" w:rsidR="0019789C" w:rsidRPr="0019789C" w:rsidRDefault="0019789C" w:rsidP="001300A7">
      <w:pPr>
        <w:pStyle w:val="fntxt"/>
      </w:pPr>
      <w:r w:rsidRPr="0019789C">
        <w:rPr>
          <w:rStyle w:val="FootnoteReference"/>
          <w:rFonts w:cs="Arial"/>
        </w:rPr>
        <w:footnoteRef/>
      </w:r>
      <w:r w:rsidRPr="0019789C">
        <w:t xml:space="preserve"> ibid [41]-[43].</w:t>
      </w:r>
    </w:p>
  </w:footnote>
  <w:footnote w:id="612">
    <w:p w14:paraId="3BEB2E0B" w14:textId="77777777" w:rsidR="0019789C" w:rsidRPr="0019789C" w:rsidRDefault="0019789C" w:rsidP="001300A7">
      <w:pPr>
        <w:pStyle w:val="fntxt"/>
      </w:pPr>
      <w:r w:rsidRPr="0019789C">
        <w:rPr>
          <w:rStyle w:val="FootnoteReference"/>
          <w:rFonts w:cs="Arial"/>
        </w:rPr>
        <w:footnoteRef/>
      </w:r>
      <w:r w:rsidRPr="0019789C">
        <w:t xml:space="preserve"> ibid [40].</w:t>
      </w:r>
    </w:p>
  </w:footnote>
  <w:footnote w:id="613">
    <w:p w14:paraId="48523CCE" w14:textId="77777777" w:rsidR="0019789C" w:rsidRPr="0019789C" w:rsidRDefault="0019789C" w:rsidP="001300A7">
      <w:pPr>
        <w:pStyle w:val="fntxt"/>
      </w:pPr>
      <w:r w:rsidRPr="0019789C">
        <w:rPr>
          <w:rStyle w:val="FootnoteReference"/>
          <w:rFonts w:cs="Arial"/>
        </w:rPr>
        <w:footnoteRef/>
      </w:r>
      <w:r w:rsidRPr="0019789C">
        <w:t xml:space="preserve"> ibid [44].</w:t>
      </w:r>
    </w:p>
  </w:footnote>
  <w:footnote w:id="614">
    <w:p w14:paraId="3ED84234" w14:textId="77777777" w:rsidR="0019789C" w:rsidRPr="0019789C" w:rsidRDefault="0019789C" w:rsidP="001300A7">
      <w:pPr>
        <w:pStyle w:val="fntxt"/>
      </w:pPr>
      <w:r w:rsidRPr="0019789C">
        <w:rPr>
          <w:rStyle w:val="FootnoteReference"/>
          <w:rFonts w:cs="Arial"/>
        </w:rPr>
        <w:footnoteRef/>
      </w:r>
      <w:r w:rsidRPr="0019789C">
        <w:t xml:space="preserve"> Roads (Scotland) Act 1984, s 25: ‘A roads authority shall provide, wherever it appears to them necessary or desirable for the safety or convenience of pedestrians so to do, proper and sufficient footways for public roads’; Roads (Scotland) Act 1984, s 26: ‘The roads authority may, for the purpose of making the crossing of a public road less dangerous for pedestrians or of protecting traffic along the road from danger, construct, light, and maintain subways under, or footbridges over, the road for the use of pedestrians’.</w:t>
      </w:r>
    </w:p>
  </w:footnote>
  <w:footnote w:id="615">
    <w:p w14:paraId="097095D1" w14:textId="77777777" w:rsidR="0019789C" w:rsidRPr="0019789C" w:rsidRDefault="0019789C" w:rsidP="001300A7">
      <w:pPr>
        <w:pStyle w:val="fntxt"/>
      </w:pPr>
      <w:r w:rsidRPr="0019789C">
        <w:rPr>
          <w:rStyle w:val="FootnoteReference"/>
          <w:rFonts w:cs="Arial"/>
        </w:rPr>
        <w:footnoteRef/>
      </w:r>
      <w:r w:rsidRPr="0019789C">
        <w:t xml:space="preserve"> Roads (Scotland) Act 1984, s 35(1): ‘A local roads authority shall provide and maintain lighting for roads, or proposed roads, which are, or will be, maintainable by them and which in their opinion ought to be lit.’</w:t>
      </w:r>
    </w:p>
  </w:footnote>
  <w:footnote w:id="616">
    <w:p w14:paraId="3F302CFF" w14:textId="77777777" w:rsidR="0019789C" w:rsidRPr="0019789C" w:rsidRDefault="0019789C" w:rsidP="001300A7">
      <w:pPr>
        <w:pStyle w:val="fntxt"/>
      </w:pPr>
      <w:r w:rsidRPr="0019789C">
        <w:rPr>
          <w:rStyle w:val="FootnoteReference"/>
          <w:rFonts w:cs="Arial"/>
        </w:rPr>
        <w:footnoteRef/>
      </w:r>
      <w:r w:rsidRPr="0019789C">
        <w:t xml:space="preserve"> Roads (Scotland) Act 1984, s 34: ‘A roads authority shall take such steps as they consider reasonable to prevent snow and ice endangering the safe passage of pedestrians and vehicles over public roads.’</w:t>
      </w:r>
    </w:p>
  </w:footnote>
  <w:footnote w:id="617">
    <w:p w14:paraId="363B03B6" w14:textId="77777777" w:rsidR="0019789C" w:rsidRPr="0019789C" w:rsidRDefault="0019789C" w:rsidP="001300A7">
      <w:pPr>
        <w:pStyle w:val="fntxt"/>
      </w:pPr>
      <w:r w:rsidRPr="0019789C">
        <w:rPr>
          <w:rStyle w:val="FootnoteReference"/>
        </w:rPr>
        <w:footnoteRef/>
      </w:r>
      <w:r w:rsidRPr="0019789C">
        <w:t xml:space="preserve"> For more on this, see EJ Russell, ‘The liability of roads authorities revisited’ (2018) 4 </w:t>
      </w:r>
      <w:r w:rsidRPr="0019789C">
        <w:rPr>
          <w:rStyle w:val="fnbookChar"/>
        </w:rPr>
        <w:t>Juridical Review</w:t>
      </w:r>
      <w:r w:rsidRPr="0019789C">
        <w:t xml:space="preserve"> 283.</w:t>
      </w:r>
    </w:p>
  </w:footnote>
  <w:footnote w:id="618">
    <w:p w14:paraId="01C180EE"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Bennett v J Lamont &amp; Sons</w:t>
      </w:r>
      <w:r w:rsidRPr="0019789C">
        <w:t xml:space="preserve"> (1999) 2000 SLT 17; IHE, ‘Well Managed Highway Liability Risk’ (2017) 17, para 3.3.9.</w:t>
      </w:r>
    </w:p>
  </w:footnote>
  <w:footnote w:id="619">
    <w:p w14:paraId="777BD52B" w14:textId="0882C18F" w:rsidR="0019789C" w:rsidRPr="0019789C" w:rsidRDefault="0019789C" w:rsidP="001300A7">
      <w:pPr>
        <w:pStyle w:val="fntxt"/>
      </w:pPr>
      <w:r w:rsidRPr="0019789C">
        <w:rPr>
          <w:rStyle w:val="FootnoteReference"/>
        </w:rPr>
        <w:footnoteRef/>
      </w:r>
      <w:r w:rsidRPr="0019789C">
        <w:t xml:space="preserve"> </w:t>
      </w:r>
      <w:r w:rsidRPr="0019789C">
        <w:rPr>
          <w:rStyle w:val="fncaseChar"/>
          <w:rFonts w:cs="Arial"/>
        </w:rPr>
        <w:t>MacDonald v Aberdeenshire Council</w:t>
      </w:r>
      <w:r w:rsidRPr="0019789C">
        <w:t xml:space="preserve"> [2014] SC 114 [63] (Lord Drummond Young).</w:t>
      </w:r>
    </w:p>
  </w:footnote>
  <w:footnote w:id="620">
    <w:p w14:paraId="64ADC0FE" w14:textId="77777777" w:rsidR="0019789C" w:rsidRPr="0019789C" w:rsidRDefault="0019789C" w:rsidP="001300A7">
      <w:pPr>
        <w:pStyle w:val="fntxt"/>
      </w:pPr>
      <w:r w:rsidRPr="0019789C">
        <w:rPr>
          <w:rStyle w:val="FootnoteReference"/>
          <w:rFonts w:cs="Arial"/>
        </w:rPr>
        <w:footnoteRef/>
      </w:r>
      <w:r w:rsidRPr="0019789C">
        <w:t xml:space="preserve"> [1993] SLT 1243; see also </w:t>
      </w:r>
      <w:r w:rsidRPr="0019789C">
        <w:rPr>
          <w:rStyle w:val="fncaseChar"/>
          <w:rFonts w:cs="Arial"/>
        </w:rPr>
        <w:t>McKnight v Clydeside Buses Ltd</w:t>
      </w:r>
      <w:r w:rsidRPr="0019789C">
        <w:t xml:space="preserve"> [1999] SLT 1167, which did not involve a pedestrian but did discuss whether there was a common law duty on roads authority to erect appropriate signs on street to warn of danger; and</w:t>
      </w:r>
      <w:r w:rsidRPr="0019789C">
        <w:rPr>
          <w:i/>
        </w:rPr>
        <w:t xml:space="preserve"> </w:t>
      </w:r>
      <w:r w:rsidRPr="0019789C">
        <w:rPr>
          <w:rStyle w:val="fncaseChar"/>
          <w:rFonts w:cs="Arial"/>
        </w:rPr>
        <w:t xml:space="preserve">Cordiner v BR Board </w:t>
      </w:r>
      <w:r w:rsidRPr="0019789C">
        <w:t>[1986] SLT 209 on inspections.</w:t>
      </w:r>
    </w:p>
  </w:footnote>
  <w:footnote w:id="621">
    <w:p w14:paraId="78D1B01B" w14:textId="77777777" w:rsidR="0019789C" w:rsidRPr="0019789C" w:rsidRDefault="0019789C" w:rsidP="001300A7">
      <w:pPr>
        <w:pStyle w:val="fntxt"/>
      </w:pPr>
      <w:r w:rsidRPr="0019789C">
        <w:rPr>
          <w:rStyle w:val="FootnoteReference"/>
          <w:rFonts w:cs="Arial"/>
        </w:rPr>
        <w:footnoteRef/>
      </w:r>
      <w:r w:rsidRPr="0019789C">
        <w:t xml:space="preserve"> ibid 1244.</w:t>
      </w:r>
    </w:p>
  </w:footnote>
  <w:footnote w:id="622">
    <w:p w14:paraId="1F5DE1DD" w14:textId="77777777" w:rsidR="0019789C" w:rsidRPr="0019789C" w:rsidRDefault="0019789C" w:rsidP="001300A7">
      <w:pPr>
        <w:pStyle w:val="fntxt"/>
      </w:pPr>
      <w:r w:rsidRPr="0019789C">
        <w:rPr>
          <w:rStyle w:val="FootnoteReference"/>
          <w:rFonts w:cs="Arial"/>
        </w:rPr>
        <w:footnoteRef/>
      </w:r>
      <w:r w:rsidRPr="0019789C">
        <w:t xml:space="preserve"> ibid 1245-46.</w:t>
      </w:r>
    </w:p>
  </w:footnote>
  <w:footnote w:id="623">
    <w:p w14:paraId="6FAE9E0B" w14:textId="77777777" w:rsidR="0019789C" w:rsidRPr="0019789C" w:rsidRDefault="0019789C" w:rsidP="001300A7">
      <w:pPr>
        <w:pStyle w:val="fntxt"/>
      </w:pPr>
      <w:r w:rsidRPr="0019789C">
        <w:rPr>
          <w:rStyle w:val="FootnoteReference"/>
          <w:rFonts w:cs="Arial"/>
        </w:rPr>
        <w:footnoteRef/>
      </w:r>
      <w:r w:rsidRPr="0019789C">
        <w:t xml:space="preserve"> ibid 1245.</w:t>
      </w:r>
    </w:p>
  </w:footnote>
  <w:footnote w:id="624">
    <w:p w14:paraId="3EB04CA3" w14:textId="18DA03AA"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Discussed in more detail below, see D1.1.</w:t>
      </w:r>
    </w:p>
  </w:footnote>
  <w:footnote w:id="625">
    <w:p w14:paraId="3026E88F" w14:textId="77777777" w:rsidR="0019789C" w:rsidRPr="0019789C" w:rsidRDefault="0019789C" w:rsidP="001300A7">
      <w:pPr>
        <w:pStyle w:val="fntxt"/>
        <w:rPr>
          <w:lang w:val="en-US"/>
        </w:rPr>
      </w:pPr>
      <w:r w:rsidRPr="0019789C">
        <w:rPr>
          <w:rStyle w:val="FootnoteReference"/>
        </w:rPr>
        <w:footnoteRef/>
      </w:r>
      <w:r w:rsidRPr="0019789C">
        <w:t xml:space="preserve"> [1968] 2 All ER 139.</w:t>
      </w:r>
    </w:p>
  </w:footnote>
  <w:footnote w:id="626">
    <w:p w14:paraId="5FB47F9A" w14:textId="77777777" w:rsidR="0019789C" w:rsidRPr="0019789C" w:rsidRDefault="0019789C" w:rsidP="001300A7">
      <w:pPr>
        <w:pStyle w:val="fntxt"/>
      </w:pPr>
      <w:r w:rsidRPr="0019789C">
        <w:rPr>
          <w:rStyle w:val="FootnoteReference"/>
          <w:rFonts w:cs="Arial"/>
        </w:rPr>
        <w:footnoteRef/>
      </w:r>
      <w:r w:rsidRPr="0019789C">
        <w:t xml:space="preserve"> ibid 140.</w:t>
      </w:r>
    </w:p>
  </w:footnote>
  <w:footnote w:id="627">
    <w:p w14:paraId="2A9025FE" w14:textId="77777777" w:rsidR="0019789C" w:rsidRPr="0019789C" w:rsidRDefault="0019789C" w:rsidP="001300A7">
      <w:pPr>
        <w:pStyle w:val="fntxt"/>
      </w:pPr>
      <w:r w:rsidRPr="0019789C">
        <w:rPr>
          <w:rStyle w:val="FootnoteReference"/>
          <w:rFonts w:cs="Arial"/>
        </w:rPr>
        <w:footnoteRef/>
      </w:r>
      <w:r w:rsidRPr="0019789C">
        <w:t xml:space="preserve"> ibid 141.</w:t>
      </w:r>
    </w:p>
  </w:footnote>
  <w:footnote w:id="628">
    <w:p w14:paraId="770E3C17" w14:textId="77777777" w:rsidR="0019789C" w:rsidRPr="0019789C" w:rsidRDefault="0019789C" w:rsidP="001300A7">
      <w:pPr>
        <w:pStyle w:val="fntxt"/>
      </w:pPr>
      <w:r w:rsidRPr="0019789C">
        <w:rPr>
          <w:rStyle w:val="FootnoteReference"/>
          <w:rFonts w:cs="Arial"/>
        </w:rPr>
        <w:footnoteRef/>
      </w:r>
      <w:r w:rsidRPr="0019789C">
        <w:t xml:space="preserve"> ibid 143.</w:t>
      </w:r>
    </w:p>
  </w:footnote>
  <w:footnote w:id="629">
    <w:p w14:paraId="78242EBF" w14:textId="77777777" w:rsidR="0019789C" w:rsidRPr="0019789C" w:rsidRDefault="0019789C" w:rsidP="001300A7">
      <w:pPr>
        <w:pStyle w:val="fntxt"/>
      </w:pPr>
      <w:r w:rsidRPr="0019789C">
        <w:rPr>
          <w:rStyle w:val="FootnoteReference"/>
          <w:rFonts w:cs="Arial"/>
        </w:rPr>
        <w:footnoteRef/>
      </w:r>
      <w:r w:rsidRPr="0019789C">
        <w:t xml:space="preserve"> See below D1.1.</w:t>
      </w:r>
    </w:p>
  </w:footnote>
  <w:footnote w:id="630">
    <w:p w14:paraId="4BD81A3C" w14:textId="77777777" w:rsidR="0019789C" w:rsidRPr="0019789C" w:rsidRDefault="0019789C" w:rsidP="001300A7">
      <w:pPr>
        <w:pStyle w:val="fntxt"/>
      </w:pPr>
      <w:r w:rsidRPr="0019789C">
        <w:rPr>
          <w:rStyle w:val="FootnoteReference"/>
          <w:rFonts w:cs="Arial"/>
        </w:rPr>
        <w:footnoteRef/>
      </w:r>
      <w:r w:rsidRPr="0019789C">
        <w:t xml:space="preserve"> Highways Act 1980, s 175A(2)-(3).</w:t>
      </w:r>
    </w:p>
  </w:footnote>
  <w:footnote w:id="631">
    <w:p w14:paraId="3C734823" w14:textId="77777777" w:rsidR="0019789C" w:rsidRPr="0019789C" w:rsidRDefault="0019789C" w:rsidP="001300A7">
      <w:pPr>
        <w:pStyle w:val="fntxt"/>
      </w:pPr>
      <w:r w:rsidRPr="0019789C">
        <w:rPr>
          <w:rStyle w:val="FootnoteReference"/>
          <w:rFonts w:cs="Arial"/>
        </w:rPr>
        <w:footnoteRef/>
      </w:r>
      <w:r w:rsidRPr="0019789C">
        <w:t xml:space="preserve"> Roads (Scotland) Act 1984, s 120: ‘(1) A roads authority, local authority or other person exercising a statutory power to execute works in a road shall have regard to – (a) the needs of disabled or blind persons whose mobility may be impeded by the works; and (b) without prejudice to the generality of paragraph (a) above, the needs of blind persons to have any openings, whether temporary or permanent, in the road properly protected. (2) An authority or person mentioned in subsection (1) above shall have regard to the needs of disabled persons and blind persons when placing lamp-posts, bollards, traffic signs, apparatus or other permanent obstructions in a road. (3) A roads authority shall have regard to the needs of disabled persons when considering the desirability of providing ramps at appropriate places between carriageways and footways. …’</w:t>
      </w:r>
    </w:p>
  </w:footnote>
  <w:footnote w:id="632">
    <w:p w14:paraId="2CC13FE5" w14:textId="77777777" w:rsidR="0019789C" w:rsidRPr="0019789C" w:rsidRDefault="0019789C" w:rsidP="001300A7">
      <w:pPr>
        <w:pStyle w:val="fntxt"/>
      </w:pPr>
      <w:r w:rsidRPr="0019789C">
        <w:rPr>
          <w:rStyle w:val="FootnoteReference"/>
          <w:rFonts w:cs="Arial"/>
        </w:rPr>
        <w:footnoteRef/>
      </w:r>
      <w:r w:rsidRPr="0019789C">
        <w:t xml:space="preserve"> [2004] 2 All ER 326.</w:t>
      </w:r>
    </w:p>
  </w:footnote>
  <w:footnote w:id="633">
    <w:p w14:paraId="49FE6F87" w14:textId="77777777" w:rsidR="0019789C" w:rsidRPr="0019789C" w:rsidRDefault="0019789C" w:rsidP="001300A7">
      <w:pPr>
        <w:pStyle w:val="fntxt"/>
      </w:pPr>
      <w:r w:rsidRPr="0019789C">
        <w:rPr>
          <w:rStyle w:val="FootnoteReference"/>
          <w:rFonts w:cs="Arial"/>
        </w:rPr>
        <w:footnoteRef/>
      </w:r>
      <w:r w:rsidRPr="0019789C">
        <w:t xml:space="preserve"> ibid [7]-[8].</w:t>
      </w:r>
    </w:p>
  </w:footnote>
  <w:footnote w:id="634">
    <w:p w14:paraId="410976DE" w14:textId="77777777" w:rsidR="0019789C" w:rsidRPr="0019789C" w:rsidRDefault="0019789C" w:rsidP="001300A7">
      <w:pPr>
        <w:pStyle w:val="fntxt"/>
      </w:pPr>
      <w:r w:rsidRPr="0019789C">
        <w:rPr>
          <w:rStyle w:val="FootnoteReference"/>
          <w:rFonts w:cs="Arial"/>
        </w:rPr>
        <w:footnoteRef/>
      </w:r>
      <w:r w:rsidRPr="0019789C">
        <w:t xml:space="preserve"> ibid [65]-[69].</w:t>
      </w:r>
    </w:p>
  </w:footnote>
  <w:footnote w:id="635">
    <w:p w14:paraId="232200E9" w14:textId="77777777" w:rsidR="0019789C" w:rsidRPr="0019789C" w:rsidRDefault="0019789C" w:rsidP="001300A7">
      <w:pPr>
        <w:pStyle w:val="fntxt"/>
      </w:pPr>
      <w:r w:rsidRPr="0019789C">
        <w:rPr>
          <w:rStyle w:val="FootnoteReference"/>
          <w:rFonts w:cs="Arial"/>
        </w:rPr>
        <w:footnoteRef/>
      </w:r>
      <w:r w:rsidRPr="0019789C">
        <w:t xml:space="preserve"> ibid [18].</w:t>
      </w:r>
    </w:p>
  </w:footnote>
  <w:footnote w:id="636">
    <w:p w14:paraId="6A89B173" w14:textId="77777777" w:rsidR="0019789C" w:rsidRPr="0019789C" w:rsidRDefault="0019789C" w:rsidP="001300A7">
      <w:pPr>
        <w:pStyle w:val="fntxt"/>
      </w:pPr>
      <w:r w:rsidRPr="0019789C">
        <w:rPr>
          <w:rStyle w:val="FootnoteReference"/>
          <w:rFonts w:cs="Arial"/>
        </w:rPr>
        <w:footnoteRef/>
      </w:r>
      <w:r w:rsidRPr="0019789C">
        <w:t xml:space="preserve"> ibid [35].</w:t>
      </w:r>
    </w:p>
  </w:footnote>
  <w:footnote w:id="637">
    <w:p w14:paraId="3F697B91" w14:textId="26A33077" w:rsidR="0019789C" w:rsidRPr="0019789C" w:rsidRDefault="0019789C" w:rsidP="001300A7">
      <w:pPr>
        <w:pStyle w:val="fntxt"/>
      </w:pPr>
      <w:r w:rsidRPr="0019789C">
        <w:rPr>
          <w:rStyle w:val="FootnoteReference"/>
          <w:rFonts w:cs="Arial"/>
        </w:rPr>
        <w:footnoteRef/>
      </w:r>
      <w:r w:rsidRPr="0019789C">
        <w:t xml:space="preserve"> See below C2.1.</w:t>
      </w:r>
    </w:p>
  </w:footnote>
  <w:footnote w:id="638">
    <w:p w14:paraId="4CB64E01" w14:textId="62626BF6"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Gorringe</w:t>
      </w:r>
      <w:r w:rsidRPr="0019789C">
        <w:t xml:space="preserve"> (n </w:t>
      </w:r>
      <w:r w:rsidRPr="0019789C">
        <w:fldChar w:fldCharType="begin"/>
      </w:r>
      <w:r w:rsidRPr="0019789C">
        <w:instrText xml:space="preserve"> NOTEREF _Ref39592125 \h  \* MERGEFORMAT </w:instrText>
      </w:r>
      <w:r w:rsidRPr="0019789C">
        <w:fldChar w:fldCharType="separate"/>
      </w:r>
      <w:r w:rsidR="00AD46EC">
        <w:t>632</w:t>
      </w:r>
      <w:r w:rsidRPr="0019789C">
        <w:fldChar w:fldCharType="end"/>
      </w:r>
      <w:r w:rsidRPr="0019789C">
        <w:t>) [17] and [35].</w:t>
      </w:r>
    </w:p>
  </w:footnote>
  <w:footnote w:id="639">
    <w:p w14:paraId="110A2520" w14:textId="77777777" w:rsidR="0019789C" w:rsidRPr="0019789C" w:rsidRDefault="0019789C" w:rsidP="001300A7">
      <w:pPr>
        <w:pStyle w:val="fntxt"/>
      </w:pPr>
      <w:r w:rsidRPr="0019789C">
        <w:rPr>
          <w:rStyle w:val="FootnoteReference"/>
        </w:rPr>
        <w:footnoteRef/>
      </w:r>
      <w:r w:rsidRPr="0019789C">
        <w:t xml:space="preserve"> See above C1.1 (b) on remedies for personal injury in negligence claims. </w:t>
      </w:r>
    </w:p>
  </w:footnote>
  <w:footnote w:id="640">
    <w:p w14:paraId="2D494DFC" w14:textId="77777777" w:rsidR="0019789C" w:rsidRPr="0019789C" w:rsidRDefault="0019789C" w:rsidP="001300A7">
      <w:pPr>
        <w:pStyle w:val="fntxt"/>
      </w:pPr>
      <w:r w:rsidRPr="0019789C">
        <w:rPr>
          <w:rStyle w:val="FootnoteReference"/>
          <w:rFonts w:cs="Arial"/>
        </w:rPr>
        <w:footnoteRef/>
      </w:r>
      <w:r w:rsidRPr="0019789C">
        <w:t xml:space="preserve"> Legal Aid, Sentencing and Punishment of Offenders Act 2012, sch 1, pt 2, s 8.</w:t>
      </w:r>
    </w:p>
  </w:footnote>
  <w:footnote w:id="641">
    <w:p w14:paraId="7041812E" w14:textId="5F2687EA" w:rsidR="0019789C" w:rsidRPr="0019789C" w:rsidRDefault="0019789C" w:rsidP="001300A7">
      <w:pPr>
        <w:pStyle w:val="fntxt"/>
      </w:pPr>
      <w:r w:rsidRPr="0019789C">
        <w:rPr>
          <w:rStyle w:val="FootnoteReference"/>
          <w:rFonts w:cs="Arial"/>
        </w:rPr>
        <w:footnoteRef/>
      </w:r>
      <w:r w:rsidRPr="0019789C">
        <w:t xml:space="preserve"> Occupiers’ Liability Act 1984, s (2)(a); Occupiers’ Liability Act 1957, s 1(2).</w:t>
      </w:r>
    </w:p>
  </w:footnote>
  <w:footnote w:id="642">
    <w:p w14:paraId="1C05AA3D" w14:textId="77777777" w:rsidR="0019789C" w:rsidRPr="0019789C" w:rsidRDefault="0019789C" w:rsidP="001300A7">
      <w:pPr>
        <w:pStyle w:val="fntxt"/>
      </w:pPr>
      <w:r w:rsidRPr="0019789C">
        <w:rPr>
          <w:rStyle w:val="FootnoteReference"/>
          <w:rFonts w:cs="Arial"/>
        </w:rPr>
        <w:footnoteRef/>
      </w:r>
      <w:r w:rsidRPr="0019789C">
        <w:t xml:space="preserve"> See above C1.2.</w:t>
      </w:r>
    </w:p>
  </w:footnote>
  <w:footnote w:id="643">
    <w:p w14:paraId="2060A8A0"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Wheat v E Lacon &amp; Co Ltd</w:t>
      </w:r>
      <w:r w:rsidRPr="0019789C">
        <w:t xml:space="preserve"> [1966] 1 All ER 582, 593-94.</w:t>
      </w:r>
    </w:p>
  </w:footnote>
  <w:footnote w:id="644">
    <w:p w14:paraId="3731BA06" w14:textId="77777777" w:rsidR="0019789C" w:rsidRPr="0019789C" w:rsidRDefault="0019789C" w:rsidP="001300A7">
      <w:pPr>
        <w:pStyle w:val="fntxt"/>
      </w:pPr>
      <w:r w:rsidRPr="0019789C">
        <w:rPr>
          <w:rStyle w:val="FootnoteReference"/>
          <w:rFonts w:cs="Arial"/>
        </w:rPr>
        <w:footnoteRef/>
      </w:r>
      <w:r w:rsidRPr="0019789C">
        <w:t xml:space="preserve"> See also </w:t>
      </w:r>
      <w:r w:rsidRPr="0019789C">
        <w:rPr>
          <w:rStyle w:val="fncaseChar"/>
          <w:rFonts w:cs="Arial"/>
        </w:rPr>
        <w:t>A M F International Ltd v Magnet Bowling Ltd and Another</w:t>
      </w:r>
      <w:r w:rsidRPr="0019789C">
        <w:t xml:space="preserve"> [1968] 2 All ER 789 (independent contractors may be in joint control).</w:t>
      </w:r>
    </w:p>
  </w:footnote>
  <w:footnote w:id="645">
    <w:p w14:paraId="09BA3EFE" w14:textId="77777777"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A C Billings &amp; Sons Ltd v Riden </w:t>
      </w:r>
      <w:r w:rsidRPr="0019789C">
        <w:t>[1957] 3 All ER 1 (HL).</w:t>
      </w:r>
    </w:p>
  </w:footnote>
  <w:footnote w:id="646">
    <w:p w14:paraId="490F3C56"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Bunker v Charles Brand &amp; Son Ltd</w:t>
      </w:r>
      <w:r w:rsidRPr="0019789C">
        <w:rPr>
          <w:i/>
        </w:rPr>
        <w:t xml:space="preserve"> </w:t>
      </w:r>
      <w:r w:rsidRPr="0019789C">
        <w:t>[1969] 2 All ER 59 (QB).</w:t>
      </w:r>
    </w:p>
  </w:footnote>
  <w:footnote w:id="647">
    <w:p w14:paraId="688A9392"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Woodman v Richardson and Concrete Ltd</w:t>
      </w:r>
      <w:r w:rsidRPr="0019789C">
        <w:t xml:space="preserve"> [1937] 3 All ER 86 (CA).</w:t>
      </w:r>
    </w:p>
  </w:footnote>
  <w:footnote w:id="648">
    <w:p w14:paraId="274C2A32"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Wheeler v Copas</w:t>
      </w:r>
      <w:r w:rsidRPr="0019789C">
        <w:t xml:space="preserve"> [1981] 3 All ER 405 (QB).</w:t>
      </w:r>
    </w:p>
  </w:footnote>
  <w:footnote w:id="649">
    <w:p w14:paraId="2FFB980E" w14:textId="44F1BA1D" w:rsidR="0019789C" w:rsidRPr="0019789C" w:rsidRDefault="0019789C" w:rsidP="001300A7">
      <w:pPr>
        <w:pStyle w:val="fntxt"/>
      </w:pPr>
      <w:r w:rsidRPr="0019789C">
        <w:rPr>
          <w:rStyle w:val="FootnoteReference"/>
          <w:rFonts w:cs="Arial"/>
        </w:rPr>
        <w:footnoteRef/>
      </w:r>
      <w:r w:rsidRPr="0019789C">
        <w:t xml:space="preserve"> Occupiers’ Liability Act 1957, s 2(1); but an occupier may exclude liability in certain situations: ‘An occupier of premises owes the same duty, the “common duty of care”, to all his visitors, except in so far as he is free to and does extend, restrict, modify or exclude his duty to any visitor or visitors by agreement or otherwise.’</w:t>
      </w:r>
    </w:p>
  </w:footnote>
  <w:footnote w:id="650">
    <w:p w14:paraId="62052D65" w14:textId="77777777" w:rsidR="0019789C" w:rsidRPr="0019789C" w:rsidRDefault="0019789C" w:rsidP="001300A7">
      <w:pPr>
        <w:pStyle w:val="fntxt"/>
      </w:pPr>
      <w:r w:rsidRPr="0019789C">
        <w:rPr>
          <w:rStyle w:val="FootnoteReference"/>
          <w:rFonts w:cs="Arial"/>
        </w:rPr>
        <w:footnoteRef/>
      </w:r>
      <w:r w:rsidRPr="0019789C">
        <w:t xml:space="preserve"> [1994] 3 All ER 53.</w:t>
      </w:r>
    </w:p>
  </w:footnote>
  <w:footnote w:id="651">
    <w:p w14:paraId="7BAB7380" w14:textId="77777777" w:rsidR="0019789C" w:rsidRPr="0019789C" w:rsidRDefault="0019789C" w:rsidP="001300A7">
      <w:pPr>
        <w:pStyle w:val="fntxt"/>
      </w:pPr>
      <w:r w:rsidRPr="0019789C">
        <w:rPr>
          <w:rStyle w:val="FootnoteReference"/>
          <w:rFonts w:cs="Arial"/>
        </w:rPr>
        <w:footnoteRef/>
      </w:r>
      <w:r w:rsidRPr="0019789C">
        <w:t xml:space="preserve"> ibid 59, 62 and 64.</w:t>
      </w:r>
    </w:p>
  </w:footnote>
  <w:footnote w:id="652">
    <w:p w14:paraId="7B7AE058" w14:textId="77777777" w:rsidR="0019789C" w:rsidRPr="0019789C" w:rsidRDefault="0019789C" w:rsidP="001300A7">
      <w:pPr>
        <w:pStyle w:val="fntxt"/>
      </w:pPr>
      <w:r w:rsidRPr="0019789C">
        <w:rPr>
          <w:rStyle w:val="FootnoteReference"/>
          <w:rFonts w:cs="Arial"/>
        </w:rPr>
        <w:footnoteRef/>
      </w:r>
      <w:r w:rsidRPr="0019789C">
        <w:t xml:space="preserve"> ibid 59.</w:t>
      </w:r>
    </w:p>
  </w:footnote>
  <w:footnote w:id="653">
    <w:p w14:paraId="33FD9112" w14:textId="22D374B7" w:rsidR="0019789C" w:rsidRPr="0019789C" w:rsidRDefault="0019789C" w:rsidP="001300A7">
      <w:pPr>
        <w:pStyle w:val="fntxt"/>
      </w:pPr>
      <w:r w:rsidRPr="0019789C">
        <w:rPr>
          <w:rStyle w:val="FootnoteReference"/>
          <w:rFonts w:cs="Arial"/>
        </w:rPr>
        <w:footnoteRef/>
      </w:r>
      <w:r w:rsidRPr="0019789C">
        <w:t xml:space="preserve"> Occupiers’ Liability Act 1984, s 1(1)(a).</w:t>
      </w:r>
    </w:p>
  </w:footnote>
  <w:footnote w:id="654">
    <w:p w14:paraId="21B3382E" w14:textId="31B7768C" w:rsidR="0019789C" w:rsidRPr="0019789C" w:rsidRDefault="0019789C" w:rsidP="001300A7">
      <w:pPr>
        <w:pStyle w:val="fntxt"/>
      </w:pPr>
      <w:r w:rsidRPr="0019789C">
        <w:rPr>
          <w:rStyle w:val="FootnoteReference"/>
          <w:rFonts w:cs="Arial"/>
        </w:rPr>
        <w:footnoteRef/>
      </w:r>
      <w:r w:rsidRPr="0019789C">
        <w:t xml:space="preserve"> Occupiers’ Liability Act 1984, s 1(3).</w:t>
      </w:r>
    </w:p>
  </w:footnote>
  <w:footnote w:id="655">
    <w:p w14:paraId="737F11FA" w14:textId="6ED5EFD8" w:rsidR="0019789C" w:rsidRPr="0019789C" w:rsidRDefault="0019789C" w:rsidP="001300A7">
      <w:pPr>
        <w:pStyle w:val="fntxt"/>
      </w:pPr>
      <w:r w:rsidRPr="0019789C">
        <w:rPr>
          <w:rStyle w:val="FootnoteReference"/>
          <w:rFonts w:cs="Arial"/>
        </w:rPr>
        <w:footnoteRef/>
      </w:r>
      <w:r w:rsidRPr="0019789C">
        <w:t xml:space="preserve"> Occupiers’ Liability Act 1984, s 1(7): ‘No duty is owed by virtue of this section to persons using the highway, and this section does not affect any duty owed to such persons’.</w:t>
      </w:r>
    </w:p>
  </w:footnote>
  <w:footnote w:id="656">
    <w:p w14:paraId="6CE198C8" w14:textId="1153E8D2" w:rsidR="0019789C" w:rsidRPr="0019789C" w:rsidRDefault="0019789C" w:rsidP="001300A7">
      <w:pPr>
        <w:pStyle w:val="fntxt"/>
      </w:pPr>
      <w:r w:rsidRPr="0019789C">
        <w:rPr>
          <w:rStyle w:val="FootnoteReference"/>
          <w:rFonts w:cs="Arial"/>
        </w:rPr>
        <w:footnoteRef/>
      </w:r>
      <w:r w:rsidRPr="0019789C">
        <w:t xml:space="preserve"> Occupiers’ Liability Act 1957, s 2(2).</w:t>
      </w:r>
    </w:p>
  </w:footnote>
  <w:footnote w:id="657">
    <w:p w14:paraId="25AF1F54" w14:textId="178F58E7" w:rsidR="0019789C" w:rsidRPr="0019789C" w:rsidRDefault="0019789C" w:rsidP="001300A7">
      <w:pPr>
        <w:pStyle w:val="fntxt"/>
      </w:pPr>
      <w:r w:rsidRPr="0019789C">
        <w:rPr>
          <w:rStyle w:val="FootnoteReference"/>
          <w:rFonts w:cs="Arial"/>
        </w:rPr>
        <w:footnoteRef/>
      </w:r>
      <w:r w:rsidRPr="0019789C">
        <w:t xml:space="preserve"> Occupiers’ Liability Act 1957, s 2(4)(a).</w:t>
      </w:r>
    </w:p>
  </w:footnote>
  <w:footnote w:id="658">
    <w:p w14:paraId="4A5197EE"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Darby v National Trust</w:t>
      </w:r>
      <w:r w:rsidRPr="0019789C">
        <w:t xml:space="preserve"> [2001] EWCA Civ 189, [2001] All ER (D) 216.</w:t>
      </w:r>
    </w:p>
  </w:footnote>
  <w:footnote w:id="659">
    <w:p w14:paraId="373E6B11" w14:textId="77777777" w:rsidR="0019789C" w:rsidRPr="0019789C" w:rsidRDefault="0019789C" w:rsidP="001300A7">
      <w:pPr>
        <w:pStyle w:val="fntxt"/>
      </w:pPr>
      <w:r w:rsidRPr="0019789C">
        <w:rPr>
          <w:rStyle w:val="FootnoteReference"/>
          <w:rFonts w:cs="Arial"/>
        </w:rPr>
        <w:footnoteRef/>
      </w:r>
      <w:r w:rsidRPr="0019789C">
        <w:t xml:space="preserve"> [2015] EWHC 2260 (QB).</w:t>
      </w:r>
    </w:p>
  </w:footnote>
  <w:footnote w:id="660">
    <w:p w14:paraId="709E2A56" w14:textId="77777777" w:rsidR="0019789C" w:rsidRPr="0019789C" w:rsidRDefault="0019789C" w:rsidP="001300A7">
      <w:pPr>
        <w:pStyle w:val="fntxt"/>
      </w:pPr>
      <w:r w:rsidRPr="0019789C">
        <w:rPr>
          <w:rStyle w:val="FootnoteReference"/>
          <w:rFonts w:cs="Arial"/>
        </w:rPr>
        <w:footnoteRef/>
      </w:r>
      <w:r w:rsidRPr="0019789C">
        <w:t xml:space="preserve"> ibid [53].</w:t>
      </w:r>
    </w:p>
  </w:footnote>
  <w:footnote w:id="661">
    <w:p w14:paraId="7ECB2A29" w14:textId="77777777" w:rsidR="0019789C" w:rsidRPr="0019789C" w:rsidRDefault="0019789C" w:rsidP="001300A7">
      <w:pPr>
        <w:pStyle w:val="fntxt"/>
      </w:pPr>
      <w:r w:rsidRPr="0019789C">
        <w:rPr>
          <w:rStyle w:val="FootnoteReference"/>
          <w:rFonts w:cs="Arial"/>
        </w:rPr>
        <w:footnoteRef/>
      </w:r>
      <w:r w:rsidRPr="0019789C">
        <w:t xml:space="preserve"> ibid [53].</w:t>
      </w:r>
    </w:p>
  </w:footnote>
  <w:footnote w:id="662">
    <w:p w14:paraId="531D7016" w14:textId="77777777" w:rsidR="0019789C" w:rsidRPr="0019789C" w:rsidRDefault="0019789C" w:rsidP="001300A7">
      <w:pPr>
        <w:pStyle w:val="fntxt"/>
      </w:pPr>
      <w:r w:rsidRPr="0019789C">
        <w:rPr>
          <w:rStyle w:val="FootnoteReference"/>
          <w:rFonts w:cs="Arial"/>
        </w:rPr>
        <w:footnoteRef/>
      </w:r>
      <w:r w:rsidRPr="0019789C">
        <w:t xml:space="preserve"> [2017] EWCA Civ 2142; see also </w:t>
      </w:r>
      <w:r w:rsidRPr="0019789C">
        <w:rPr>
          <w:rStyle w:val="fncaseChar"/>
          <w:rFonts w:cs="Arial"/>
        </w:rPr>
        <w:t>Singh v City of Cardiff Council</w:t>
      </w:r>
      <w:r w:rsidRPr="0019789C">
        <w:rPr>
          <w:i/>
        </w:rPr>
        <w:t xml:space="preserve"> </w:t>
      </w:r>
      <w:r w:rsidRPr="0019789C">
        <w:t>[2017] EWHC 1499 (QB).</w:t>
      </w:r>
    </w:p>
  </w:footnote>
  <w:footnote w:id="663">
    <w:p w14:paraId="2B61EC50" w14:textId="77777777" w:rsidR="0019789C" w:rsidRPr="0019789C" w:rsidRDefault="0019789C" w:rsidP="001300A7">
      <w:pPr>
        <w:pStyle w:val="fntxt"/>
      </w:pPr>
      <w:r w:rsidRPr="0019789C">
        <w:rPr>
          <w:rStyle w:val="FootnoteReference"/>
          <w:rFonts w:cs="Arial"/>
        </w:rPr>
        <w:footnoteRef/>
      </w:r>
      <w:r w:rsidRPr="0019789C">
        <w:t xml:space="preserve"> ibid [3]-[6].</w:t>
      </w:r>
    </w:p>
  </w:footnote>
  <w:footnote w:id="664">
    <w:p w14:paraId="66B37740" w14:textId="77777777" w:rsidR="0019789C" w:rsidRPr="0019789C" w:rsidRDefault="0019789C" w:rsidP="001300A7">
      <w:pPr>
        <w:pStyle w:val="fntxt"/>
      </w:pPr>
      <w:r w:rsidRPr="0019789C">
        <w:rPr>
          <w:rStyle w:val="FootnoteReference"/>
          <w:rFonts w:cs="Arial"/>
        </w:rPr>
        <w:footnoteRef/>
      </w:r>
      <w:r w:rsidRPr="0019789C">
        <w:t xml:space="preserve"> ibid [8]-[9].</w:t>
      </w:r>
    </w:p>
  </w:footnote>
  <w:footnote w:id="665">
    <w:p w14:paraId="0DF2C950" w14:textId="77777777" w:rsidR="0019789C" w:rsidRPr="0019789C" w:rsidRDefault="0019789C" w:rsidP="001300A7">
      <w:pPr>
        <w:pStyle w:val="fntxt"/>
      </w:pPr>
      <w:r w:rsidRPr="0019789C">
        <w:rPr>
          <w:rStyle w:val="FootnoteReference"/>
          <w:rFonts w:cs="Arial"/>
        </w:rPr>
        <w:footnoteRef/>
      </w:r>
      <w:r w:rsidRPr="0019789C">
        <w:t xml:space="preserve"> ibid [33].</w:t>
      </w:r>
    </w:p>
  </w:footnote>
  <w:footnote w:id="666">
    <w:p w14:paraId="3621CD97" w14:textId="77777777" w:rsidR="0019789C" w:rsidRPr="0019789C" w:rsidRDefault="0019789C" w:rsidP="001300A7">
      <w:pPr>
        <w:pStyle w:val="fntxt"/>
      </w:pPr>
      <w:r w:rsidRPr="0019789C">
        <w:rPr>
          <w:rStyle w:val="FootnoteReference"/>
          <w:rFonts w:cs="Arial"/>
        </w:rPr>
        <w:footnoteRef/>
      </w:r>
      <w:r w:rsidRPr="0019789C">
        <w:t xml:space="preserve"> ibid [34]-[35].</w:t>
      </w:r>
    </w:p>
  </w:footnote>
  <w:footnote w:id="667">
    <w:p w14:paraId="49D8F74A" w14:textId="77777777" w:rsidR="0019789C" w:rsidRPr="0019789C" w:rsidRDefault="0019789C" w:rsidP="001300A7">
      <w:pPr>
        <w:pStyle w:val="fntxt"/>
      </w:pPr>
      <w:r w:rsidRPr="0019789C">
        <w:rPr>
          <w:rStyle w:val="FootnoteReference"/>
          <w:rFonts w:cs="Arial"/>
        </w:rPr>
        <w:footnoteRef/>
      </w:r>
      <w:r w:rsidRPr="0019789C">
        <w:t xml:space="preserve"> ibid [35].</w:t>
      </w:r>
    </w:p>
  </w:footnote>
  <w:footnote w:id="668">
    <w:p w14:paraId="2393BF21" w14:textId="77777777" w:rsidR="0019789C" w:rsidRPr="0019789C" w:rsidRDefault="0019789C" w:rsidP="001300A7">
      <w:pPr>
        <w:pStyle w:val="fntxt"/>
      </w:pPr>
      <w:r w:rsidRPr="0019789C">
        <w:rPr>
          <w:rStyle w:val="FootnoteReference"/>
          <w:rFonts w:cs="Arial"/>
        </w:rPr>
        <w:footnoteRef/>
      </w:r>
      <w:r w:rsidRPr="0019789C">
        <w:t xml:space="preserve"> [2016] EWCA Civ 1094.</w:t>
      </w:r>
    </w:p>
  </w:footnote>
  <w:footnote w:id="669">
    <w:p w14:paraId="76182861" w14:textId="77777777" w:rsidR="0019789C" w:rsidRPr="0019789C" w:rsidRDefault="0019789C" w:rsidP="001300A7">
      <w:pPr>
        <w:pStyle w:val="fntxt"/>
      </w:pPr>
      <w:r w:rsidRPr="0019789C">
        <w:rPr>
          <w:rStyle w:val="FootnoteReference"/>
          <w:rFonts w:cs="Arial"/>
        </w:rPr>
        <w:footnoteRef/>
      </w:r>
      <w:r w:rsidRPr="0019789C">
        <w:t xml:space="preserve"> ibid [1]-[2] and [6].</w:t>
      </w:r>
    </w:p>
  </w:footnote>
  <w:footnote w:id="670">
    <w:p w14:paraId="17D217D0" w14:textId="77777777" w:rsidR="0019789C" w:rsidRPr="0019789C" w:rsidRDefault="0019789C" w:rsidP="001300A7">
      <w:pPr>
        <w:pStyle w:val="fntxt"/>
      </w:pPr>
      <w:r w:rsidRPr="0019789C">
        <w:rPr>
          <w:rStyle w:val="FootnoteReference"/>
          <w:rFonts w:cs="Arial"/>
        </w:rPr>
        <w:footnoteRef/>
      </w:r>
      <w:r w:rsidRPr="0019789C">
        <w:t xml:space="preserve"> ibid [25].</w:t>
      </w:r>
    </w:p>
  </w:footnote>
  <w:footnote w:id="671">
    <w:p w14:paraId="71E842BA" w14:textId="77777777" w:rsidR="0019789C" w:rsidRPr="0019789C" w:rsidRDefault="0019789C" w:rsidP="001300A7">
      <w:pPr>
        <w:pStyle w:val="fntxt"/>
      </w:pPr>
      <w:r w:rsidRPr="0019789C">
        <w:rPr>
          <w:rStyle w:val="FootnoteReference"/>
          <w:rFonts w:cs="Arial"/>
        </w:rPr>
        <w:footnoteRef/>
      </w:r>
      <w:r w:rsidRPr="0019789C">
        <w:t xml:space="preserve"> ibid [24]-[26].</w:t>
      </w:r>
    </w:p>
  </w:footnote>
  <w:footnote w:id="672">
    <w:p w14:paraId="7654D44D" w14:textId="07C310D6" w:rsidR="0019789C" w:rsidRPr="0019789C" w:rsidRDefault="0019789C" w:rsidP="001300A7">
      <w:pPr>
        <w:pStyle w:val="fntxt"/>
      </w:pPr>
      <w:r w:rsidRPr="0019789C">
        <w:rPr>
          <w:rStyle w:val="FootnoteReference"/>
          <w:rFonts w:cs="Arial"/>
        </w:rPr>
        <w:footnoteRef/>
      </w:r>
      <w:r w:rsidRPr="0019789C">
        <w:t xml:space="preserve"> Occupiers’ Liability Act 1984, s 1(4).</w:t>
      </w:r>
    </w:p>
  </w:footnote>
  <w:footnote w:id="673">
    <w:p w14:paraId="2F617C32" w14:textId="0DFBA76A" w:rsidR="0019789C" w:rsidRPr="0019789C" w:rsidRDefault="0019789C" w:rsidP="001300A7">
      <w:pPr>
        <w:pStyle w:val="fntxt"/>
      </w:pPr>
      <w:r w:rsidRPr="0019789C">
        <w:rPr>
          <w:rStyle w:val="FootnoteReference"/>
          <w:rFonts w:cs="Arial"/>
        </w:rPr>
        <w:footnoteRef/>
      </w:r>
      <w:r w:rsidRPr="0019789C">
        <w:t xml:space="preserve"> Occupiers’ Liability Act 1984, s 1(5).</w:t>
      </w:r>
    </w:p>
  </w:footnote>
  <w:footnote w:id="674">
    <w:p w14:paraId="49E64522" w14:textId="77777777" w:rsidR="0019789C" w:rsidRPr="0019789C" w:rsidRDefault="0019789C" w:rsidP="001300A7">
      <w:pPr>
        <w:pStyle w:val="fntxt"/>
      </w:pPr>
      <w:r w:rsidRPr="0019789C">
        <w:rPr>
          <w:rStyle w:val="FootnoteReference"/>
          <w:rFonts w:cs="Arial"/>
        </w:rPr>
        <w:footnoteRef/>
      </w:r>
      <w:r w:rsidRPr="0019789C">
        <w:t xml:space="preserve"> See above C1.1 (b) on remedies in common law negligence.</w:t>
      </w:r>
    </w:p>
  </w:footnote>
  <w:footnote w:id="675">
    <w:p w14:paraId="21F70152" w14:textId="77777777" w:rsidR="0019789C" w:rsidRPr="0019789C" w:rsidRDefault="0019789C" w:rsidP="001300A7">
      <w:pPr>
        <w:pStyle w:val="fntxt"/>
      </w:pPr>
      <w:r w:rsidRPr="0019789C">
        <w:rPr>
          <w:rStyle w:val="FootnoteReference"/>
          <w:rFonts w:cs="Arial"/>
        </w:rPr>
        <w:footnoteRef/>
      </w:r>
      <w:r w:rsidRPr="0019789C">
        <w:t xml:space="preserve"> [2003] UKHL 47, [2004] 1 AC 46, [2003] 3 All ER 1122.</w:t>
      </w:r>
    </w:p>
  </w:footnote>
  <w:footnote w:id="676">
    <w:p w14:paraId="1BFA63B5" w14:textId="77777777" w:rsidR="0019789C" w:rsidRPr="0019789C" w:rsidRDefault="0019789C" w:rsidP="001300A7">
      <w:pPr>
        <w:pStyle w:val="fntxt"/>
      </w:pPr>
      <w:r w:rsidRPr="0019789C">
        <w:rPr>
          <w:rStyle w:val="FootnoteReference"/>
          <w:rFonts w:cs="Arial"/>
        </w:rPr>
        <w:footnoteRef/>
      </w:r>
      <w:r w:rsidRPr="0019789C">
        <w:t xml:space="preserve"> [2003] 3 All ER 1122, 1144.</w:t>
      </w:r>
    </w:p>
  </w:footnote>
  <w:footnote w:id="677">
    <w:p w14:paraId="6FCFE414" w14:textId="77777777" w:rsidR="0019789C" w:rsidRPr="0019789C" w:rsidRDefault="0019789C" w:rsidP="001300A7">
      <w:pPr>
        <w:pStyle w:val="fntxt"/>
      </w:pPr>
      <w:r w:rsidRPr="0019789C">
        <w:rPr>
          <w:rStyle w:val="FootnoteReference"/>
          <w:rFonts w:cs="Arial"/>
        </w:rPr>
        <w:footnoteRef/>
      </w:r>
      <w:r w:rsidRPr="0019789C">
        <w:t xml:space="preserve"> ibid 1148-49.</w:t>
      </w:r>
    </w:p>
  </w:footnote>
  <w:footnote w:id="678">
    <w:p w14:paraId="156DBE7E" w14:textId="77777777" w:rsidR="0019789C" w:rsidRPr="0019789C" w:rsidRDefault="0019789C" w:rsidP="001300A7">
      <w:pPr>
        <w:pStyle w:val="fntxt"/>
      </w:pPr>
      <w:r w:rsidRPr="0019789C">
        <w:rPr>
          <w:rStyle w:val="FootnoteReference"/>
          <w:rFonts w:cs="Arial"/>
        </w:rPr>
        <w:footnoteRef/>
      </w:r>
      <w:r w:rsidRPr="0019789C">
        <w:t xml:space="preserve"> ibid 1150.</w:t>
      </w:r>
    </w:p>
  </w:footnote>
  <w:footnote w:id="679">
    <w:p w14:paraId="2E31988E" w14:textId="77777777" w:rsidR="0019789C" w:rsidRPr="0019789C" w:rsidRDefault="0019789C" w:rsidP="001300A7">
      <w:pPr>
        <w:pStyle w:val="fntxt"/>
      </w:pPr>
      <w:r w:rsidRPr="0019789C">
        <w:rPr>
          <w:rStyle w:val="FootnoteReference"/>
          <w:rFonts w:cs="Arial"/>
        </w:rPr>
        <w:footnoteRef/>
      </w:r>
      <w:r w:rsidRPr="0019789C">
        <w:t xml:space="preserve"> ibid 1152-53.</w:t>
      </w:r>
    </w:p>
  </w:footnote>
  <w:footnote w:id="680">
    <w:p w14:paraId="3FB63C94" w14:textId="259A569A" w:rsidR="0019789C" w:rsidRPr="0019789C" w:rsidRDefault="0019789C" w:rsidP="001300A7">
      <w:pPr>
        <w:pStyle w:val="fntxt"/>
      </w:pPr>
      <w:r w:rsidRPr="0019789C">
        <w:rPr>
          <w:rStyle w:val="FootnoteReference"/>
          <w:rFonts w:cs="Arial"/>
        </w:rPr>
        <w:footnoteRef/>
      </w:r>
      <w:r w:rsidRPr="0019789C">
        <w:t xml:space="preserve"> ibid 1152 (Lord Hoffmann).</w:t>
      </w:r>
    </w:p>
  </w:footnote>
  <w:footnote w:id="681">
    <w:p w14:paraId="0DDB57DB" w14:textId="7FB759F4"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Holden v White </w:t>
      </w:r>
      <w:r w:rsidRPr="0019789C">
        <w:t xml:space="preserve">[1982] 2 All ER 328 (CA) (milkman injured while using private right of way, no duty owed under Occupiers’ Liability Act 1957); </w:t>
      </w:r>
      <w:r w:rsidRPr="0019789C">
        <w:rPr>
          <w:rStyle w:val="fncaseChar"/>
          <w:rFonts w:cs="Arial"/>
        </w:rPr>
        <w:t>Greenhalgh v British Railways Board</w:t>
      </w:r>
      <w:r w:rsidRPr="0019789C">
        <w:t xml:space="preserve"> [1969] 2 All ER 114 (CA) (pedestrian tripped in pothole, but a person exercising a public right of way is owed no duty under Occupiers’ Liability Act 1957); </w:t>
      </w:r>
      <w:r w:rsidRPr="0019789C">
        <w:rPr>
          <w:rStyle w:val="fncaseChar"/>
          <w:rFonts w:cs="Arial"/>
        </w:rPr>
        <w:t>McGeown v Northern Ireland Housing Executive</w:t>
      </w:r>
      <w:r w:rsidRPr="0019789C">
        <w:rPr>
          <w:i/>
        </w:rPr>
        <w:t xml:space="preserve"> </w:t>
      </w:r>
      <w:r w:rsidRPr="0019789C">
        <w:t>[1994] 3 All ER 53.</w:t>
      </w:r>
    </w:p>
  </w:footnote>
  <w:footnote w:id="682">
    <w:p w14:paraId="32C6365D" w14:textId="77777777" w:rsidR="0019789C" w:rsidRPr="0019789C" w:rsidRDefault="0019789C" w:rsidP="001300A7">
      <w:pPr>
        <w:pStyle w:val="fntxt"/>
      </w:pPr>
      <w:r w:rsidRPr="0019789C">
        <w:rPr>
          <w:rStyle w:val="FootnoteReference"/>
          <w:rFonts w:cs="Arial"/>
        </w:rPr>
        <w:footnoteRef/>
      </w:r>
      <w:r w:rsidRPr="0019789C">
        <w:t xml:space="preserve"> FR Barker and NDM Party, ‘Private property, public access and occupiers’ liability’ (1995) 15(3)</w:t>
      </w:r>
      <w:r w:rsidRPr="0019789C">
        <w:rPr>
          <w:rStyle w:val="fnbookChar"/>
          <w:rFonts w:cs="Arial"/>
        </w:rPr>
        <w:t xml:space="preserve"> </w:t>
      </w:r>
      <w:r w:rsidRPr="0019789C">
        <w:t>Legal Studies 335, 341.</w:t>
      </w:r>
    </w:p>
  </w:footnote>
  <w:footnote w:id="683">
    <w:p w14:paraId="79206466" w14:textId="77777777" w:rsidR="0019789C" w:rsidRPr="0019789C" w:rsidRDefault="0019789C" w:rsidP="001300A7">
      <w:pPr>
        <w:pStyle w:val="fntxt"/>
        <w:rPr>
          <w:u w:val="single"/>
        </w:rPr>
      </w:pPr>
      <w:r w:rsidRPr="0019789C">
        <w:rPr>
          <w:rStyle w:val="FootnoteReference"/>
          <w:rFonts w:cs="Arial"/>
        </w:rPr>
        <w:footnoteRef/>
      </w:r>
      <w:r w:rsidRPr="0019789C">
        <w:t xml:space="preserve"> </w:t>
      </w:r>
      <w:r w:rsidRPr="0019789C">
        <w:rPr>
          <w:rStyle w:val="fncaseChar"/>
          <w:rFonts w:cs="Arial"/>
        </w:rPr>
        <w:t>Vodden v Gayton and Gayton</w:t>
      </w:r>
      <w:r w:rsidRPr="0019789C">
        <w:rPr>
          <w:i/>
        </w:rPr>
        <w:t xml:space="preserve"> </w:t>
      </w:r>
      <w:r w:rsidRPr="0019789C">
        <w:t>[2001] PIQR P4 [55]-[56] and [69],</w:t>
      </w:r>
    </w:p>
  </w:footnote>
  <w:footnote w:id="684">
    <w:p w14:paraId="6AB89C5B" w14:textId="1B7096F8" w:rsidR="0019789C" w:rsidRPr="0019789C" w:rsidRDefault="0019789C" w:rsidP="001300A7">
      <w:pPr>
        <w:pStyle w:val="fntxt"/>
      </w:pPr>
      <w:r w:rsidRPr="0019789C">
        <w:rPr>
          <w:rStyle w:val="FootnoteReference"/>
          <w:rFonts w:cs="Arial"/>
        </w:rPr>
        <w:footnoteRef/>
      </w:r>
      <w:r w:rsidRPr="0019789C">
        <w:t xml:space="preserve"> Barker and Party (n </w:t>
      </w:r>
      <w:r w:rsidRPr="0019789C">
        <w:fldChar w:fldCharType="begin"/>
      </w:r>
      <w:r w:rsidRPr="0019789C">
        <w:instrText xml:space="preserve"> NOTEREF _Ref30769432 \h  \* MERGEFORMAT </w:instrText>
      </w:r>
      <w:r w:rsidRPr="0019789C">
        <w:fldChar w:fldCharType="separate"/>
      </w:r>
      <w:r w:rsidR="00AD46EC">
        <w:t>682</w:t>
      </w:r>
      <w:r w:rsidRPr="0019789C">
        <w:fldChar w:fldCharType="end"/>
      </w:r>
      <w:r w:rsidRPr="0019789C">
        <w:t>) 341-42.</w:t>
      </w:r>
    </w:p>
  </w:footnote>
  <w:footnote w:id="685">
    <w:p w14:paraId="47534046"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Whiting v Hillingdon London Borough Council</w:t>
      </w:r>
      <w:r w:rsidRPr="0019789C">
        <w:t xml:space="preserve"> [1970] 68 LGR 437, 114 Sol Jo 247.</w:t>
      </w:r>
    </w:p>
  </w:footnote>
  <w:footnote w:id="686">
    <w:p w14:paraId="5FD5A8E0" w14:textId="77777777" w:rsidR="0019789C" w:rsidRPr="0019789C" w:rsidRDefault="0019789C" w:rsidP="001300A7">
      <w:pPr>
        <w:pStyle w:val="fntxt"/>
      </w:pPr>
      <w:r w:rsidRPr="0019789C">
        <w:rPr>
          <w:rStyle w:val="FootnoteReference"/>
          <w:rFonts w:cs="Arial"/>
        </w:rPr>
        <w:footnoteRef/>
      </w:r>
      <w:r w:rsidRPr="0019789C">
        <w:t xml:space="preserve"> Under the since-repealed Highways Act 1959.</w:t>
      </w:r>
    </w:p>
  </w:footnote>
  <w:footnote w:id="687">
    <w:p w14:paraId="22BC8559" w14:textId="7B8E6024" w:rsidR="0019789C" w:rsidRPr="0019789C" w:rsidRDefault="0019789C" w:rsidP="001300A7">
      <w:pPr>
        <w:pStyle w:val="fntxt"/>
      </w:pPr>
      <w:r w:rsidRPr="0019789C">
        <w:rPr>
          <w:rStyle w:val="FootnoteReference"/>
          <w:rFonts w:cs="Arial"/>
        </w:rPr>
        <w:footnoteRef/>
      </w:r>
      <w:r w:rsidRPr="0019789C">
        <w:t xml:space="preserve"> Barker and Party (n </w:t>
      </w:r>
      <w:r w:rsidRPr="0019789C">
        <w:fldChar w:fldCharType="begin"/>
      </w:r>
      <w:r w:rsidRPr="0019789C">
        <w:instrText xml:space="preserve"> NOTEREF _Ref30769432 \h  \* MERGEFORMAT </w:instrText>
      </w:r>
      <w:r w:rsidRPr="0019789C">
        <w:fldChar w:fldCharType="separate"/>
      </w:r>
      <w:r w:rsidR="00AD46EC">
        <w:t>682</w:t>
      </w:r>
      <w:r w:rsidRPr="0019789C">
        <w:fldChar w:fldCharType="end"/>
      </w:r>
      <w:r w:rsidRPr="0019789C">
        <w:t xml:space="preserve">) 341, citing </w:t>
      </w:r>
      <w:r w:rsidRPr="0019789C">
        <w:rPr>
          <w:rStyle w:val="fncaseChar"/>
          <w:rFonts w:cs="Arial"/>
        </w:rPr>
        <w:t>Whiting</w:t>
      </w:r>
      <w:r w:rsidRPr="0019789C">
        <w:rPr>
          <w:i/>
        </w:rPr>
        <w:t xml:space="preserve"> </w:t>
      </w:r>
      <w:r w:rsidRPr="0019789C">
        <w:t xml:space="preserve">(n </w:t>
      </w:r>
      <w:r w:rsidRPr="0019789C">
        <w:fldChar w:fldCharType="begin"/>
      </w:r>
      <w:r w:rsidRPr="0019789C">
        <w:instrText xml:space="preserve"> NOTEREF _Ref32914298 \h  \* MERGEFORMAT </w:instrText>
      </w:r>
      <w:r w:rsidRPr="0019789C">
        <w:fldChar w:fldCharType="separate"/>
      </w:r>
      <w:r w:rsidR="00AD46EC">
        <w:t>685</w:t>
      </w:r>
      <w:r w:rsidRPr="0019789C">
        <w:fldChar w:fldCharType="end"/>
      </w:r>
      <w:r w:rsidRPr="0019789C">
        <w:t>) 443, Barker and Party were discussing the Highways Act 1959, s 58, which is today’s Highways Act 1980, s 41.</w:t>
      </w:r>
    </w:p>
  </w:footnote>
  <w:footnote w:id="688">
    <w:p w14:paraId="3554775B" w14:textId="6B9E8AA1" w:rsidR="0019789C" w:rsidRPr="0019789C" w:rsidRDefault="0019789C" w:rsidP="001300A7">
      <w:pPr>
        <w:pStyle w:val="fntxt"/>
      </w:pPr>
      <w:r w:rsidRPr="0019789C">
        <w:rPr>
          <w:rStyle w:val="FootnoteReference"/>
          <w:rFonts w:cs="Arial"/>
        </w:rPr>
        <w:footnoteRef/>
      </w:r>
      <w:r w:rsidRPr="0019789C">
        <w:t xml:space="preserve"> Barker and Party (n </w:t>
      </w:r>
      <w:r w:rsidRPr="0019789C">
        <w:fldChar w:fldCharType="begin"/>
      </w:r>
      <w:r w:rsidRPr="0019789C">
        <w:instrText xml:space="preserve"> NOTEREF _Ref30769432 \h  \* MERGEFORMAT </w:instrText>
      </w:r>
      <w:r w:rsidRPr="0019789C">
        <w:fldChar w:fldCharType="separate"/>
      </w:r>
      <w:r w:rsidR="00AD46EC">
        <w:t>682</w:t>
      </w:r>
      <w:r w:rsidRPr="0019789C">
        <w:fldChar w:fldCharType="end"/>
      </w:r>
      <w:r w:rsidRPr="0019789C">
        <w:t>) 342.</w:t>
      </w:r>
    </w:p>
  </w:footnote>
  <w:footnote w:id="689">
    <w:p w14:paraId="0473B79A" w14:textId="77777777" w:rsidR="0019789C" w:rsidRPr="0019789C" w:rsidRDefault="0019789C" w:rsidP="001300A7">
      <w:pPr>
        <w:pStyle w:val="fntxt"/>
      </w:pPr>
      <w:r w:rsidRPr="0019789C">
        <w:rPr>
          <w:rStyle w:val="FootnoteReference"/>
          <w:rFonts w:cs="Arial"/>
        </w:rPr>
        <w:footnoteRef/>
      </w:r>
      <w:r w:rsidRPr="0019789C">
        <w:t xml:space="preserve"> See above C1.2 on breach of statutory duty.</w:t>
      </w:r>
    </w:p>
  </w:footnote>
  <w:footnote w:id="690">
    <w:p w14:paraId="4D3ECE0F" w14:textId="77777777" w:rsidR="0019789C" w:rsidRPr="0019789C" w:rsidRDefault="0019789C" w:rsidP="001300A7">
      <w:pPr>
        <w:pStyle w:val="fntxt"/>
      </w:pPr>
      <w:r w:rsidRPr="0019789C">
        <w:rPr>
          <w:rStyle w:val="FootnoteReference"/>
          <w:rFonts w:cs="Arial"/>
        </w:rPr>
        <w:footnoteRef/>
      </w:r>
      <w:r w:rsidRPr="0019789C">
        <w:rPr>
          <w:rStyle w:val="fncaseChar"/>
          <w:rFonts w:cs="Arial"/>
        </w:rPr>
        <w:t xml:space="preserve"> A M F International Ltd v Magnet Bowling Ltd and Another </w:t>
      </w:r>
      <w:r w:rsidRPr="0019789C">
        <w:t>[1968] 2 All ER 789.</w:t>
      </w:r>
    </w:p>
  </w:footnote>
  <w:footnote w:id="691">
    <w:p w14:paraId="7D73FC8C" w14:textId="77777777" w:rsidR="0019789C" w:rsidRPr="0019789C" w:rsidRDefault="0019789C" w:rsidP="001300A7">
      <w:pPr>
        <w:pStyle w:val="fntxt"/>
      </w:pPr>
      <w:r w:rsidRPr="0019789C">
        <w:rPr>
          <w:rStyle w:val="FootnoteReference"/>
          <w:rFonts w:cs="Arial"/>
        </w:rPr>
        <w:footnoteRef/>
      </w:r>
      <w:r w:rsidRPr="0019789C">
        <w:t xml:space="preserve"> ibid 808.</w:t>
      </w:r>
    </w:p>
  </w:footnote>
  <w:footnote w:id="692">
    <w:p w14:paraId="65AC84A9" w14:textId="43B1BA11" w:rsidR="0019789C" w:rsidRPr="0019789C" w:rsidRDefault="0019789C" w:rsidP="001300A7">
      <w:pPr>
        <w:pStyle w:val="fntxt"/>
      </w:pPr>
      <w:r w:rsidRPr="0019789C">
        <w:rPr>
          <w:rStyle w:val="FootnoteReference"/>
          <w:rFonts w:cs="Arial"/>
        </w:rPr>
        <w:footnoteRef/>
      </w:r>
      <w:r w:rsidRPr="0019789C">
        <w:t xml:space="preserve"> Occupiers’ Liability Act 1984, s 1(8) and 1(9), which defines ‘injury’ as ‘anything resulting in death or personal injury, including any disease and any impairment of physical or mental condition’.</w:t>
      </w:r>
    </w:p>
  </w:footnote>
  <w:footnote w:id="693">
    <w:p w14:paraId="266A46B3" w14:textId="77777777" w:rsidR="0019789C" w:rsidRPr="0019789C" w:rsidRDefault="0019789C" w:rsidP="001300A7">
      <w:pPr>
        <w:pStyle w:val="fntxt"/>
      </w:pPr>
      <w:r w:rsidRPr="0019789C">
        <w:rPr>
          <w:rStyle w:val="FootnoteReference"/>
          <w:rFonts w:cs="Arial"/>
        </w:rPr>
        <w:footnoteRef/>
      </w:r>
      <w:r w:rsidRPr="0019789C">
        <w:t xml:space="preserve"> See above C1.1 (b) on remedies in negligence.</w:t>
      </w:r>
    </w:p>
  </w:footnote>
  <w:footnote w:id="694">
    <w:p w14:paraId="0BA0B785" w14:textId="77777777" w:rsidR="0019789C" w:rsidRPr="0019789C" w:rsidRDefault="0019789C" w:rsidP="001300A7">
      <w:pPr>
        <w:pStyle w:val="fntxt"/>
      </w:pPr>
      <w:r w:rsidRPr="0019789C">
        <w:rPr>
          <w:rStyle w:val="FootnoteReference"/>
          <w:rFonts w:cs="Arial"/>
        </w:rPr>
        <w:footnoteRef/>
      </w:r>
      <w:r w:rsidRPr="0019789C">
        <w:t xml:space="preserve"> Discussed below, see C3.1.</w:t>
      </w:r>
    </w:p>
  </w:footnote>
  <w:footnote w:id="695">
    <w:p w14:paraId="28003273" w14:textId="4E766585" w:rsidR="0019789C" w:rsidRPr="0019789C" w:rsidRDefault="0019789C" w:rsidP="001300A7">
      <w:pPr>
        <w:pStyle w:val="fntxt"/>
      </w:pPr>
      <w:r w:rsidRPr="0019789C">
        <w:rPr>
          <w:rStyle w:val="FootnoteReference"/>
        </w:rPr>
        <w:footnoteRef/>
      </w:r>
      <w:r w:rsidRPr="0019789C">
        <w:t xml:space="preserve"> [1948] 1 KB 162 (QBD).</w:t>
      </w:r>
    </w:p>
  </w:footnote>
  <w:footnote w:id="696">
    <w:p w14:paraId="2FAD27A8" w14:textId="25173F61" w:rsidR="0019789C" w:rsidRPr="0019789C" w:rsidRDefault="0019789C" w:rsidP="001300A7">
      <w:pPr>
        <w:pStyle w:val="fntxt"/>
      </w:pPr>
      <w:r w:rsidRPr="0019789C">
        <w:rPr>
          <w:rStyle w:val="FootnoteReference"/>
          <w:rFonts w:cs="Arial"/>
        </w:rPr>
        <w:footnoteRef/>
      </w:r>
      <w:r w:rsidRPr="0019789C">
        <w:t xml:space="preserve"> ibid 165.</w:t>
      </w:r>
    </w:p>
  </w:footnote>
  <w:footnote w:id="697">
    <w:p w14:paraId="20D736AB" w14:textId="77777777" w:rsidR="0019789C" w:rsidRPr="0019789C" w:rsidRDefault="0019789C" w:rsidP="001300A7">
      <w:pPr>
        <w:pStyle w:val="fntxt"/>
      </w:pPr>
      <w:r w:rsidRPr="0019789C">
        <w:rPr>
          <w:rStyle w:val="FootnoteReference"/>
        </w:rPr>
        <w:footnoteRef/>
      </w:r>
      <w:r w:rsidRPr="0019789C">
        <w:t xml:space="preserve"> See above C1.1 (a) on the duty of care in common law negligence. </w:t>
      </w:r>
    </w:p>
  </w:footnote>
  <w:footnote w:id="698">
    <w:p w14:paraId="7B590167" w14:textId="77777777" w:rsidR="0019789C" w:rsidRPr="0019789C" w:rsidRDefault="0019789C" w:rsidP="001300A7">
      <w:pPr>
        <w:pStyle w:val="fntxt"/>
      </w:pPr>
      <w:r w:rsidRPr="0019789C">
        <w:rPr>
          <w:rStyle w:val="FootnoteReference"/>
        </w:rPr>
        <w:footnoteRef/>
      </w:r>
      <w:r w:rsidRPr="0019789C">
        <w:t xml:space="preserve"> [1996] AC 923.</w:t>
      </w:r>
    </w:p>
  </w:footnote>
  <w:footnote w:id="699">
    <w:p w14:paraId="2097D0F8" w14:textId="77777777" w:rsidR="0019789C" w:rsidRPr="0019789C" w:rsidRDefault="0019789C" w:rsidP="001300A7">
      <w:pPr>
        <w:pStyle w:val="fntxt"/>
      </w:pPr>
      <w:r w:rsidRPr="0019789C">
        <w:rPr>
          <w:rStyle w:val="FootnoteReference"/>
        </w:rPr>
        <w:footnoteRef/>
      </w:r>
      <w:r w:rsidRPr="0019789C">
        <w:t xml:space="preserve"> ibid 941-42.</w:t>
      </w:r>
    </w:p>
  </w:footnote>
  <w:footnote w:id="700">
    <w:p w14:paraId="7B387A01" w14:textId="77777777" w:rsidR="0019789C" w:rsidRPr="0019789C" w:rsidRDefault="0019789C" w:rsidP="001300A7">
      <w:pPr>
        <w:pStyle w:val="fntxt"/>
      </w:pPr>
      <w:r w:rsidRPr="0019789C">
        <w:rPr>
          <w:rStyle w:val="FootnoteReference"/>
        </w:rPr>
        <w:footnoteRef/>
      </w:r>
      <w:r w:rsidRPr="0019789C">
        <w:t xml:space="preserve"> ibid.</w:t>
      </w:r>
    </w:p>
  </w:footnote>
  <w:footnote w:id="701">
    <w:p w14:paraId="40AD763E" w14:textId="77777777" w:rsidR="0019789C" w:rsidRPr="0019789C" w:rsidRDefault="0019789C" w:rsidP="001300A7">
      <w:pPr>
        <w:pStyle w:val="fntxt"/>
      </w:pPr>
      <w:r w:rsidRPr="0019789C">
        <w:rPr>
          <w:rStyle w:val="FootnoteReference"/>
        </w:rPr>
        <w:footnoteRef/>
      </w:r>
      <w:r w:rsidRPr="0019789C">
        <w:t xml:space="preserve"> ibid 941-45.</w:t>
      </w:r>
    </w:p>
  </w:footnote>
  <w:footnote w:id="702">
    <w:p w14:paraId="599E085B" w14:textId="174F98F9" w:rsidR="0019789C" w:rsidRPr="0019789C" w:rsidRDefault="0019789C" w:rsidP="001300A7">
      <w:pPr>
        <w:pStyle w:val="fntxt"/>
      </w:pPr>
      <w:r w:rsidRPr="0019789C">
        <w:rPr>
          <w:rStyle w:val="FootnoteReference"/>
        </w:rPr>
        <w:footnoteRef/>
      </w:r>
      <w:r w:rsidRPr="0019789C">
        <w:t xml:space="preserve"> ibid 943 (Lord Hoffmann).</w:t>
      </w:r>
    </w:p>
  </w:footnote>
  <w:footnote w:id="703">
    <w:p w14:paraId="1EB3711D" w14:textId="77777777" w:rsidR="0019789C" w:rsidRPr="0019789C" w:rsidRDefault="0019789C" w:rsidP="001300A7">
      <w:pPr>
        <w:pStyle w:val="fntxt"/>
      </w:pPr>
      <w:r w:rsidRPr="0019789C">
        <w:rPr>
          <w:rStyle w:val="FootnoteReference"/>
        </w:rPr>
        <w:footnoteRef/>
      </w:r>
      <w:r w:rsidRPr="0019789C">
        <w:t xml:space="preserve"> ibid 943.</w:t>
      </w:r>
    </w:p>
  </w:footnote>
  <w:footnote w:id="704">
    <w:p w14:paraId="65072825" w14:textId="07F2AD7C" w:rsidR="0019789C" w:rsidRPr="0019789C" w:rsidRDefault="0019789C" w:rsidP="001300A7">
      <w:pPr>
        <w:pStyle w:val="fntxt"/>
      </w:pPr>
      <w:r w:rsidRPr="0019789C">
        <w:rPr>
          <w:rStyle w:val="FootnoteReference"/>
        </w:rPr>
        <w:footnoteRef/>
      </w:r>
      <w:r w:rsidRPr="0019789C">
        <w:t xml:space="preserve"> ibid 942.</w:t>
      </w:r>
    </w:p>
  </w:footnote>
  <w:footnote w:id="705">
    <w:p w14:paraId="5E9BFFA3" w14:textId="03A0A9A3" w:rsidR="0019789C" w:rsidRPr="0019789C" w:rsidRDefault="0019789C" w:rsidP="001300A7">
      <w:pPr>
        <w:pStyle w:val="fntxt"/>
      </w:pPr>
      <w:r w:rsidRPr="0019789C">
        <w:rPr>
          <w:rStyle w:val="FootnoteReference"/>
          <w:rFonts w:cs="Arial"/>
        </w:rPr>
        <w:footnoteRef/>
      </w:r>
      <w:r w:rsidRPr="0019789C">
        <w:t xml:space="preserve"> ibid 923, 928-29; Highways Act 1980, s 79(1):</w:t>
      </w:r>
      <w:r w:rsidRPr="0019789C">
        <w:rPr>
          <w:lang w:bidi="en-US"/>
        </w:rPr>
        <w:t xml:space="preserve"> ‘</w:t>
      </w:r>
      <w:r w:rsidRPr="0019789C">
        <w:t>Where, in the case of a highway maintainable at the public expense, the highway authority for the highway deem it necessary for the prevention of danger arising from obstruction to the view of persons using the highway to impose restrictions with respect to any land at or near any corner or bend in the highway or any junction of the highway with a road to which the public has access, the authority may, subject to the provisions of this section, serve a notice, together with a plan showing the land to which the notice relates … .’</w:t>
      </w:r>
    </w:p>
  </w:footnote>
  <w:footnote w:id="706">
    <w:p w14:paraId="21AAF525" w14:textId="77777777" w:rsidR="0019789C" w:rsidRPr="0019789C" w:rsidRDefault="0019789C" w:rsidP="001300A7">
      <w:pPr>
        <w:pStyle w:val="fntxt"/>
      </w:pPr>
      <w:r w:rsidRPr="0019789C">
        <w:rPr>
          <w:rStyle w:val="FootnoteReference"/>
        </w:rPr>
        <w:footnoteRef/>
      </w:r>
      <w:r w:rsidRPr="0019789C">
        <w:t xml:space="preserve"> [1996] AC 923, 927 [referencing </w:t>
      </w:r>
      <w:r w:rsidRPr="0019789C">
        <w:rPr>
          <w:i/>
        </w:rPr>
        <w:t>Levine v Morris</w:t>
      </w:r>
      <w:r w:rsidRPr="0019789C">
        <w:t xml:space="preserve"> [1970] 1 WLR 71;</w:t>
      </w:r>
      <w:r w:rsidRPr="0019789C">
        <w:rPr>
          <w:i/>
        </w:rPr>
        <w:t xml:space="preserve"> Bird v Pearce</w:t>
      </w:r>
      <w:r w:rsidRPr="0019789C">
        <w:t xml:space="preserve"> [1978] RTR 290, [1979] RTR 369; and </w:t>
      </w:r>
      <w:r w:rsidRPr="0019789C">
        <w:rPr>
          <w:i/>
        </w:rPr>
        <w:t>Rider v Rider</w:t>
      </w:r>
      <w:r w:rsidRPr="0019789C">
        <w:t xml:space="preserve"> [1973] QB 505].</w:t>
      </w:r>
    </w:p>
  </w:footnote>
  <w:footnote w:id="707">
    <w:p w14:paraId="368B599E" w14:textId="77777777" w:rsidR="0019789C" w:rsidRPr="0019789C" w:rsidRDefault="0019789C" w:rsidP="001300A7">
      <w:pPr>
        <w:pStyle w:val="fntxt"/>
      </w:pPr>
      <w:r w:rsidRPr="0019789C">
        <w:rPr>
          <w:rStyle w:val="FootnoteReference"/>
        </w:rPr>
        <w:footnoteRef/>
      </w:r>
      <w:r w:rsidRPr="0019789C">
        <w:t xml:space="preserve"> ibid 927-28 [referencing </w:t>
      </w:r>
      <w:r w:rsidRPr="0019789C">
        <w:rPr>
          <w:i/>
        </w:rPr>
        <w:t>Sutherland Shire Council v Heyman</w:t>
      </w:r>
      <w:r w:rsidRPr="0019789C">
        <w:t xml:space="preserve"> [1985] 157 CLR 424; and </w:t>
      </w:r>
      <w:r w:rsidRPr="0019789C">
        <w:rPr>
          <w:i/>
        </w:rPr>
        <w:t xml:space="preserve">Dorset Yacht Co Ltd v Home Office </w:t>
      </w:r>
      <w:r w:rsidRPr="0019789C">
        <w:t>[1970] AC 1004, 1031].</w:t>
      </w:r>
    </w:p>
  </w:footnote>
  <w:footnote w:id="708">
    <w:p w14:paraId="1AF9DFB0" w14:textId="77777777" w:rsidR="0019789C" w:rsidRPr="0019789C" w:rsidRDefault="0019789C" w:rsidP="001300A7">
      <w:pPr>
        <w:pStyle w:val="fntxt"/>
      </w:pPr>
      <w:r w:rsidRPr="0019789C">
        <w:rPr>
          <w:rStyle w:val="FootnoteReference"/>
          <w:rFonts w:cs="Arial"/>
        </w:rPr>
        <w:footnoteRef/>
      </w:r>
      <w:r w:rsidRPr="0019789C">
        <w:t xml:space="preserve"> ibid 923, 950.</w:t>
      </w:r>
    </w:p>
  </w:footnote>
  <w:footnote w:id="709">
    <w:p w14:paraId="7F071BE1" w14:textId="3C60669D" w:rsidR="0019789C" w:rsidRPr="0019789C" w:rsidRDefault="0019789C" w:rsidP="001300A7">
      <w:pPr>
        <w:pStyle w:val="fntxt"/>
      </w:pPr>
      <w:r w:rsidRPr="0019789C">
        <w:rPr>
          <w:rStyle w:val="FootnoteReference"/>
        </w:rPr>
        <w:footnoteRef/>
      </w:r>
      <w:r w:rsidRPr="0019789C">
        <w:t xml:space="preserve"> ibid 953 (Lord Hoffmann).</w:t>
      </w:r>
    </w:p>
  </w:footnote>
  <w:footnote w:id="710">
    <w:p w14:paraId="4EC588BD" w14:textId="77777777" w:rsidR="0019789C" w:rsidRPr="0019789C" w:rsidRDefault="0019789C" w:rsidP="001300A7">
      <w:pPr>
        <w:pStyle w:val="fntxt"/>
      </w:pPr>
      <w:r w:rsidRPr="0019789C">
        <w:rPr>
          <w:rStyle w:val="FootnoteReference"/>
        </w:rPr>
        <w:footnoteRef/>
      </w:r>
      <w:r w:rsidRPr="0019789C">
        <w:t xml:space="preserve"> ibid 952.</w:t>
      </w:r>
    </w:p>
  </w:footnote>
  <w:footnote w:id="711">
    <w:p w14:paraId="331D43E8" w14:textId="77777777" w:rsidR="0019789C" w:rsidRPr="0019789C" w:rsidRDefault="0019789C" w:rsidP="001300A7">
      <w:pPr>
        <w:pStyle w:val="fntxt"/>
      </w:pPr>
      <w:r w:rsidRPr="0019789C">
        <w:rPr>
          <w:rStyle w:val="FootnoteReference"/>
        </w:rPr>
        <w:footnoteRef/>
      </w:r>
      <w:r w:rsidRPr="0019789C">
        <w:t xml:space="preserve"> ibid 952-93.</w:t>
      </w:r>
    </w:p>
  </w:footnote>
  <w:footnote w:id="712">
    <w:p w14:paraId="057AA872" w14:textId="41AAAE96" w:rsidR="0019789C" w:rsidRPr="0019789C" w:rsidRDefault="0019789C" w:rsidP="001300A7">
      <w:pPr>
        <w:pStyle w:val="fntxt"/>
        <w:rPr>
          <w:lang w:val="en-US"/>
        </w:rPr>
      </w:pPr>
      <w:r w:rsidRPr="0019789C">
        <w:rPr>
          <w:rStyle w:val="FootnoteReference"/>
        </w:rPr>
        <w:footnoteRef/>
      </w:r>
      <w:r w:rsidRPr="0019789C">
        <w:t xml:space="preserve"> ibid 958.</w:t>
      </w:r>
    </w:p>
  </w:footnote>
  <w:footnote w:id="713">
    <w:p w14:paraId="04C2E96F" w14:textId="77777777" w:rsidR="0019789C" w:rsidRPr="0019789C" w:rsidRDefault="0019789C" w:rsidP="001300A7">
      <w:pPr>
        <w:pStyle w:val="fntxt"/>
      </w:pPr>
      <w:r w:rsidRPr="0019789C">
        <w:rPr>
          <w:rStyle w:val="FootnoteReference"/>
        </w:rPr>
        <w:footnoteRef/>
      </w:r>
      <w:r w:rsidRPr="0019789C">
        <w:t xml:space="preserve"> A Mullis, ‘Tort’ [1996] All England Annual Review.</w:t>
      </w:r>
    </w:p>
  </w:footnote>
  <w:footnote w:id="714">
    <w:p w14:paraId="44820C1C" w14:textId="77777777" w:rsidR="0019789C" w:rsidRPr="0019789C" w:rsidRDefault="0019789C" w:rsidP="001300A7">
      <w:pPr>
        <w:pStyle w:val="fntxt"/>
      </w:pPr>
      <w:r w:rsidRPr="0019789C">
        <w:rPr>
          <w:rStyle w:val="FootnoteReference"/>
        </w:rPr>
        <w:footnoteRef/>
      </w:r>
      <w:r w:rsidRPr="0019789C">
        <w:t xml:space="preserve"> ibid.</w:t>
      </w:r>
    </w:p>
  </w:footnote>
  <w:footnote w:id="715">
    <w:p w14:paraId="79E2F182"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Ali v Bradford Metropolitan District Council</w:t>
      </w:r>
      <w:r w:rsidRPr="0019789C">
        <w:t xml:space="preserve"> [2010] EWCA Civ 1282, [2012] 1 WLR 161.</w:t>
      </w:r>
    </w:p>
  </w:footnote>
  <w:footnote w:id="716">
    <w:p w14:paraId="1257FB3F" w14:textId="77777777" w:rsidR="0019789C" w:rsidRPr="0019789C" w:rsidRDefault="0019789C" w:rsidP="001300A7">
      <w:pPr>
        <w:pStyle w:val="fntxt"/>
      </w:pPr>
      <w:r w:rsidRPr="0019789C">
        <w:rPr>
          <w:rStyle w:val="FootnoteReference"/>
        </w:rPr>
        <w:footnoteRef/>
      </w:r>
      <w:r w:rsidRPr="0019789C">
        <w:t xml:space="preserve"> Highways Act 1980, s 130B(4).</w:t>
      </w:r>
    </w:p>
  </w:footnote>
  <w:footnote w:id="717">
    <w:p w14:paraId="544E4C78" w14:textId="15B5ED84" w:rsidR="0019789C" w:rsidRPr="0019789C" w:rsidRDefault="0019789C" w:rsidP="001300A7">
      <w:pPr>
        <w:pStyle w:val="fntxt"/>
      </w:pPr>
      <w:r w:rsidRPr="0019789C">
        <w:rPr>
          <w:rStyle w:val="FootnoteReference"/>
          <w:rFonts w:cs="Arial"/>
        </w:rPr>
        <w:footnoteRef/>
      </w:r>
      <w:r w:rsidRPr="0019789C">
        <w:t xml:space="preserve"> [2010] 3 All ER 771.</w:t>
      </w:r>
    </w:p>
  </w:footnote>
  <w:footnote w:id="718">
    <w:p w14:paraId="5AD8745B" w14:textId="77777777" w:rsidR="0019789C" w:rsidRPr="0019789C" w:rsidRDefault="0019789C" w:rsidP="001300A7">
      <w:pPr>
        <w:pStyle w:val="fntxt"/>
      </w:pPr>
      <w:r w:rsidRPr="0019789C">
        <w:rPr>
          <w:rStyle w:val="FootnoteReference"/>
        </w:rPr>
        <w:footnoteRef/>
      </w:r>
      <w:r w:rsidRPr="0019789C">
        <w:t xml:space="preserve"> ibid [49]; see also </w:t>
      </w:r>
      <w:r w:rsidRPr="0019789C">
        <w:rPr>
          <w:i/>
        </w:rPr>
        <w:t>Billington v Maguire and another</w:t>
      </w:r>
      <w:r w:rsidRPr="0019789C">
        <w:t xml:space="preserve"> [2001] EWCA Civ 273.</w:t>
      </w:r>
    </w:p>
  </w:footnote>
  <w:footnote w:id="719">
    <w:p w14:paraId="3CF49BF4"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i/>
        </w:rPr>
        <w:t xml:space="preserve">Derbyshire County Council v High Peak Magistrates Court </w:t>
      </w:r>
      <w:r w:rsidRPr="0019789C">
        <w:t>[2013] All ER (D) 69 (Jul).</w:t>
      </w:r>
    </w:p>
  </w:footnote>
  <w:footnote w:id="720">
    <w:p w14:paraId="0F0FB1C4" w14:textId="286198D6" w:rsidR="0019789C" w:rsidRPr="0019789C" w:rsidRDefault="0019789C" w:rsidP="001300A7">
      <w:pPr>
        <w:pStyle w:val="fntxt"/>
      </w:pPr>
      <w:r w:rsidRPr="0019789C">
        <w:rPr>
          <w:rStyle w:val="FootnoteReference"/>
        </w:rPr>
        <w:footnoteRef/>
      </w:r>
      <w:r w:rsidRPr="0019789C">
        <w:t xml:space="preserve"> See below D3.2.</w:t>
      </w:r>
    </w:p>
  </w:footnote>
  <w:footnote w:id="721">
    <w:p w14:paraId="788832A2" w14:textId="77777777" w:rsidR="0019789C" w:rsidRPr="0019789C" w:rsidRDefault="0019789C" w:rsidP="001300A7">
      <w:pPr>
        <w:pStyle w:val="fntxt"/>
        <w:rPr>
          <w:rFonts w:cs="Arial"/>
        </w:rPr>
      </w:pPr>
      <w:r w:rsidRPr="0019789C">
        <w:rPr>
          <w:rStyle w:val="FootnoteReference"/>
          <w:rFonts w:cs="Arial"/>
        </w:rPr>
        <w:footnoteRef/>
      </w:r>
      <w:r w:rsidRPr="0019789C">
        <w:rPr>
          <w:rFonts w:cs="Arial"/>
        </w:rPr>
        <w:t xml:space="preserve"> PH Winfield, ‘Nuisance as a Tort’ (1931) 4(2) The Cambridge Law Journal 189, 190.</w:t>
      </w:r>
    </w:p>
  </w:footnote>
  <w:footnote w:id="722">
    <w:p w14:paraId="1C0B7BFF" w14:textId="77777777" w:rsidR="0019789C" w:rsidRPr="0019789C" w:rsidRDefault="0019789C" w:rsidP="001300A7">
      <w:pPr>
        <w:pStyle w:val="fntxt"/>
        <w:rPr>
          <w:rFonts w:cs="Arial"/>
        </w:rPr>
      </w:pPr>
      <w:r w:rsidRPr="0019789C">
        <w:rPr>
          <w:rStyle w:val="FootnoteReference"/>
          <w:rFonts w:cs="Arial"/>
        </w:rPr>
        <w:footnoteRef/>
      </w:r>
      <w:r w:rsidRPr="0019789C">
        <w:rPr>
          <w:rFonts w:cs="Arial"/>
        </w:rPr>
        <w:t xml:space="preserve"> </w:t>
      </w:r>
      <w:r w:rsidRPr="0019789C">
        <w:rPr>
          <w:rStyle w:val="fncaseChar"/>
          <w:rFonts w:cs="Arial"/>
        </w:rPr>
        <w:t xml:space="preserve">Attorney General v PYA Quarries Ltd (No.1) </w:t>
      </w:r>
      <w:r w:rsidRPr="0019789C">
        <w:rPr>
          <w:rFonts w:cs="Arial"/>
        </w:rPr>
        <w:t>[1957] 2 QB 169, 184: ‘any nuisance is public which materially affects the reasonable comfort and convenience of life of a class of her Majesty’s subjects. The sphere may be described generally as the neighbourhood, but the question whether the local community within that sphere comprises a sufficient number of persons to constitute a class of the public is a question of fact in every case.’ (Romer LJ).</w:t>
      </w:r>
    </w:p>
  </w:footnote>
  <w:footnote w:id="723">
    <w:p w14:paraId="682362AD" w14:textId="6BC035C1" w:rsidR="0019789C" w:rsidRPr="0019789C" w:rsidRDefault="0019789C" w:rsidP="001300A7">
      <w:pPr>
        <w:pStyle w:val="fntxt"/>
        <w:rPr>
          <w:rFonts w:cs="Arial"/>
        </w:rPr>
      </w:pPr>
      <w:r w:rsidRPr="0019789C">
        <w:rPr>
          <w:rStyle w:val="FootnoteReference"/>
          <w:rFonts w:cs="Arial"/>
        </w:rPr>
        <w:footnoteRef/>
      </w:r>
      <w:r w:rsidRPr="0019789C">
        <w:rPr>
          <w:rStyle w:val="fncaseChar"/>
          <w:rFonts w:cs="Arial"/>
        </w:rPr>
        <w:t xml:space="preserve"> Halsey v Esso Petroleum Co Ltd</w:t>
      </w:r>
      <w:r w:rsidRPr="0019789C">
        <w:t xml:space="preserve"> [1961] 2 All ER 145; </w:t>
      </w:r>
      <w:r w:rsidRPr="0019789C">
        <w:rPr>
          <w:rStyle w:val="fncaseChar"/>
          <w:rFonts w:cs="Arial"/>
        </w:rPr>
        <w:t xml:space="preserve">Jacobs v London County Council </w:t>
      </w:r>
      <w:r w:rsidRPr="0019789C">
        <w:rPr>
          <w:rFonts w:cs="Arial"/>
        </w:rPr>
        <w:t>[1950] AC 361, 375.</w:t>
      </w:r>
    </w:p>
  </w:footnote>
  <w:footnote w:id="724">
    <w:p w14:paraId="308D62B6"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Boyce v Paddington Borough Council</w:t>
      </w:r>
      <w:r w:rsidRPr="0019789C">
        <w:t xml:space="preserve"> [1903] 1 Ch 109.</w:t>
      </w:r>
    </w:p>
  </w:footnote>
  <w:footnote w:id="725">
    <w:p w14:paraId="3B10AE1E"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Harper v GN Haden &amp; Sons Ltd</w:t>
      </w:r>
      <w:r w:rsidRPr="0019789C">
        <w:t xml:space="preserve"> [1932] All ER Rep 59, 61-63 (Lord Hanworth MR).</w:t>
      </w:r>
    </w:p>
  </w:footnote>
  <w:footnote w:id="726">
    <w:p w14:paraId="09F4921D" w14:textId="106D078B"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i w:val="0"/>
          <w:iCs/>
        </w:rPr>
        <w:t>Ibid.</w:t>
      </w:r>
    </w:p>
  </w:footnote>
  <w:footnote w:id="727">
    <w:p w14:paraId="06961484" w14:textId="77777777" w:rsidR="0019789C" w:rsidRPr="0019789C" w:rsidRDefault="0019789C" w:rsidP="001300A7">
      <w:pPr>
        <w:pStyle w:val="fntxt"/>
      </w:pPr>
      <w:r w:rsidRPr="0019789C">
        <w:rPr>
          <w:rStyle w:val="FootnoteReference"/>
          <w:rFonts w:cs="Arial"/>
        </w:rPr>
        <w:footnoteRef/>
      </w:r>
      <w:r w:rsidRPr="0019789C">
        <w:t xml:space="preserve"> ibid 68.</w:t>
      </w:r>
    </w:p>
  </w:footnote>
  <w:footnote w:id="728">
    <w:p w14:paraId="469DC559" w14:textId="77777777" w:rsidR="0019789C" w:rsidRPr="0019789C" w:rsidRDefault="0019789C" w:rsidP="001300A7">
      <w:pPr>
        <w:pStyle w:val="fntxt"/>
      </w:pPr>
      <w:r w:rsidRPr="0019789C">
        <w:rPr>
          <w:rStyle w:val="FootnoteReference"/>
          <w:rFonts w:cs="Arial"/>
        </w:rPr>
        <w:footnoteRef/>
      </w:r>
      <w:r w:rsidRPr="0019789C">
        <w:t xml:space="preserve"> ibid 69.</w:t>
      </w:r>
    </w:p>
  </w:footnote>
  <w:footnote w:id="729">
    <w:p w14:paraId="616062F7" w14:textId="23E86A3D" w:rsidR="0019789C" w:rsidRPr="0019789C" w:rsidRDefault="0019789C" w:rsidP="001300A7">
      <w:pPr>
        <w:pStyle w:val="fntxt"/>
        <w:rPr>
          <w:rStyle w:val="fntxtChar"/>
          <w:lang w:val="en-US" w:eastAsia="en-US"/>
        </w:rPr>
      </w:pPr>
      <w:r w:rsidRPr="0019789C">
        <w:rPr>
          <w:rStyle w:val="FootnoteReference"/>
        </w:rPr>
        <w:footnoteRef/>
      </w:r>
      <w:r w:rsidRPr="0019789C">
        <w:t xml:space="preserve"> </w:t>
      </w:r>
      <w:r w:rsidRPr="0019789C">
        <w:rPr>
          <w:rStyle w:val="fntxtChar"/>
          <w:lang w:val="en-US" w:eastAsia="en-US"/>
        </w:rPr>
        <w:t>[1975] 2 WLR 254</w:t>
      </w:r>
      <w:r w:rsidRPr="0019789C">
        <w:rPr>
          <w:rStyle w:val="fntxtChar"/>
        </w:rPr>
        <w:t>.</w:t>
      </w:r>
    </w:p>
  </w:footnote>
  <w:footnote w:id="730">
    <w:p w14:paraId="5ACAE496" w14:textId="78374A04"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257.</w:t>
      </w:r>
    </w:p>
  </w:footnote>
  <w:footnote w:id="731">
    <w:p w14:paraId="314B3FEA" w14:textId="518456B3"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257-58.</w:t>
      </w:r>
    </w:p>
  </w:footnote>
  <w:footnote w:id="732">
    <w:p w14:paraId="6F613130" w14:textId="350DD2F1"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w:t>
      </w:r>
      <w:r w:rsidRPr="0019789C">
        <w:t xml:space="preserve"> 262.</w:t>
      </w:r>
    </w:p>
  </w:footnote>
  <w:footnote w:id="733">
    <w:p w14:paraId="2BC98802" w14:textId="4B2BE9F2"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260 (Forbes J).</w:t>
      </w:r>
    </w:p>
  </w:footnote>
  <w:footnote w:id="734">
    <w:p w14:paraId="4D4E549A" w14:textId="6E622FEE"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267-68.</w:t>
      </w:r>
    </w:p>
  </w:footnote>
  <w:footnote w:id="735">
    <w:p w14:paraId="751CC2D4" w14:textId="7258BCAE"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269.</w:t>
      </w:r>
    </w:p>
  </w:footnote>
  <w:footnote w:id="736">
    <w:p w14:paraId="5227B624" w14:textId="17220E4A" w:rsidR="0019789C" w:rsidRPr="0019789C" w:rsidRDefault="0019789C" w:rsidP="001300A7">
      <w:pPr>
        <w:pStyle w:val="fntxt"/>
        <w:rPr>
          <w:lang w:val="en-US"/>
        </w:rPr>
      </w:pPr>
      <w:r w:rsidRPr="0019789C">
        <w:rPr>
          <w:rStyle w:val="FootnoteReference"/>
        </w:rPr>
        <w:footnoteRef/>
      </w:r>
      <w:r w:rsidRPr="0019789C">
        <w:t xml:space="preserve"> [2008] EWCA Civ 463.</w:t>
      </w:r>
    </w:p>
  </w:footnote>
  <w:footnote w:id="737">
    <w:p w14:paraId="2DA8C66B" w14:textId="01C16755" w:rsidR="0019789C" w:rsidRPr="0019789C" w:rsidRDefault="0019789C" w:rsidP="001300A7">
      <w:pPr>
        <w:pStyle w:val="fntxt"/>
      </w:pPr>
      <w:r w:rsidRPr="0019789C">
        <w:rPr>
          <w:rStyle w:val="FootnoteReference"/>
          <w:rFonts w:cs="Arial"/>
        </w:rPr>
        <w:footnoteRef/>
      </w:r>
      <w:r w:rsidRPr="0019789C">
        <w:t xml:space="preserve"> i</w:t>
      </w:r>
      <w:r w:rsidRPr="0019789C">
        <w:rPr>
          <w:rStyle w:val="fntxtChar"/>
        </w:rPr>
        <w:t xml:space="preserve">bid </w:t>
      </w:r>
      <w:r w:rsidRPr="0019789C">
        <w:t>[30]: ‘The purpose of the law which makes it a crime and a tort to do an unlawful act which endangers the life, safety or health of the public is surely to protect the public against the consequences of acts or omissions which do endanger their lives, safety or health. One obvious consequence of such an act or omission is personal injury. The purpose of this law is not to protect the property interests of the public. It is true that the same conduct can amount to a private nuisance and a public nuisance. But the two torts are distinct and the rights protected by them are different.’ [MO: it has been said that Corby’s legal principles are useful in future actions against local councils, find further discussion of this and how useful they are?]</w:t>
      </w:r>
    </w:p>
  </w:footnote>
  <w:footnote w:id="738">
    <w:p w14:paraId="65C1857D" w14:textId="73AF7DD2"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See below D3.2.</w:t>
      </w:r>
    </w:p>
  </w:footnote>
  <w:footnote w:id="739">
    <w:p w14:paraId="4EF129B7" w14:textId="52777755" w:rsidR="0019789C" w:rsidRPr="0019789C" w:rsidRDefault="0019789C" w:rsidP="001300A7">
      <w:pPr>
        <w:pStyle w:val="fntxt"/>
        <w:rPr>
          <w:lang w:val="en-US"/>
        </w:rPr>
      </w:pPr>
      <w:r w:rsidRPr="0019789C">
        <w:rPr>
          <w:rStyle w:val="FootnoteReference"/>
        </w:rPr>
        <w:footnoteRef/>
      </w:r>
      <w:r w:rsidRPr="0019789C">
        <w:t xml:space="preserve"> [1921] All ER Rep 61.</w:t>
      </w:r>
    </w:p>
  </w:footnote>
  <w:footnote w:id="740">
    <w:p w14:paraId="3ED0BD9B" w14:textId="0BB08EB1" w:rsidR="0019789C" w:rsidRPr="0019789C" w:rsidRDefault="0019789C" w:rsidP="001300A7">
      <w:pPr>
        <w:pStyle w:val="fntxt"/>
      </w:pPr>
      <w:r w:rsidRPr="0019789C">
        <w:rPr>
          <w:rStyle w:val="FootnoteReference"/>
          <w:rFonts w:cs="Arial"/>
        </w:rPr>
        <w:footnoteRef/>
      </w:r>
      <w:r w:rsidRPr="0019789C">
        <w:t xml:space="preserve"> ibid 62.</w:t>
      </w:r>
    </w:p>
  </w:footnote>
  <w:footnote w:id="741">
    <w:p w14:paraId="6906A8C4" w14:textId="77777777" w:rsidR="0019789C" w:rsidRPr="0019789C" w:rsidRDefault="0019789C" w:rsidP="001300A7">
      <w:pPr>
        <w:pStyle w:val="fntxt"/>
      </w:pPr>
      <w:r w:rsidRPr="0019789C">
        <w:rPr>
          <w:rStyle w:val="FootnoteReference"/>
          <w:rFonts w:cs="Arial"/>
        </w:rPr>
        <w:footnoteRef/>
      </w:r>
      <w:r w:rsidRPr="0019789C">
        <w:t xml:space="preserve"> ibid 63.</w:t>
      </w:r>
    </w:p>
  </w:footnote>
  <w:footnote w:id="742">
    <w:p w14:paraId="3F854FA7" w14:textId="77777777" w:rsidR="0019789C" w:rsidRPr="0019789C" w:rsidRDefault="0019789C" w:rsidP="001300A7">
      <w:pPr>
        <w:pStyle w:val="fntxt"/>
      </w:pPr>
      <w:r w:rsidRPr="0019789C">
        <w:rPr>
          <w:rStyle w:val="FootnoteReference"/>
          <w:rFonts w:cs="Arial"/>
        </w:rPr>
        <w:footnoteRef/>
      </w:r>
      <w:r w:rsidRPr="0019789C">
        <w:t xml:space="preserve"> ibid 68. </w:t>
      </w:r>
    </w:p>
  </w:footnote>
  <w:footnote w:id="743">
    <w:p w14:paraId="784D9B72" w14:textId="77777777" w:rsidR="0019789C" w:rsidRPr="0019789C" w:rsidRDefault="0019789C" w:rsidP="001300A7">
      <w:pPr>
        <w:pStyle w:val="fntxt"/>
      </w:pPr>
      <w:r w:rsidRPr="0019789C">
        <w:rPr>
          <w:rStyle w:val="FootnoteReference"/>
        </w:rPr>
        <w:footnoteRef/>
      </w:r>
      <w:r w:rsidRPr="0019789C">
        <w:t xml:space="preserve"> Discussed above, see C2.</w:t>
      </w:r>
    </w:p>
  </w:footnote>
  <w:footnote w:id="744">
    <w:p w14:paraId="54516630" w14:textId="77777777" w:rsidR="0019789C" w:rsidRPr="0019789C" w:rsidRDefault="0019789C" w:rsidP="001300A7">
      <w:pPr>
        <w:pStyle w:val="fntxt"/>
      </w:pPr>
      <w:r w:rsidRPr="0019789C">
        <w:rPr>
          <w:rStyle w:val="FootnoteReference"/>
        </w:rPr>
        <w:footnoteRef/>
      </w:r>
      <w:r w:rsidRPr="0019789C">
        <w:t xml:space="preserve"> [2001] 3 All ER 914.</w:t>
      </w:r>
    </w:p>
  </w:footnote>
  <w:footnote w:id="745">
    <w:p w14:paraId="51CA305B" w14:textId="77777777" w:rsidR="0019789C" w:rsidRPr="0019789C" w:rsidRDefault="0019789C" w:rsidP="001300A7">
      <w:pPr>
        <w:pStyle w:val="fntxt"/>
      </w:pPr>
      <w:r w:rsidRPr="0019789C">
        <w:rPr>
          <w:rStyle w:val="FootnoteReference"/>
        </w:rPr>
        <w:footnoteRef/>
      </w:r>
      <w:r w:rsidRPr="0019789C">
        <w:t xml:space="preserve"> ibid [1].</w:t>
      </w:r>
    </w:p>
  </w:footnote>
  <w:footnote w:id="746">
    <w:p w14:paraId="54ADE2A2" w14:textId="77777777" w:rsidR="0019789C" w:rsidRPr="0019789C" w:rsidRDefault="0019789C" w:rsidP="001300A7">
      <w:pPr>
        <w:pStyle w:val="fntxt"/>
      </w:pPr>
      <w:r w:rsidRPr="0019789C">
        <w:rPr>
          <w:rStyle w:val="FootnoteReference"/>
        </w:rPr>
        <w:footnoteRef/>
      </w:r>
      <w:r w:rsidRPr="0019789C">
        <w:t xml:space="preserve"> ibid [6]-[7].</w:t>
      </w:r>
    </w:p>
  </w:footnote>
  <w:footnote w:id="747">
    <w:p w14:paraId="2DDC36F2" w14:textId="77777777" w:rsidR="0019789C" w:rsidRPr="0019789C" w:rsidRDefault="0019789C" w:rsidP="001300A7">
      <w:pPr>
        <w:pStyle w:val="fntxt"/>
      </w:pPr>
      <w:r w:rsidRPr="0019789C">
        <w:rPr>
          <w:rStyle w:val="FootnoteReference"/>
        </w:rPr>
        <w:footnoteRef/>
      </w:r>
      <w:r w:rsidRPr="0019789C">
        <w:t xml:space="preserve"> ibid [9]-[13].</w:t>
      </w:r>
    </w:p>
  </w:footnote>
  <w:footnote w:id="748">
    <w:p w14:paraId="7434B070" w14:textId="77777777" w:rsidR="0019789C" w:rsidRPr="0019789C" w:rsidRDefault="0019789C" w:rsidP="001300A7">
      <w:pPr>
        <w:pStyle w:val="fntxt"/>
      </w:pPr>
      <w:r w:rsidRPr="0019789C">
        <w:rPr>
          <w:rStyle w:val="FootnoteReference"/>
        </w:rPr>
        <w:footnoteRef/>
      </w:r>
      <w:r w:rsidRPr="0019789C">
        <w:t xml:space="preserve"> ibid [14]-[16].</w:t>
      </w:r>
    </w:p>
  </w:footnote>
  <w:footnote w:id="749">
    <w:p w14:paraId="2461A051" w14:textId="77777777" w:rsidR="0019789C" w:rsidRPr="0019789C" w:rsidRDefault="0019789C" w:rsidP="001300A7">
      <w:pPr>
        <w:pStyle w:val="fntxt"/>
      </w:pPr>
      <w:r w:rsidRPr="0019789C">
        <w:rPr>
          <w:rStyle w:val="FootnoteReference"/>
        </w:rPr>
        <w:footnoteRef/>
      </w:r>
      <w:r w:rsidRPr="0019789C">
        <w:t xml:space="preserve"> ibid [17].</w:t>
      </w:r>
    </w:p>
  </w:footnote>
  <w:footnote w:id="750">
    <w:p w14:paraId="504FFEFE" w14:textId="629DE90A" w:rsidR="0019789C" w:rsidRPr="0019789C" w:rsidRDefault="0019789C" w:rsidP="001300A7">
      <w:pPr>
        <w:pStyle w:val="fntxt"/>
      </w:pPr>
      <w:r w:rsidRPr="0019789C">
        <w:rPr>
          <w:rStyle w:val="FootnoteReference"/>
        </w:rPr>
        <w:footnoteRef/>
      </w:r>
      <w:r w:rsidRPr="0019789C">
        <w:t xml:space="preserve"> ibid [28]-[30] and [34].</w:t>
      </w:r>
    </w:p>
  </w:footnote>
  <w:footnote w:id="751">
    <w:p w14:paraId="27F63FA0" w14:textId="77777777" w:rsidR="0019789C" w:rsidRPr="0019789C" w:rsidRDefault="0019789C" w:rsidP="001300A7">
      <w:pPr>
        <w:pStyle w:val="fntxt"/>
      </w:pPr>
      <w:r w:rsidRPr="0019789C">
        <w:rPr>
          <w:rStyle w:val="FootnoteReference"/>
        </w:rPr>
        <w:footnoteRef/>
      </w:r>
      <w:r w:rsidRPr="0019789C">
        <w:t xml:space="preserve"> See above C2.2.</w:t>
      </w:r>
    </w:p>
  </w:footnote>
  <w:footnote w:id="752">
    <w:p w14:paraId="2CF39F70" w14:textId="77777777" w:rsidR="0019789C" w:rsidRPr="0019789C" w:rsidRDefault="0019789C" w:rsidP="001300A7">
      <w:pPr>
        <w:pStyle w:val="fntxt"/>
      </w:pPr>
      <w:r w:rsidRPr="0019789C">
        <w:rPr>
          <w:rStyle w:val="FootnoteReference"/>
        </w:rPr>
        <w:footnoteRef/>
      </w:r>
      <w:r w:rsidRPr="0019789C">
        <w:t xml:space="preserve"> ibid [27]-[28]</w:t>
      </w:r>
    </w:p>
  </w:footnote>
  <w:footnote w:id="753">
    <w:p w14:paraId="19385C03" w14:textId="77777777" w:rsidR="0019789C" w:rsidRPr="0019789C" w:rsidRDefault="0019789C" w:rsidP="001300A7">
      <w:pPr>
        <w:pStyle w:val="fntxt"/>
      </w:pPr>
      <w:r w:rsidRPr="0019789C">
        <w:rPr>
          <w:rStyle w:val="FootnoteReference"/>
        </w:rPr>
        <w:footnoteRef/>
      </w:r>
      <w:r w:rsidRPr="0019789C">
        <w:t xml:space="preserve"> ibid [28].</w:t>
      </w:r>
    </w:p>
  </w:footnote>
  <w:footnote w:id="754">
    <w:p w14:paraId="222EAE24" w14:textId="77777777" w:rsidR="0019789C" w:rsidRPr="0019789C" w:rsidRDefault="0019789C" w:rsidP="001300A7">
      <w:pPr>
        <w:pStyle w:val="fntxt"/>
      </w:pPr>
      <w:r w:rsidRPr="0019789C">
        <w:rPr>
          <w:rStyle w:val="FootnoteReference"/>
        </w:rPr>
        <w:footnoteRef/>
      </w:r>
      <w:r w:rsidRPr="0019789C">
        <w:t xml:space="preserve"> [1997] SCLR 682.</w:t>
      </w:r>
    </w:p>
  </w:footnote>
  <w:footnote w:id="755">
    <w:p w14:paraId="73DB66C1" w14:textId="77777777" w:rsidR="0019789C" w:rsidRPr="0019789C" w:rsidRDefault="0019789C" w:rsidP="001300A7">
      <w:pPr>
        <w:pStyle w:val="fntxt"/>
      </w:pPr>
      <w:r w:rsidRPr="0019789C">
        <w:rPr>
          <w:rStyle w:val="FootnoteReference"/>
        </w:rPr>
        <w:footnoteRef/>
      </w:r>
      <w:r w:rsidRPr="0019789C">
        <w:t xml:space="preserve"> ibid 684-85.</w:t>
      </w:r>
    </w:p>
  </w:footnote>
  <w:footnote w:id="756">
    <w:p w14:paraId="4301E57C" w14:textId="77777777" w:rsidR="0019789C" w:rsidRPr="0019789C" w:rsidRDefault="0019789C" w:rsidP="001300A7">
      <w:pPr>
        <w:pStyle w:val="fntxt"/>
      </w:pPr>
      <w:r w:rsidRPr="0019789C">
        <w:rPr>
          <w:rStyle w:val="FootnoteReference"/>
        </w:rPr>
        <w:footnoteRef/>
      </w:r>
      <w:r w:rsidRPr="0019789C">
        <w:t xml:space="preserve"> ibid 699.</w:t>
      </w:r>
    </w:p>
  </w:footnote>
  <w:footnote w:id="757">
    <w:p w14:paraId="3ACDAB20" w14:textId="77777777" w:rsidR="0019789C" w:rsidRPr="0019789C" w:rsidRDefault="0019789C" w:rsidP="001300A7">
      <w:pPr>
        <w:pStyle w:val="fntxt"/>
      </w:pPr>
      <w:r w:rsidRPr="0019789C">
        <w:rPr>
          <w:rStyle w:val="FootnoteReference"/>
        </w:rPr>
        <w:footnoteRef/>
      </w:r>
      <w:r w:rsidRPr="0019789C">
        <w:t xml:space="preserve"> ibid 699.</w:t>
      </w:r>
    </w:p>
  </w:footnote>
  <w:footnote w:id="758">
    <w:p w14:paraId="7F2AC5BC" w14:textId="77777777" w:rsidR="0019789C" w:rsidRPr="0019789C" w:rsidRDefault="0019789C" w:rsidP="001300A7">
      <w:pPr>
        <w:pStyle w:val="fntxt"/>
      </w:pPr>
      <w:r w:rsidRPr="0019789C">
        <w:rPr>
          <w:rStyle w:val="FootnoteReference"/>
        </w:rPr>
        <w:footnoteRef/>
      </w:r>
      <w:r w:rsidRPr="0019789C">
        <w:t xml:space="preserve"> ibid 700.</w:t>
      </w:r>
    </w:p>
  </w:footnote>
  <w:footnote w:id="759">
    <w:p w14:paraId="27BD1B65" w14:textId="77777777" w:rsidR="0019789C" w:rsidRPr="0019789C" w:rsidRDefault="0019789C" w:rsidP="001300A7">
      <w:pPr>
        <w:pStyle w:val="fntxt"/>
      </w:pPr>
      <w:r w:rsidRPr="0019789C">
        <w:rPr>
          <w:rStyle w:val="FootnoteReference"/>
          <w:rFonts w:cs="Arial"/>
        </w:rPr>
        <w:footnoteRef/>
      </w:r>
      <w:r w:rsidRPr="0019789C">
        <w:t xml:space="preserve"> [2006] EWCA Civ 852.</w:t>
      </w:r>
    </w:p>
  </w:footnote>
  <w:footnote w:id="760">
    <w:p w14:paraId="1CD0A70B" w14:textId="77777777" w:rsidR="0019789C" w:rsidRPr="0019789C" w:rsidRDefault="0019789C" w:rsidP="001300A7">
      <w:pPr>
        <w:pStyle w:val="fntxt"/>
      </w:pPr>
      <w:r w:rsidRPr="0019789C">
        <w:rPr>
          <w:rStyle w:val="FootnoteReference"/>
          <w:rFonts w:cs="Arial"/>
        </w:rPr>
        <w:footnoteRef/>
      </w:r>
      <w:r w:rsidRPr="0019789C">
        <w:t xml:space="preserve"> ibid [9]-[13].</w:t>
      </w:r>
    </w:p>
  </w:footnote>
  <w:footnote w:id="761">
    <w:p w14:paraId="0BA51110" w14:textId="77777777" w:rsidR="0019789C" w:rsidRPr="0019789C" w:rsidRDefault="0019789C" w:rsidP="001300A7">
      <w:pPr>
        <w:pStyle w:val="fntxt"/>
      </w:pPr>
      <w:r w:rsidRPr="0019789C">
        <w:rPr>
          <w:rStyle w:val="FootnoteReference"/>
          <w:rFonts w:cs="Arial"/>
        </w:rPr>
        <w:footnoteRef/>
      </w:r>
      <w:r w:rsidRPr="0019789C">
        <w:t xml:space="preserve"> [1998] 1 WLUK 501.</w:t>
      </w:r>
    </w:p>
  </w:footnote>
  <w:footnote w:id="762">
    <w:p w14:paraId="568C51E7"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R v Norfolk CC Ex p Thorpe</w:t>
      </w:r>
      <w:r w:rsidRPr="0019789C">
        <w:t xml:space="preserve"> case comment (1998) Journal of Planning &amp; Environment Law B88-89.</w:t>
      </w:r>
    </w:p>
  </w:footnote>
  <w:footnote w:id="763">
    <w:p w14:paraId="602EE282" w14:textId="77777777" w:rsidR="0019789C" w:rsidRPr="0019789C" w:rsidRDefault="0019789C" w:rsidP="001300A7">
      <w:pPr>
        <w:pStyle w:val="fntxt"/>
      </w:pPr>
      <w:r w:rsidRPr="0019789C">
        <w:rPr>
          <w:rStyle w:val="FootnoteReference"/>
        </w:rPr>
        <w:footnoteRef/>
      </w:r>
      <w:r w:rsidRPr="0019789C">
        <w:t xml:space="preserve"> ibid 952-93.</w:t>
      </w:r>
    </w:p>
  </w:footnote>
  <w:footnote w:id="764">
    <w:p w14:paraId="7BEAB185" w14:textId="77777777" w:rsidR="0019789C" w:rsidRPr="0019789C" w:rsidRDefault="0019789C" w:rsidP="001300A7">
      <w:pPr>
        <w:pStyle w:val="fntxt"/>
      </w:pPr>
      <w:r w:rsidRPr="0019789C">
        <w:rPr>
          <w:rStyle w:val="FootnoteReference"/>
          <w:rFonts w:cs="Arial"/>
        </w:rPr>
        <w:footnoteRef/>
      </w:r>
      <w:r w:rsidRPr="0019789C">
        <w:t xml:space="preserve"> [1943] AC 92.</w:t>
      </w:r>
    </w:p>
  </w:footnote>
  <w:footnote w:id="765">
    <w:p w14:paraId="75A93D3D" w14:textId="76EF299A" w:rsidR="0019789C" w:rsidRPr="0019789C" w:rsidRDefault="0019789C" w:rsidP="001300A7">
      <w:pPr>
        <w:pStyle w:val="fntxt"/>
      </w:pPr>
      <w:r w:rsidRPr="0019789C">
        <w:rPr>
          <w:rStyle w:val="FootnoteReference"/>
          <w:rFonts w:cs="Arial"/>
        </w:rPr>
        <w:footnoteRef/>
      </w:r>
      <w:r w:rsidRPr="0019789C">
        <w:t xml:space="preserve"> ibid 104; see also </w:t>
      </w:r>
      <w:r w:rsidRPr="0019789C">
        <w:rPr>
          <w:rStyle w:val="fncaseChar"/>
          <w:rFonts w:cs="Arial"/>
        </w:rPr>
        <w:t>Nance</w:t>
      </w:r>
      <w:r w:rsidRPr="0019789C">
        <w:rPr>
          <w:rStyle w:val="fncaseChar"/>
          <w:rFonts w:cs="Arial"/>
          <w:i w:val="0"/>
          <w:iCs/>
        </w:rPr>
        <w:t xml:space="preserve"> (n </w:t>
      </w:r>
      <w:r w:rsidRPr="0019789C">
        <w:rPr>
          <w:rStyle w:val="fncaseChar"/>
          <w:rFonts w:cs="Arial"/>
          <w:i w:val="0"/>
          <w:iCs/>
        </w:rPr>
        <w:fldChar w:fldCharType="begin"/>
      </w:r>
      <w:r w:rsidRPr="0019789C">
        <w:rPr>
          <w:rStyle w:val="fncaseChar"/>
          <w:rFonts w:cs="Arial"/>
          <w:i w:val="0"/>
          <w:iCs/>
        </w:rPr>
        <w:instrText xml:space="preserve"> NOTEREF _Ref94099804 \h </w:instrText>
      </w:r>
      <w:r>
        <w:rPr>
          <w:rStyle w:val="fncaseChar"/>
          <w:rFonts w:cs="Arial"/>
          <w:i w:val="0"/>
          <w:iCs/>
        </w:rPr>
        <w:instrText xml:space="preserve"> \* MERGEFORMAT </w:instrText>
      </w:r>
      <w:r w:rsidRPr="0019789C">
        <w:rPr>
          <w:rStyle w:val="fncaseChar"/>
          <w:rFonts w:cs="Arial"/>
          <w:i w:val="0"/>
          <w:iCs/>
        </w:rPr>
      </w:r>
      <w:r w:rsidRPr="0019789C">
        <w:rPr>
          <w:rStyle w:val="fncaseChar"/>
          <w:rFonts w:cs="Arial"/>
          <w:i w:val="0"/>
          <w:iCs/>
        </w:rPr>
        <w:fldChar w:fldCharType="separate"/>
      </w:r>
      <w:r w:rsidR="00AD46EC">
        <w:rPr>
          <w:rStyle w:val="fncaseChar"/>
          <w:rFonts w:cs="Arial"/>
          <w:i w:val="0"/>
          <w:iCs/>
        </w:rPr>
        <w:t>559</w:t>
      </w:r>
      <w:r w:rsidRPr="0019789C">
        <w:rPr>
          <w:rStyle w:val="fncaseChar"/>
          <w:rFonts w:cs="Arial"/>
          <w:i w:val="0"/>
          <w:iCs/>
        </w:rPr>
        <w:fldChar w:fldCharType="end"/>
      </w:r>
      <w:r w:rsidRPr="0019789C">
        <w:rPr>
          <w:rStyle w:val="fncaseChar"/>
          <w:rFonts w:cs="Arial"/>
          <w:i w:val="0"/>
          <w:iCs/>
        </w:rPr>
        <w:t>)</w:t>
      </w:r>
      <w:r w:rsidRPr="0019789C">
        <w:t>.</w:t>
      </w:r>
    </w:p>
  </w:footnote>
  <w:footnote w:id="766">
    <w:p w14:paraId="789F4C29" w14:textId="77777777" w:rsidR="0019789C" w:rsidRPr="0019789C" w:rsidRDefault="0019789C" w:rsidP="001300A7">
      <w:pPr>
        <w:pStyle w:val="fntxt"/>
      </w:pPr>
      <w:r w:rsidRPr="0019789C">
        <w:rPr>
          <w:rStyle w:val="FootnoteReference"/>
          <w:rFonts w:cs="Arial"/>
        </w:rPr>
        <w:footnoteRef/>
      </w:r>
      <w:r w:rsidRPr="0019789C">
        <w:t xml:space="preserve"> [1949] 2 KB 291.</w:t>
      </w:r>
    </w:p>
  </w:footnote>
  <w:footnote w:id="767">
    <w:p w14:paraId="1239BC9B" w14:textId="77777777" w:rsidR="0019789C" w:rsidRPr="0019789C" w:rsidRDefault="0019789C" w:rsidP="001300A7">
      <w:pPr>
        <w:pStyle w:val="fntxt"/>
      </w:pPr>
      <w:r w:rsidRPr="0019789C">
        <w:rPr>
          <w:rStyle w:val="FootnoteReference"/>
          <w:rFonts w:cs="Arial"/>
        </w:rPr>
        <w:footnoteRef/>
      </w:r>
      <w:r w:rsidRPr="0019789C">
        <w:t xml:space="preserve"> [2005] EWCA Civ 1452.</w:t>
      </w:r>
    </w:p>
  </w:footnote>
  <w:footnote w:id="768">
    <w:p w14:paraId="4C053597" w14:textId="77777777" w:rsidR="0019789C" w:rsidRPr="0019789C" w:rsidRDefault="0019789C" w:rsidP="001300A7">
      <w:pPr>
        <w:pStyle w:val="fntxt"/>
      </w:pPr>
      <w:r w:rsidRPr="0019789C">
        <w:rPr>
          <w:rStyle w:val="FootnoteReference"/>
          <w:rFonts w:cs="Arial"/>
        </w:rPr>
        <w:footnoteRef/>
      </w:r>
      <w:r w:rsidRPr="0019789C">
        <w:t xml:space="preserve"> ibid [4]-[11].</w:t>
      </w:r>
    </w:p>
  </w:footnote>
  <w:footnote w:id="769">
    <w:p w14:paraId="7EE5ACEE" w14:textId="77777777" w:rsidR="0019789C" w:rsidRPr="0019789C" w:rsidRDefault="0019789C" w:rsidP="001300A7">
      <w:pPr>
        <w:pStyle w:val="fntxt"/>
      </w:pPr>
      <w:r w:rsidRPr="0019789C">
        <w:rPr>
          <w:rStyle w:val="FootnoteReference"/>
          <w:rFonts w:cs="Arial"/>
        </w:rPr>
        <w:footnoteRef/>
      </w:r>
      <w:r w:rsidRPr="0019789C">
        <w:t xml:space="preserve"> ibid [12]-[13].</w:t>
      </w:r>
    </w:p>
  </w:footnote>
  <w:footnote w:id="770">
    <w:p w14:paraId="4C2826D0" w14:textId="77777777" w:rsidR="0019789C" w:rsidRPr="0019789C" w:rsidRDefault="0019789C" w:rsidP="001300A7">
      <w:pPr>
        <w:pStyle w:val="fntxt"/>
      </w:pPr>
      <w:r w:rsidRPr="0019789C">
        <w:rPr>
          <w:rStyle w:val="FootnoteReference"/>
          <w:rFonts w:cs="Arial"/>
        </w:rPr>
        <w:footnoteRef/>
      </w:r>
      <w:r w:rsidRPr="0019789C">
        <w:t xml:space="preserve"> ibid [14].</w:t>
      </w:r>
    </w:p>
  </w:footnote>
  <w:footnote w:id="771">
    <w:p w14:paraId="3B65D93F" w14:textId="77777777" w:rsidR="0019789C" w:rsidRPr="0019789C" w:rsidRDefault="0019789C" w:rsidP="001300A7">
      <w:pPr>
        <w:pStyle w:val="fntxt"/>
      </w:pPr>
      <w:r w:rsidRPr="0019789C">
        <w:rPr>
          <w:rStyle w:val="FootnoteReference"/>
          <w:rFonts w:cs="Arial"/>
        </w:rPr>
        <w:footnoteRef/>
      </w:r>
      <w:r w:rsidRPr="0019789C">
        <w:t xml:space="preserve"> ibid [17].</w:t>
      </w:r>
    </w:p>
  </w:footnote>
  <w:footnote w:id="772">
    <w:p w14:paraId="4D4C1E00" w14:textId="77777777" w:rsidR="0019789C" w:rsidRPr="0019789C" w:rsidRDefault="0019789C" w:rsidP="001300A7">
      <w:pPr>
        <w:pStyle w:val="fntxt"/>
      </w:pPr>
      <w:r w:rsidRPr="0019789C">
        <w:rPr>
          <w:rStyle w:val="FootnoteReference"/>
          <w:rFonts w:cs="Arial"/>
        </w:rPr>
        <w:footnoteRef/>
      </w:r>
      <w:r w:rsidRPr="0019789C">
        <w:t xml:space="preserve"> ibid [23].</w:t>
      </w:r>
    </w:p>
  </w:footnote>
  <w:footnote w:id="773">
    <w:p w14:paraId="7C27D737" w14:textId="77777777" w:rsidR="0019789C" w:rsidRPr="0019789C" w:rsidRDefault="0019789C" w:rsidP="001300A7">
      <w:pPr>
        <w:pStyle w:val="fntxt"/>
      </w:pPr>
      <w:r w:rsidRPr="0019789C">
        <w:rPr>
          <w:rStyle w:val="FootnoteReference"/>
          <w:rFonts w:cs="Arial"/>
        </w:rPr>
        <w:footnoteRef/>
      </w:r>
      <w:r w:rsidRPr="0019789C">
        <w:t xml:space="preserve"> ibid [24].</w:t>
      </w:r>
    </w:p>
  </w:footnote>
  <w:footnote w:id="774">
    <w:p w14:paraId="1F78446E" w14:textId="77777777" w:rsidR="0019789C" w:rsidRPr="0019789C" w:rsidRDefault="0019789C" w:rsidP="001300A7">
      <w:pPr>
        <w:pStyle w:val="fntxt"/>
      </w:pPr>
      <w:r w:rsidRPr="0019789C">
        <w:rPr>
          <w:rStyle w:val="FootnoteReference"/>
          <w:rFonts w:cs="Arial"/>
        </w:rPr>
        <w:footnoteRef/>
      </w:r>
      <w:r w:rsidRPr="0019789C">
        <w:t xml:space="preserve"> [1939] 2 All ER 142.</w:t>
      </w:r>
    </w:p>
  </w:footnote>
  <w:footnote w:id="775">
    <w:p w14:paraId="63E5F5B8" w14:textId="77777777" w:rsidR="0019789C" w:rsidRPr="0019789C" w:rsidRDefault="0019789C" w:rsidP="001300A7">
      <w:pPr>
        <w:pStyle w:val="fntxt"/>
      </w:pPr>
      <w:r w:rsidRPr="0019789C">
        <w:rPr>
          <w:rStyle w:val="FootnoteReference"/>
          <w:rFonts w:cs="Arial"/>
        </w:rPr>
        <w:footnoteRef/>
      </w:r>
      <w:r w:rsidRPr="0019789C">
        <w:t xml:space="preserve"> ibid 142-43.</w:t>
      </w:r>
    </w:p>
  </w:footnote>
  <w:footnote w:id="776">
    <w:p w14:paraId="081071CF" w14:textId="77777777" w:rsidR="0019789C" w:rsidRPr="0019789C" w:rsidRDefault="0019789C" w:rsidP="001300A7">
      <w:pPr>
        <w:pStyle w:val="fntxt"/>
      </w:pPr>
      <w:r w:rsidRPr="0019789C">
        <w:rPr>
          <w:rStyle w:val="FootnoteReference"/>
          <w:rFonts w:cs="Arial"/>
        </w:rPr>
        <w:footnoteRef/>
      </w:r>
      <w:r w:rsidRPr="0019789C">
        <w:t xml:space="preserve"> ibid 143-44.</w:t>
      </w:r>
    </w:p>
  </w:footnote>
  <w:footnote w:id="777">
    <w:p w14:paraId="12F2938C" w14:textId="65C09C39" w:rsidR="0019789C" w:rsidRPr="0019789C" w:rsidRDefault="0019789C" w:rsidP="001300A7">
      <w:pPr>
        <w:pStyle w:val="fntxt"/>
        <w:rPr>
          <w:rStyle w:val="fntxtChar"/>
          <w:lang w:val="en-US"/>
        </w:rPr>
      </w:pPr>
      <w:r w:rsidRPr="0019789C">
        <w:rPr>
          <w:rStyle w:val="FootnoteReference"/>
        </w:rPr>
        <w:footnoteRef/>
      </w:r>
      <w:r w:rsidRPr="0019789C">
        <w:t xml:space="preserve"> [</w:t>
      </w:r>
      <w:r w:rsidRPr="0019789C">
        <w:rPr>
          <w:rStyle w:val="fntxtChar"/>
        </w:rPr>
        <w:t>2012] EWHC 2324 (QB).</w:t>
      </w:r>
    </w:p>
  </w:footnote>
  <w:footnote w:id="778">
    <w:p w14:paraId="1CA55152" w14:textId="3C5B3E46" w:rsidR="0019789C" w:rsidRPr="0019789C" w:rsidRDefault="0019789C" w:rsidP="001300A7">
      <w:pPr>
        <w:pStyle w:val="fntxt"/>
        <w:rPr>
          <w:lang w:val="en-US"/>
        </w:rPr>
      </w:pPr>
      <w:r w:rsidRPr="0019789C">
        <w:rPr>
          <w:rStyle w:val="FootnoteReference"/>
        </w:rPr>
        <w:footnoteRef/>
      </w:r>
      <w:r w:rsidRPr="0019789C">
        <w:t xml:space="preserve"> ibid [45].</w:t>
      </w:r>
    </w:p>
  </w:footnote>
  <w:footnote w:id="779">
    <w:p w14:paraId="6E571D5C" w14:textId="6AAAD5A0"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[27].</w:t>
      </w:r>
    </w:p>
  </w:footnote>
  <w:footnote w:id="780">
    <w:p w14:paraId="4B0FAFF8" w14:textId="7000D2FB" w:rsidR="0019789C" w:rsidRPr="0019789C" w:rsidRDefault="0019789C" w:rsidP="001300A7">
      <w:pPr>
        <w:pStyle w:val="fntxt"/>
        <w:rPr>
          <w:rStyle w:val="fntxtChar"/>
          <w:lang w:val="en-US"/>
        </w:rPr>
      </w:pPr>
      <w:r w:rsidRPr="0019789C">
        <w:rPr>
          <w:rStyle w:val="FootnoteReference"/>
        </w:rPr>
        <w:footnoteRef/>
      </w:r>
      <w:r w:rsidRPr="0019789C">
        <w:t xml:space="preserve"> ibid [36]-[39]; </w:t>
      </w:r>
      <w:r w:rsidRPr="0019789C">
        <w:rPr>
          <w:rStyle w:val="fntxtChar"/>
        </w:rPr>
        <w:t>see also </w:t>
      </w:r>
      <w:r w:rsidRPr="0019789C">
        <w:rPr>
          <w:rStyle w:val="fncaseChar"/>
        </w:rPr>
        <w:t>Ellis v Kelly</w:t>
      </w:r>
      <w:r w:rsidRPr="0019789C">
        <w:rPr>
          <w:rStyle w:val="fntxtChar"/>
        </w:rPr>
        <w:t xml:space="preserve"> [2018] EWHC 2031 (QB), where an eight-year-old boy was not negligent for running across a road close to a pedestrian crossing and into the path of a speeding car.</w:t>
      </w:r>
    </w:p>
  </w:footnote>
  <w:footnote w:id="781">
    <w:p w14:paraId="79EABD21" w14:textId="77777777" w:rsidR="0019789C" w:rsidRPr="0019789C" w:rsidRDefault="0019789C" w:rsidP="001300A7">
      <w:pPr>
        <w:pStyle w:val="fntxt"/>
      </w:pPr>
      <w:r w:rsidRPr="0019789C">
        <w:rPr>
          <w:rStyle w:val="FootnoteReference"/>
          <w:rFonts w:cs="Arial"/>
        </w:rPr>
        <w:footnoteRef/>
      </w:r>
      <w:r w:rsidRPr="0019789C">
        <w:t xml:space="preserve"> [2015] EWHC 233 (QB), [2015] RTR 13.</w:t>
      </w:r>
    </w:p>
  </w:footnote>
  <w:footnote w:id="782">
    <w:p w14:paraId="3D669E43" w14:textId="77777777" w:rsidR="0019789C" w:rsidRPr="0019789C" w:rsidRDefault="0019789C" w:rsidP="001300A7">
      <w:pPr>
        <w:pStyle w:val="fntxt"/>
      </w:pPr>
      <w:r w:rsidRPr="0019789C">
        <w:rPr>
          <w:rStyle w:val="FootnoteReference"/>
          <w:rFonts w:cs="Arial"/>
        </w:rPr>
        <w:footnoteRef/>
      </w:r>
      <w:r w:rsidRPr="0019789C">
        <w:t xml:space="preserve"> ibid [1]-[4].</w:t>
      </w:r>
    </w:p>
  </w:footnote>
  <w:footnote w:id="783">
    <w:p w14:paraId="24D2532C" w14:textId="77777777" w:rsidR="0019789C" w:rsidRPr="0019789C" w:rsidRDefault="0019789C" w:rsidP="001300A7">
      <w:pPr>
        <w:pStyle w:val="fntxt"/>
      </w:pPr>
      <w:r w:rsidRPr="0019789C">
        <w:rPr>
          <w:rStyle w:val="FootnoteReference"/>
          <w:rFonts w:cs="Arial"/>
        </w:rPr>
        <w:footnoteRef/>
      </w:r>
      <w:r w:rsidRPr="0019789C">
        <w:t xml:space="preserve"> ibid [4]-[7].</w:t>
      </w:r>
    </w:p>
  </w:footnote>
  <w:footnote w:id="784">
    <w:p w14:paraId="33CD88DD" w14:textId="77777777" w:rsidR="0019789C" w:rsidRPr="0019789C" w:rsidRDefault="0019789C" w:rsidP="001300A7">
      <w:pPr>
        <w:pStyle w:val="fntxt"/>
      </w:pPr>
      <w:r w:rsidRPr="0019789C">
        <w:rPr>
          <w:rStyle w:val="FootnoteReference"/>
          <w:rFonts w:cs="Arial"/>
        </w:rPr>
        <w:footnoteRef/>
      </w:r>
      <w:r w:rsidRPr="0019789C">
        <w:t xml:space="preserve"> ibid [4] and [12].</w:t>
      </w:r>
    </w:p>
  </w:footnote>
  <w:footnote w:id="785">
    <w:p w14:paraId="6F0863DE" w14:textId="77777777" w:rsidR="0019789C" w:rsidRPr="0019789C" w:rsidRDefault="0019789C" w:rsidP="001300A7">
      <w:pPr>
        <w:pStyle w:val="fntxt"/>
      </w:pPr>
      <w:r w:rsidRPr="0019789C">
        <w:rPr>
          <w:rStyle w:val="FootnoteReference"/>
          <w:rFonts w:cs="Arial"/>
        </w:rPr>
        <w:footnoteRef/>
      </w:r>
      <w:r w:rsidRPr="0019789C">
        <w:t xml:space="preserve"> ibid [10]-[12].</w:t>
      </w:r>
    </w:p>
  </w:footnote>
  <w:footnote w:id="786">
    <w:p w14:paraId="2FEC36D5" w14:textId="77777777" w:rsidR="0019789C" w:rsidRPr="0019789C" w:rsidRDefault="0019789C" w:rsidP="001300A7">
      <w:pPr>
        <w:pStyle w:val="fntxt"/>
      </w:pPr>
      <w:r w:rsidRPr="0019789C">
        <w:rPr>
          <w:rStyle w:val="FootnoteReference"/>
          <w:rFonts w:cs="Arial"/>
        </w:rPr>
        <w:footnoteRef/>
      </w:r>
      <w:r w:rsidRPr="0019789C">
        <w:t xml:space="preserve"> ibid [34]-[36].</w:t>
      </w:r>
    </w:p>
  </w:footnote>
  <w:footnote w:id="787">
    <w:p w14:paraId="14005489" w14:textId="77777777" w:rsidR="0019789C" w:rsidRPr="0019789C" w:rsidRDefault="0019789C" w:rsidP="001300A7">
      <w:pPr>
        <w:pStyle w:val="fntxt"/>
      </w:pPr>
      <w:r w:rsidRPr="0019789C">
        <w:rPr>
          <w:rStyle w:val="FootnoteReference"/>
          <w:rFonts w:cs="Arial"/>
        </w:rPr>
        <w:footnoteRef/>
      </w:r>
      <w:r w:rsidRPr="0019789C">
        <w:t xml:space="preserve"> ibid [37]-[39].</w:t>
      </w:r>
    </w:p>
  </w:footnote>
  <w:footnote w:id="788">
    <w:p w14:paraId="6BB7C65C" w14:textId="58F33E00" w:rsidR="0019789C" w:rsidRPr="0019789C" w:rsidRDefault="0019789C" w:rsidP="001300A7">
      <w:pPr>
        <w:pStyle w:val="fntxt"/>
      </w:pPr>
      <w:r w:rsidRPr="0019789C">
        <w:rPr>
          <w:rStyle w:val="FootnoteReference"/>
        </w:rPr>
        <w:footnoteRef/>
      </w:r>
      <w:r w:rsidRPr="0019789C">
        <w:t xml:space="preserve"> </w:t>
      </w:r>
      <w:r w:rsidRPr="0019789C">
        <w:rPr>
          <w:i/>
        </w:rPr>
        <w:t>H West &amp; Son Ltd</w:t>
      </w:r>
      <w:r w:rsidRPr="0019789C">
        <w:t xml:space="preserve"> (n </w:t>
      </w:r>
      <w:r w:rsidRPr="0019789C">
        <w:fldChar w:fldCharType="begin"/>
      </w:r>
      <w:r w:rsidRPr="0019789C">
        <w:instrText xml:space="preserve"> NOTEREF _Ref32913616 \h  \* MERGEFORMAT </w:instrText>
      </w:r>
      <w:r w:rsidRPr="0019789C">
        <w:fldChar w:fldCharType="separate"/>
      </w:r>
      <w:r w:rsidR="00AD46EC">
        <w:t>548</w:t>
      </w:r>
      <w:r w:rsidRPr="0019789C">
        <w:fldChar w:fldCharType="end"/>
      </w:r>
      <w:r w:rsidRPr="0019789C">
        <w:t>).</w:t>
      </w:r>
    </w:p>
  </w:footnote>
  <w:footnote w:id="789">
    <w:p w14:paraId="0309BE92" w14:textId="71ECFB5A"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Grealis v Opuni</w:t>
      </w:r>
      <w:r w:rsidRPr="0019789C">
        <w:t xml:space="preserve"> [2003] EWCA Civ 177 [8]: ‘though it does not necessarily follow that negligence is to be imputed to a driver who breaks the speed limit, there is no doubt that evidence the speed limit was being broken as with breaches of the Highway Code may provide evidence of negligence.’</w:t>
      </w:r>
    </w:p>
  </w:footnote>
  <w:footnote w:id="790">
    <w:p w14:paraId="47CA67F8" w14:textId="469D57CD" w:rsidR="0019789C" w:rsidRPr="0019789C" w:rsidRDefault="0019789C" w:rsidP="001300A7">
      <w:pPr>
        <w:pStyle w:val="fntxt"/>
        <w:rPr>
          <w:lang w:val="en-US" w:eastAsia="en-US"/>
        </w:rPr>
      </w:pPr>
      <w:r w:rsidRPr="0019789C">
        <w:rPr>
          <w:rStyle w:val="FootnoteReference"/>
        </w:rPr>
        <w:footnoteRef/>
      </w:r>
      <w:r w:rsidRPr="0019789C">
        <w:t xml:space="preserve"> </w:t>
      </w:r>
      <w:r w:rsidRPr="0019789C">
        <w:rPr>
          <w:rStyle w:val="fncaseChar"/>
        </w:rPr>
        <w:t>Jackson v Murray</w:t>
      </w:r>
      <w:r w:rsidRPr="0019789C">
        <w:rPr>
          <w:rStyle w:val="fntxtChar"/>
        </w:rPr>
        <w:t xml:space="preserve"> </w:t>
      </w:r>
      <w:r w:rsidRPr="0019789C">
        <w:rPr>
          <w:rStyle w:val="fntxtChar"/>
          <w:lang w:val="en-US" w:eastAsia="en-US"/>
        </w:rPr>
        <w:t>[2015] 2 All ER 80.</w:t>
      </w:r>
    </w:p>
  </w:footnote>
  <w:footnote w:id="791">
    <w:p w14:paraId="6F49A37A" w14:textId="77777777" w:rsidR="0019789C" w:rsidRPr="0019789C" w:rsidRDefault="0019789C" w:rsidP="001300A7">
      <w:pPr>
        <w:pStyle w:val="fntxt"/>
      </w:pPr>
      <w:r w:rsidRPr="0019789C">
        <w:rPr>
          <w:rStyle w:val="FootnoteReference"/>
          <w:rFonts w:cs="Arial"/>
        </w:rPr>
        <w:footnoteRef/>
      </w:r>
      <w:r w:rsidRPr="0019789C">
        <w:t xml:space="preserve"> [2010] EWCA Civ 132; see also, a similar case: </w:t>
      </w:r>
      <w:r w:rsidRPr="0019789C">
        <w:rPr>
          <w:rStyle w:val="fncaseChar"/>
          <w:rFonts w:cs="Arial"/>
        </w:rPr>
        <w:t xml:space="preserve">Ahanonu v South East London and Kent Bus Co Ltd </w:t>
      </w:r>
      <w:r w:rsidRPr="0019789C">
        <w:t>[2008] EWCA Civ 274.</w:t>
      </w:r>
    </w:p>
  </w:footnote>
  <w:footnote w:id="792">
    <w:p w14:paraId="771178A0" w14:textId="77777777" w:rsidR="0019789C" w:rsidRPr="0019789C" w:rsidRDefault="0019789C" w:rsidP="001300A7">
      <w:pPr>
        <w:pStyle w:val="fntxt"/>
      </w:pPr>
      <w:r w:rsidRPr="0019789C">
        <w:rPr>
          <w:rStyle w:val="FootnoteReference"/>
          <w:rFonts w:cs="Arial"/>
        </w:rPr>
        <w:footnoteRef/>
      </w:r>
      <w:r w:rsidRPr="0019789C">
        <w:t xml:space="preserve"> ibid [1]-[2].</w:t>
      </w:r>
    </w:p>
  </w:footnote>
  <w:footnote w:id="793">
    <w:p w14:paraId="744D9552" w14:textId="77777777" w:rsidR="0019789C" w:rsidRPr="0019789C" w:rsidRDefault="0019789C" w:rsidP="001300A7">
      <w:pPr>
        <w:pStyle w:val="fntxt"/>
      </w:pPr>
      <w:r w:rsidRPr="0019789C">
        <w:rPr>
          <w:rStyle w:val="FootnoteReference"/>
          <w:rFonts w:cs="Arial"/>
        </w:rPr>
        <w:footnoteRef/>
      </w:r>
      <w:r w:rsidRPr="0019789C">
        <w:t xml:space="preserve"> ibid [13].</w:t>
      </w:r>
    </w:p>
  </w:footnote>
  <w:footnote w:id="794">
    <w:p w14:paraId="5F666D16" w14:textId="77777777" w:rsidR="0019789C" w:rsidRPr="0019789C" w:rsidRDefault="0019789C" w:rsidP="001300A7">
      <w:pPr>
        <w:pStyle w:val="fntxt"/>
      </w:pPr>
      <w:r w:rsidRPr="0019789C">
        <w:rPr>
          <w:rStyle w:val="FootnoteReference"/>
          <w:rFonts w:cs="Arial"/>
        </w:rPr>
        <w:footnoteRef/>
      </w:r>
      <w:r w:rsidRPr="0019789C">
        <w:t xml:space="preserve"> ibid [17].</w:t>
      </w:r>
    </w:p>
  </w:footnote>
  <w:footnote w:id="795">
    <w:p w14:paraId="7773E065" w14:textId="77777777" w:rsidR="0019789C" w:rsidRPr="0019789C" w:rsidRDefault="0019789C" w:rsidP="001300A7">
      <w:pPr>
        <w:pStyle w:val="fntxt"/>
      </w:pPr>
      <w:r w:rsidRPr="0019789C">
        <w:rPr>
          <w:rStyle w:val="FootnoteReference"/>
          <w:rFonts w:cs="Arial"/>
        </w:rPr>
        <w:footnoteRef/>
      </w:r>
      <w:r w:rsidRPr="0019789C">
        <w:t xml:space="preserve"> [1982] RTR 165.</w:t>
      </w:r>
    </w:p>
  </w:footnote>
  <w:footnote w:id="796">
    <w:p w14:paraId="3374891D" w14:textId="77777777" w:rsidR="0019789C" w:rsidRPr="0019789C" w:rsidRDefault="0019789C" w:rsidP="001300A7">
      <w:pPr>
        <w:pStyle w:val="fntxt"/>
      </w:pPr>
      <w:r w:rsidRPr="0019789C">
        <w:rPr>
          <w:rStyle w:val="FootnoteReference"/>
          <w:rFonts w:cs="Arial"/>
        </w:rPr>
        <w:footnoteRef/>
      </w:r>
      <w:r w:rsidRPr="0019789C">
        <w:t xml:space="preserve"> ibid 166.</w:t>
      </w:r>
    </w:p>
  </w:footnote>
  <w:footnote w:id="797">
    <w:p w14:paraId="18BCF248" w14:textId="77777777" w:rsidR="0019789C" w:rsidRPr="0019789C" w:rsidRDefault="0019789C" w:rsidP="001300A7">
      <w:pPr>
        <w:pStyle w:val="fntxt"/>
      </w:pPr>
      <w:r w:rsidRPr="0019789C">
        <w:rPr>
          <w:rStyle w:val="FootnoteReference"/>
          <w:rFonts w:cs="Arial"/>
        </w:rPr>
        <w:footnoteRef/>
      </w:r>
      <w:r w:rsidRPr="0019789C">
        <w:t xml:space="preserve"> [2014] CSIH 12.</w:t>
      </w:r>
    </w:p>
  </w:footnote>
  <w:footnote w:id="798">
    <w:p w14:paraId="23A77858" w14:textId="77777777" w:rsidR="0019789C" w:rsidRPr="0019789C" w:rsidRDefault="0019789C" w:rsidP="001300A7">
      <w:pPr>
        <w:pStyle w:val="fntxt"/>
      </w:pPr>
      <w:r w:rsidRPr="0019789C">
        <w:rPr>
          <w:rStyle w:val="FootnoteReference"/>
          <w:rFonts w:cs="Arial"/>
        </w:rPr>
        <w:footnoteRef/>
      </w:r>
      <w:r w:rsidRPr="0019789C">
        <w:t xml:space="preserve"> ibid [22].</w:t>
      </w:r>
    </w:p>
  </w:footnote>
  <w:footnote w:id="799">
    <w:p w14:paraId="6AC086AE" w14:textId="77777777" w:rsidR="0019789C" w:rsidRPr="0019789C" w:rsidRDefault="0019789C" w:rsidP="001300A7">
      <w:pPr>
        <w:pStyle w:val="fntxt"/>
      </w:pPr>
      <w:r w:rsidRPr="0019789C">
        <w:rPr>
          <w:rStyle w:val="FootnoteReference"/>
          <w:rFonts w:cs="Arial"/>
        </w:rPr>
        <w:footnoteRef/>
      </w:r>
      <w:r w:rsidRPr="0019789C">
        <w:t xml:space="preserve"> [2015] SLT 338.</w:t>
      </w:r>
    </w:p>
  </w:footnote>
  <w:footnote w:id="800">
    <w:p w14:paraId="76FBC2AF" w14:textId="77777777" w:rsidR="0019789C" w:rsidRPr="0019789C" w:rsidRDefault="0019789C" w:rsidP="001300A7">
      <w:pPr>
        <w:pStyle w:val="fntxt"/>
      </w:pPr>
      <w:r w:rsidRPr="0019789C">
        <w:rPr>
          <w:rStyle w:val="FootnoteReference"/>
        </w:rPr>
        <w:footnoteRef/>
      </w:r>
      <w:r w:rsidRPr="0019789C">
        <w:t xml:space="preserve"> ibid [2].</w:t>
      </w:r>
    </w:p>
  </w:footnote>
  <w:footnote w:id="801">
    <w:p w14:paraId="0BA3D2F9" w14:textId="3EA701F8" w:rsidR="0019789C" w:rsidRPr="0019789C" w:rsidRDefault="0019789C" w:rsidP="001300A7">
      <w:pPr>
        <w:pStyle w:val="fntxt"/>
      </w:pPr>
      <w:r w:rsidRPr="0019789C">
        <w:rPr>
          <w:rStyle w:val="FootnoteReference"/>
          <w:rFonts w:cs="Arial"/>
        </w:rPr>
        <w:footnoteRef/>
      </w:r>
      <w:r w:rsidRPr="0019789C">
        <w:t xml:space="preserve"> ibid [28].’</w:t>
      </w:r>
    </w:p>
  </w:footnote>
  <w:footnote w:id="802">
    <w:p w14:paraId="0C6BE4A1" w14:textId="07171287" w:rsidR="0019789C" w:rsidRPr="0019789C" w:rsidRDefault="0019789C" w:rsidP="001300A7">
      <w:pPr>
        <w:pStyle w:val="fntxt"/>
      </w:pPr>
      <w:r w:rsidRPr="0019789C">
        <w:rPr>
          <w:rStyle w:val="FootnoteReference"/>
        </w:rPr>
        <w:footnoteRef/>
      </w:r>
      <w:r w:rsidRPr="0019789C">
        <w:t xml:space="preserve"> </w:t>
      </w:r>
      <w:r w:rsidRPr="0019789C">
        <w:rPr>
          <w:i/>
          <w:iCs/>
        </w:rPr>
        <w:t xml:space="preserve">Probert </w:t>
      </w:r>
      <w:r w:rsidRPr="0019789C">
        <w:t xml:space="preserve">(n </w:t>
      </w:r>
      <w:r w:rsidRPr="0019789C">
        <w:fldChar w:fldCharType="begin"/>
      </w:r>
      <w:r w:rsidRPr="0019789C">
        <w:instrText xml:space="preserve"> NOTEREF _Ref39588130 \h  \* MERGEFORMAT </w:instrText>
      </w:r>
      <w:r w:rsidRPr="0019789C">
        <w:fldChar w:fldCharType="separate"/>
      </w:r>
      <w:r w:rsidR="00AD46EC">
        <w:t>777</w:t>
      </w:r>
      <w:r w:rsidRPr="0019789C">
        <w:fldChar w:fldCharType="end"/>
      </w:r>
      <w:r w:rsidRPr="0019789C">
        <w:t>) [51].</w:t>
      </w:r>
    </w:p>
  </w:footnote>
  <w:footnote w:id="803">
    <w:p w14:paraId="520DB351" w14:textId="77777777" w:rsidR="0019789C" w:rsidRPr="0019789C" w:rsidRDefault="0019789C" w:rsidP="001300A7">
      <w:pPr>
        <w:pStyle w:val="fntxt"/>
      </w:pPr>
      <w:r w:rsidRPr="0019789C">
        <w:rPr>
          <w:rStyle w:val="FootnoteReference"/>
          <w:rFonts w:cs="Arial"/>
        </w:rPr>
        <w:footnoteRef/>
      </w:r>
      <w:r w:rsidRPr="0019789C">
        <w:t xml:space="preserve"> [2015] EWCA Civ 1213.</w:t>
      </w:r>
    </w:p>
  </w:footnote>
  <w:footnote w:id="804">
    <w:p w14:paraId="72A505FC" w14:textId="77777777" w:rsidR="0019789C" w:rsidRPr="0019789C" w:rsidRDefault="0019789C" w:rsidP="001300A7">
      <w:pPr>
        <w:pStyle w:val="fntxt"/>
      </w:pPr>
      <w:r w:rsidRPr="0019789C">
        <w:rPr>
          <w:rStyle w:val="FootnoteReference"/>
          <w:rFonts w:cs="Arial"/>
        </w:rPr>
        <w:footnoteRef/>
      </w:r>
      <w:r w:rsidRPr="0019789C">
        <w:t xml:space="preserve"> ibid [5].</w:t>
      </w:r>
    </w:p>
  </w:footnote>
  <w:footnote w:id="805">
    <w:p w14:paraId="3FE39367" w14:textId="77777777" w:rsidR="0019789C" w:rsidRPr="0019789C" w:rsidRDefault="0019789C" w:rsidP="001300A7">
      <w:pPr>
        <w:pStyle w:val="fntxt"/>
      </w:pPr>
      <w:r w:rsidRPr="0019789C">
        <w:rPr>
          <w:rStyle w:val="FootnoteReference"/>
          <w:rFonts w:cs="Arial"/>
        </w:rPr>
        <w:footnoteRef/>
      </w:r>
      <w:r w:rsidRPr="0019789C">
        <w:t xml:space="preserve"> ibid [1].</w:t>
      </w:r>
    </w:p>
  </w:footnote>
  <w:footnote w:id="806">
    <w:p w14:paraId="189A9DD4" w14:textId="77777777" w:rsidR="0019789C" w:rsidRPr="0019789C" w:rsidRDefault="0019789C" w:rsidP="001300A7">
      <w:pPr>
        <w:pStyle w:val="fntxt"/>
      </w:pPr>
      <w:r w:rsidRPr="0019789C">
        <w:rPr>
          <w:rStyle w:val="FootnoteReference"/>
          <w:rFonts w:cs="Arial"/>
        </w:rPr>
        <w:footnoteRef/>
      </w:r>
      <w:r w:rsidRPr="0019789C">
        <w:t xml:space="preserve"> ibid [13] (quoting Hale LJ in </w:t>
      </w:r>
      <w:r w:rsidRPr="0019789C">
        <w:rPr>
          <w:rStyle w:val="fncaseChar"/>
          <w:rFonts w:cs="Arial"/>
        </w:rPr>
        <w:t>Eagle v Chambers</w:t>
      </w:r>
      <w:r w:rsidRPr="0019789C">
        <w:t xml:space="preserve"> [2004] RTR 9 [16]).</w:t>
      </w:r>
    </w:p>
  </w:footnote>
  <w:footnote w:id="807">
    <w:p w14:paraId="7EA58576" w14:textId="77777777" w:rsidR="0019789C" w:rsidRPr="0019789C" w:rsidRDefault="0019789C" w:rsidP="001300A7">
      <w:pPr>
        <w:pStyle w:val="fntxt"/>
      </w:pPr>
      <w:r w:rsidRPr="0019789C">
        <w:rPr>
          <w:rStyle w:val="FootnoteReference"/>
          <w:rFonts w:cs="Arial"/>
        </w:rPr>
        <w:footnoteRef/>
      </w:r>
      <w:r w:rsidRPr="0019789C">
        <w:t xml:space="preserve"> ibid [15]-[18].</w:t>
      </w:r>
    </w:p>
  </w:footnote>
  <w:footnote w:id="808">
    <w:p w14:paraId="2EFDE998" w14:textId="77777777" w:rsidR="0019789C" w:rsidRPr="0019789C" w:rsidRDefault="0019789C" w:rsidP="001300A7">
      <w:pPr>
        <w:pStyle w:val="fntxt"/>
      </w:pPr>
      <w:r w:rsidRPr="0019789C">
        <w:rPr>
          <w:rStyle w:val="FootnoteReference"/>
          <w:rFonts w:cs="Arial"/>
        </w:rPr>
        <w:footnoteRef/>
      </w:r>
      <w:r w:rsidRPr="0019789C">
        <w:t xml:space="preserve"> [1946] KB 114, 115.</w:t>
      </w:r>
    </w:p>
  </w:footnote>
  <w:footnote w:id="809">
    <w:p w14:paraId="3C7EBAE2" w14:textId="5D1B056E" w:rsidR="0019789C" w:rsidRPr="0019789C" w:rsidRDefault="0019789C" w:rsidP="001300A7">
      <w:pPr>
        <w:pStyle w:val="fntxt"/>
        <w:rPr>
          <w:rFonts w:eastAsia="Times New Roman"/>
          <w:lang w:eastAsia="en-US"/>
        </w:rPr>
      </w:pPr>
      <w:r w:rsidRPr="0019789C">
        <w:rPr>
          <w:rStyle w:val="FootnoteReference"/>
        </w:rPr>
        <w:footnoteRef/>
      </w:r>
      <w:r w:rsidRPr="0019789C">
        <w:t xml:space="preserve"> Unpublished, </w:t>
      </w:r>
      <w:r w:rsidRPr="0019789C">
        <w:rPr>
          <w:rFonts w:eastAsia="Times New Roman"/>
          <w:shd w:val="clear" w:color="auto" w:fill="FFFFFF"/>
          <w:lang w:val="en-US" w:eastAsia="en-US"/>
        </w:rPr>
        <w:t>2019 Central London County Court, but see A Moloney, ‘</w:t>
      </w:r>
      <w:r w:rsidRPr="0019789C">
        <w:rPr>
          <w:rStyle w:val="fncaseChar"/>
        </w:rPr>
        <w:t>Brushett v Hazeldean</w:t>
      </w:r>
      <w:r w:rsidRPr="0019789C">
        <w:t xml:space="preserve"> – The Facts’ &lt;</w:t>
      </w:r>
      <w:hyperlink r:id="rId107" w:history="1">
        <w:r w:rsidRPr="0019789C">
          <w:rPr>
            <w:rStyle w:val="Hyperlink"/>
            <w:rFonts w:cstheme="minorBidi"/>
          </w:rPr>
          <w:t>https://clinicalnegligencebarrister.wordpress.com/2019/06/24/brushett-v-hazeldean-the-facts/</w:t>
        </w:r>
      </w:hyperlink>
      <w:r w:rsidRPr="0019789C">
        <w:t xml:space="preserve">&gt; accessed 18 May 2020, and </w:t>
      </w:r>
      <w:r w:rsidRPr="0019789C">
        <w:rPr>
          <w:rFonts w:eastAsia="Times New Roman"/>
          <w:shd w:val="clear" w:color="auto" w:fill="FFFFFF"/>
          <w:lang w:val="en-US" w:eastAsia="en-US"/>
        </w:rPr>
        <w:t>‘A Moloney, ‘</w:t>
      </w:r>
      <w:r w:rsidRPr="0019789C">
        <w:rPr>
          <w:rStyle w:val="fncaseChar"/>
        </w:rPr>
        <w:t>Brushett v Hazeldean</w:t>
      </w:r>
      <w:r w:rsidRPr="0019789C">
        <w:t xml:space="preserve"> - Note of Judgment’ &lt;</w:t>
      </w:r>
      <w:hyperlink r:id="rId108" w:history="1">
        <w:r w:rsidRPr="0019789C">
          <w:rPr>
            <w:rStyle w:val="Hyperlink"/>
            <w:rFonts w:cstheme="minorBidi"/>
          </w:rPr>
          <w:t>https://clinicalnegligencebarrister.wordpress.com/2019/06/24/brushett-v-hazeldean-note-of-judgment/</w:t>
        </w:r>
      </w:hyperlink>
      <w:r w:rsidRPr="0019789C">
        <w:t>&gt; accessed 18 May 2020.</w:t>
      </w:r>
    </w:p>
  </w:footnote>
  <w:footnote w:id="810">
    <w:p w14:paraId="149E005B"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w:t>
      </w:r>
    </w:p>
  </w:footnote>
  <w:footnote w:id="811">
    <w:p w14:paraId="439CD4AC" w14:textId="61DDABF6" w:rsidR="0019789C" w:rsidRPr="0019789C" w:rsidRDefault="0019789C" w:rsidP="001300A7">
      <w:pPr>
        <w:pStyle w:val="fntxt"/>
        <w:rPr>
          <w:lang w:val="en-US"/>
        </w:rPr>
      </w:pPr>
      <w:r w:rsidRPr="0019789C">
        <w:rPr>
          <w:rStyle w:val="FootnoteReference"/>
        </w:rPr>
        <w:footnoteRef/>
      </w:r>
      <w:r w:rsidRPr="0019789C">
        <w:t xml:space="preserve"> </w:t>
      </w:r>
      <w:r w:rsidRPr="0019789C">
        <w:rPr>
          <w:rFonts w:eastAsia="Times New Roman"/>
          <w:shd w:val="clear" w:color="auto" w:fill="FFFFFF"/>
          <w:lang w:val="en-US" w:eastAsia="en-US"/>
        </w:rPr>
        <w:t>Moloney, ‘</w:t>
      </w:r>
      <w:r w:rsidRPr="0019789C">
        <w:rPr>
          <w:rStyle w:val="fncaseChar"/>
        </w:rPr>
        <w:t>Brushett v Hazeldean</w:t>
      </w:r>
      <w:r w:rsidRPr="0019789C">
        <w:t xml:space="preserve"> - Note of Judgment’ (n </w:t>
      </w:r>
      <w:r w:rsidRPr="0019789C">
        <w:fldChar w:fldCharType="begin"/>
      </w:r>
      <w:r w:rsidRPr="0019789C">
        <w:instrText xml:space="preserve"> NOTEREF _Ref93672815 \h  \* MERGEFORMAT </w:instrText>
      </w:r>
      <w:r w:rsidRPr="0019789C">
        <w:fldChar w:fldCharType="separate"/>
      </w:r>
      <w:r w:rsidR="00AD46EC">
        <w:t>809</w:t>
      </w:r>
      <w:r w:rsidRPr="0019789C">
        <w:fldChar w:fldCharType="end"/>
      </w:r>
      <w:r w:rsidRPr="0019789C">
        <w:t>) para 27-28.</w:t>
      </w:r>
    </w:p>
  </w:footnote>
  <w:footnote w:id="812">
    <w:p w14:paraId="138993B4" w14:textId="575C8751"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para 31.</w:t>
      </w:r>
    </w:p>
  </w:footnote>
  <w:footnote w:id="813">
    <w:p w14:paraId="34BAFD0E" w14:textId="11A5A48A" w:rsidR="0019789C" w:rsidRPr="0019789C" w:rsidRDefault="0019789C" w:rsidP="00D94BD9">
      <w:pPr>
        <w:pStyle w:val="fntxt"/>
      </w:pPr>
      <w:r w:rsidRPr="0019789C">
        <w:rPr>
          <w:rStyle w:val="FootnoteReference"/>
        </w:rPr>
        <w:footnoteRef/>
      </w:r>
      <w:r w:rsidRPr="0019789C">
        <w:t xml:space="preserve"> M Weaver, ‘Cyclist settles case for £30,000 after hitting pedestrian who was looking at phone’ (</w:t>
      </w:r>
      <w:r w:rsidRPr="0019789C">
        <w:rPr>
          <w:rStyle w:val="fnbookChar"/>
        </w:rPr>
        <w:t>The Guardian</w:t>
      </w:r>
      <w:r w:rsidRPr="0019789C">
        <w:t>, 24 February 2020) &lt;</w:t>
      </w:r>
      <w:hyperlink r:id="rId109" w:history="1">
        <w:r w:rsidRPr="0019789C">
          <w:rPr>
            <w:rStyle w:val="Hyperlink"/>
            <w:rFonts w:cstheme="minorBidi"/>
          </w:rPr>
          <w:t>www.theguardian.com/law/2020/feb/24/cyclist-settles-for-30000-pounds-after-hitting-pedestrian-who-was-looking-at-phone</w:t>
        </w:r>
      </w:hyperlink>
      <w:r w:rsidRPr="0019789C">
        <w:t xml:space="preserve">&gt; </w:t>
      </w:r>
      <w:r w:rsidRPr="0019789C">
        <w:rPr>
          <w:rFonts w:cs="Arial"/>
        </w:rPr>
        <w:t xml:space="preserve">accessed 18 May 2020; </w:t>
      </w:r>
      <w:r w:rsidRPr="0019789C">
        <w:rPr>
          <w:rFonts w:eastAsia="Times New Roman"/>
          <w:bdr w:val="none" w:sz="0" w:space="0" w:color="auto" w:frame="1"/>
          <w:lang w:val="en-US" w:eastAsia="en-US"/>
        </w:rPr>
        <w:t>‘Why was a law-abiding cyclist who was passing through a green light ordered to pay compensation to a pedestrian who was staring at her phone?’ (</w:t>
      </w:r>
      <w:r w:rsidRPr="0019789C">
        <w:rPr>
          <w:rStyle w:val="fnbookChar"/>
        </w:rPr>
        <w:t>The Independent</w:t>
      </w:r>
      <w:r w:rsidRPr="0019789C">
        <w:rPr>
          <w:rFonts w:eastAsia="Times New Roman"/>
          <w:bdr w:val="none" w:sz="0" w:space="0" w:color="auto" w:frame="1"/>
          <w:lang w:val="en-US" w:eastAsia="en-US"/>
        </w:rPr>
        <w:t>, 25 June 2019) &lt;</w:t>
      </w:r>
      <w:hyperlink r:id="rId110" w:history="1">
        <w:r w:rsidRPr="0019789C">
          <w:rPr>
            <w:rStyle w:val="Hyperlink"/>
            <w:rFonts w:cstheme="minorBidi"/>
          </w:rPr>
          <w:t>www.independent.co.uk/news/uk/home-news/london-cyclist-crash-robert-hazeldean-gemma-brushett-london-phone-court-a8972326.html</w:t>
        </w:r>
      </w:hyperlink>
      <w:r w:rsidRPr="0019789C">
        <w:t xml:space="preserve">&gt; </w:t>
      </w:r>
      <w:r w:rsidRPr="0019789C">
        <w:rPr>
          <w:rFonts w:cs="Arial"/>
        </w:rPr>
        <w:t>accessed 18 May 2020.</w:t>
      </w:r>
    </w:p>
  </w:footnote>
  <w:footnote w:id="814">
    <w:p w14:paraId="329CE9AB" w14:textId="7095A10D" w:rsidR="0019789C" w:rsidRPr="0019789C" w:rsidRDefault="0019789C" w:rsidP="00963AEE">
      <w:pPr>
        <w:pStyle w:val="fntxt"/>
        <w:rPr>
          <w:lang w:val="en-US"/>
        </w:rPr>
      </w:pPr>
      <w:r w:rsidRPr="0019789C">
        <w:rPr>
          <w:rStyle w:val="FootnoteReference"/>
        </w:rPr>
        <w:footnoteRef/>
      </w:r>
      <w:r w:rsidRPr="0019789C">
        <w:t xml:space="preserve"> Moloney, </w:t>
      </w:r>
      <w:r w:rsidRPr="0019789C">
        <w:rPr>
          <w:rFonts w:eastAsia="Times New Roman"/>
          <w:shd w:val="clear" w:color="auto" w:fill="FFFFFF"/>
          <w:lang w:val="en-US" w:eastAsia="en-US"/>
        </w:rPr>
        <w:t>‘</w:t>
      </w:r>
      <w:r w:rsidRPr="0019789C">
        <w:rPr>
          <w:rStyle w:val="fncaseChar"/>
        </w:rPr>
        <w:t>Brushett v Hazeldean</w:t>
      </w:r>
      <w:r w:rsidRPr="0019789C">
        <w:t xml:space="preserve"> - Note of Judgment’ (n </w:t>
      </w:r>
      <w:r w:rsidRPr="0019789C">
        <w:fldChar w:fldCharType="begin"/>
      </w:r>
      <w:r w:rsidRPr="0019789C">
        <w:instrText xml:space="preserve"> NOTEREF _Ref93672815 \h  \* MERGEFORMAT </w:instrText>
      </w:r>
      <w:r w:rsidRPr="0019789C">
        <w:fldChar w:fldCharType="separate"/>
      </w:r>
      <w:r w:rsidR="00AD46EC">
        <w:t>809</w:t>
      </w:r>
      <w:r w:rsidRPr="0019789C">
        <w:fldChar w:fldCharType="end"/>
      </w:r>
      <w:r w:rsidRPr="0019789C">
        <w:t>) para 27-28.</w:t>
      </w:r>
    </w:p>
  </w:footnote>
  <w:footnote w:id="815">
    <w:p w14:paraId="09BA6FBA" w14:textId="31991063" w:rsidR="0019789C" w:rsidRPr="0019789C" w:rsidRDefault="0019789C" w:rsidP="00EA6474">
      <w:pPr>
        <w:pStyle w:val="fntxt"/>
        <w:rPr>
          <w:lang w:eastAsia="en-US"/>
        </w:rPr>
      </w:pPr>
      <w:r w:rsidRPr="0019789C">
        <w:rPr>
          <w:rStyle w:val="FootnoteReference"/>
        </w:rPr>
        <w:footnoteRef/>
      </w:r>
      <w:r w:rsidRPr="0019789C">
        <w:t xml:space="preserve"> M Hambleton, ‘</w:t>
      </w:r>
      <w:r w:rsidRPr="0019789C">
        <w:rPr>
          <w:rFonts w:eastAsia="Times New Roman"/>
          <w:lang w:val="en-US" w:eastAsia="en-US"/>
        </w:rPr>
        <w:t>Cycling and the Law: why a cyclist being successfully sued for colliding with a pedestrian is actually good for cyclists’ (25 July 2019) &lt;</w:t>
      </w:r>
      <w:hyperlink r:id="rId111" w:history="1">
        <w:r w:rsidRPr="0019789C">
          <w:rPr>
            <w:rStyle w:val="Hyperlink"/>
            <w:rFonts w:cstheme="minorBidi"/>
          </w:rPr>
          <w:t>https://road.cc/content/blog/264304-cycling-and-law-why-cyclist-being-successfully-sued-colliding-pedestrian</w:t>
        </w:r>
      </w:hyperlink>
      <w:r w:rsidRPr="0019789C">
        <w:t xml:space="preserve">&gt; </w:t>
      </w:r>
      <w:r w:rsidRPr="0019789C">
        <w:rPr>
          <w:rFonts w:cs="Arial"/>
        </w:rPr>
        <w:t>accessed 18 May 2020.</w:t>
      </w:r>
    </w:p>
  </w:footnote>
  <w:footnote w:id="816">
    <w:p w14:paraId="73F18623" w14:textId="58167157" w:rsidR="0019789C" w:rsidRPr="0019789C" w:rsidRDefault="0019789C" w:rsidP="001300A7">
      <w:pPr>
        <w:pStyle w:val="fntxt"/>
        <w:rPr>
          <w:lang w:eastAsia="en-US"/>
        </w:rPr>
      </w:pPr>
      <w:r w:rsidRPr="0019789C">
        <w:rPr>
          <w:rStyle w:val="FootnoteReference"/>
        </w:rPr>
        <w:footnoteRef/>
      </w:r>
      <w:r w:rsidRPr="0019789C">
        <w:t xml:space="preserve"> The Newsroom, </w:t>
      </w:r>
      <w:r w:rsidRPr="0019789C">
        <w:rPr>
          <w:rFonts w:cs="Arial"/>
        </w:rPr>
        <w:t>‘</w:t>
      </w:r>
      <w:r w:rsidRPr="0019789C">
        <w:rPr>
          <w:rStyle w:val="fntxtChar"/>
        </w:rPr>
        <w:t>Woman hit by cyclist on pavement blocked from claiming damages’ (</w:t>
      </w:r>
      <w:r w:rsidRPr="0019789C">
        <w:rPr>
          <w:rStyle w:val="fnbookChar"/>
        </w:rPr>
        <w:t>Edinburgh News</w:t>
      </w:r>
      <w:r w:rsidRPr="0019789C">
        <w:rPr>
          <w:rStyle w:val="fntxtChar"/>
        </w:rPr>
        <w:t xml:space="preserve">, 1 May 2018) </w:t>
      </w:r>
      <w:r w:rsidRPr="0019789C">
        <w:rPr>
          <w:lang w:eastAsia="en-US"/>
        </w:rPr>
        <w:t>&lt;</w:t>
      </w:r>
      <w:hyperlink r:id="rId112" w:history="1">
        <w:r w:rsidRPr="0019789C">
          <w:rPr>
            <w:rStyle w:val="Hyperlink"/>
            <w:rFonts w:cstheme="minorBidi"/>
            <w:lang w:eastAsia="en-US"/>
          </w:rPr>
          <w:t>www.edinburghnews.scotsman.com/news/transport/woman-hit-cyclist-pavement-blocked-claiming-damages-586235</w:t>
        </w:r>
      </w:hyperlink>
      <w:r w:rsidRPr="0019789C">
        <w:rPr>
          <w:lang w:eastAsia="en-US"/>
        </w:rPr>
        <w:t xml:space="preserve">&gt; </w:t>
      </w:r>
      <w:r w:rsidRPr="0019789C">
        <w:rPr>
          <w:rFonts w:cs="Arial"/>
        </w:rPr>
        <w:t>accessed 18 May 2020.</w:t>
      </w:r>
    </w:p>
  </w:footnote>
  <w:footnote w:id="817">
    <w:p w14:paraId="256EF5A5" w14:textId="70070C77" w:rsidR="0019789C" w:rsidRPr="0019789C" w:rsidRDefault="0019789C" w:rsidP="00EA6474">
      <w:pPr>
        <w:pStyle w:val="fntxt"/>
      </w:pPr>
      <w:r w:rsidRPr="0019789C">
        <w:rPr>
          <w:rStyle w:val="FootnoteReference"/>
        </w:rPr>
        <w:footnoteRef/>
      </w:r>
      <w:r w:rsidRPr="0019789C">
        <w:t xml:space="preserve"> See eg </w:t>
      </w:r>
      <w:r w:rsidRPr="0019789C">
        <w:rPr>
          <w:rStyle w:val="fntxtChar"/>
        </w:rPr>
        <w:t>L Cumiskey ‘Partially-sighted woman ‘shaken’ and injured after cyclist collided with her white cane in Highbury’ (</w:t>
      </w:r>
      <w:r w:rsidRPr="0019789C">
        <w:rPr>
          <w:rStyle w:val="fnbookChar"/>
        </w:rPr>
        <w:t>Islington Gazette</w:t>
      </w:r>
      <w:r w:rsidRPr="0019789C">
        <w:rPr>
          <w:rStyle w:val="fntxtChar"/>
        </w:rPr>
        <w:t>, 21 February 2020)</w:t>
      </w:r>
      <w:r w:rsidRPr="0019789C">
        <w:rPr>
          <w:rFonts w:cs="Arial"/>
          <w:color w:val="7E7E7E"/>
        </w:rPr>
        <w:t xml:space="preserve"> </w:t>
      </w:r>
      <w:hyperlink r:id="rId113" w:history="1">
        <w:r w:rsidRPr="0019789C">
          <w:rPr>
            <w:rStyle w:val="Hyperlink"/>
            <w:rFonts w:cs="Arial"/>
          </w:rPr>
          <w:t>&lt;www.islingtongazette.co.uk/news/partially-sighted-woman-shaken-and-injured-after-cyclist-collided-with-her-white-cane-in-highbury-1-6519938</w:t>
        </w:r>
      </w:hyperlink>
      <w:r w:rsidRPr="0019789C">
        <w:rPr>
          <w:rFonts w:cs="Arial"/>
          <w:color w:val="7E7E7E"/>
        </w:rPr>
        <w:t xml:space="preserve">&gt; </w:t>
      </w:r>
      <w:r w:rsidRPr="0019789C">
        <w:rPr>
          <w:rFonts w:cs="Arial"/>
          <w:color w:val="000000" w:themeColor="text1"/>
        </w:rPr>
        <w:t xml:space="preserve">accessed </w:t>
      </w:r>
      <w:r w:rsidRPr="0019789C">
        <w:rPr>
          <w:rFonts w:cs="Arial"/>
        </w:rPr>
        <w:t>18 May 2020</w:t>
      </w:r>
      <w:r w:rsidRPr="0019789C">
        <w:t>.</w:t>
      </w:r>
    </w:p>
  </w:footnote>
  <w:footnote w:id="818">
    <w:p w14:paraId="555220CD" w14:textId="77777777" w:rsidR="0019789C" w:rsidRPr="0019789C" w:rsidRDefault="0019789C" w:rsidP="001300A7">
      <w:pPr>
        <w:pStyle w:val="fntxt"/>
        <w:rPr>
          <w:lang w:val="en-US"/>
        </w:rPr>
      </w:pPr>
      <w:r w:rsidRPr="0019789C">
        <w:rPr>
          <w:rStyle w:val="FootnoteReference"/>
        </w:rPr>
        <w:footnoteRef/>
      </w:r>
      <w:r w:rsidRPr="0019789C">
        <w:t xml:space="preserve"> See above C1.1.</w:t>
      </w:r>
    </w:p>
  </w:footnote>
  <w:footnote w:id="819">
    <w:p w14:paraId="4AC13888" w14:textId="246F826F" w:rsidR="0019789C" w:rsidRPr="0019789C" w:rsidRDefault="0019789C" w:rsidP="001300A7">
      <w:pPr>
        <w:pStyle w:val="fntxt"/>
      </w:pPr>
      <w:r w:rsidRPr="0019789C">
        <w:rPr>
          <w:rStyle w:val="FootnoteReference"/>
          <w:rFonts w:cs="Arial"/>
        </w:rPr>
        <w:footnoteRef/>
      </w:r>
      <w:r w:rsidRPr="0019789C">
        <w:t xml:space="preserve"> </w:t>
      </w:r>
      <w:r w:rsidRPr="0019789C">
        <w:rPr>
          <w:i/>
        </w:rPr>
        <w:t>Haley</w:t>
      </w:r>
      <w:r w:rsidRPr="0019789C">
        <w:t xml:space="preserve"> (n </w:t>
      </w:r>
      <w:r w:rsidRPr="0019789C">
        <w:fldChar w:fldCharType="begin"/>
      </w:r>
      <w:r w:rsidRPr="0019789C">
        <w:instrText xml:space="preserve"> NOTEREF _Ref30770777 \h  \* MERGEFORMAT </w:instrText>
      </w:r>
      <w:r w:rsidRPr="0019789C">
        <w:fldChar w:fldCharType="separate"/>
      </w:r>
      <w:r w:rsidR="00AD46EC">
        <w:t>507</w:t>
      </w:r>
      <w:r w:rsidRPr="0019789C">
        <w:fldChar w:fldCharType="end"/>
      </w:r>
      <w:r w:rsidRPr="0019789C">
        <w:t xml:space="preserve">) 780-81. </w:t>
      </w:r>
    </w:p>
  </w:footnote>
  <w:footnote w:id="820">
    <w:p w14:paraId="719B7ACF" w14:textId="77777777" w:rsidR="0019789C" w:rsidRPr="0019789C" w:rsidRDefault="0019789C" w:rsidP="001300A7">
      <w:pPr>
        <w:pStyle w:val="fntxt"/>
      </w:pPr>
      <w:r w:rsidRPr="0019789C">
        <w:rPr>
          <w:rStyle w:val="FootnoteReference"/>
        </w:rPr>
        <w:footnoteRef/>
      </w:r>
      <w:r w:rsidRPr="0019789C">
        <w:t xml:space="preserve"> See above B2.1.</w:t>
      </w:r>
    </w:p>
  </w:footnote>
  <w:footnote w:id="821">
    <w:p w14:paraId="5955D7BD" w14:textId="40AE6DD5"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 xml:space="preserve">See above B1.1 </w:t>
      </w:r>
      <w:r w:rsidRPr="0019789C">
        <w:rPr>
          <w:lang w:val="en-US"/>
        </w:rPr>
        <w:fldChar w:fldCharType="begin"/>
      </w:r>
      <w:r w:rsidRPr="0019789C">
        <w:rPr>
          <w:lang w:val="en-US"/>
        </w:rPr>
        <w:instrText xml:space="preserve"> REF _Ref27061814 \h  \* MERGEFORMAT </w:instrText>
      </w:r>
      <w:r w:rsidRPr="0019789C">
        <w:rPr>
          <w:lang w:val="en-US"/>
        </w:rPr>
      </w:r>
      <w:r w:rsidRPr="0019789C">
        <w:rPr>
          <w:lang w:val="en-US"/>
        </w:rPr>
        <w:fldChar w:fldCharType="separate"/>
      </w:r>
      <w:r w:rsidR="00AD46EC" w:rsidRPr="002A65B0">
        <w:t>(c) Enforcement</w:t>
      </w:r>
      <w:r w:rsidRPr="0019789C">
        <w:rPr>
          <w:lang w:val="en-US"/>
        </w:rPr>
        <w:fldChar w:fldCharType="end"/>
      </w:r>
      <w:r w:rsidRPr="0019789C">
        <w:rPr>
          <w:lang w:val="en-US"/>
        </w:rPr>
        <w:t>.</w:t>
      </w:r>
    </w:p>
  </w:footnote>
  <w:footnote w:id="822">
    <w:p w14:paraId="4D4257D5" w14:textId="1D78FC4E" w:rsidR="0019789C" w:rsidRPr="0019789C" w:rsidRDefault="0019789C" w:rsidP="001300A7">
      <w:pPr>
        <w:pStyle w:val="fntxt"/>
      </w:pPr>
      <w:r w:rsidRPr="0019789C">
        <w:rPr>
          <w:rStyle w:val="FootnoteReference"/>
          <w:rFonts w:cs="Arial"/>
        </w:rPr>
        <w:footnoteRef/>
      </w:r>
      <w:r w:rsidRPr="0019789C">
        <w:t xml:space="preserve"> Department for Transport,</w:t>
      </w:r>
      <w:r w:rsidRPr="0019789C">
        <w:rPr>
          <w:rStyle w:val="fnbookChar"/>
          <w:rFonts w:cs="Arial"/>
        </w:rPr>
        <w:t xml:space="preserve"> New Roads and Street Works Act 1991 - Code of Practice for the Co-ordination of Street Works and Works for Road Purposes and Related Matters</w:t>
      </w:r>
      <w:r w:rsidRPr="0019789C">
        <w:t xml:space="preserve"> (4th ed, 2012) 7-8.</w:t>
      </w:r>
    </w:p>
  </w:footnote>
  <w:footnote w:id="823">
    <w:p w14:paraId="05306EFC" w14:textId="40D00CAB" w:rsidR="0019789C" w:rsidRPr="0019789C" w:rsidRDefault="0019789C" w:rsidP="001300A7">
      <w:pPr>
        <w:pStyle w:val="fntxt"/>
      </w:pPr>
      <w:r w:rsidRPr="0019789C">
        <w:rPr>
          <w:rStyle w:val="FootnoteReference"/>
          <w:rFonts w:cs="Arial"/>
        </w:rPr>
        <w:footnoteRef/>
      </w:r>
      <w:r w:rsidRPr="0019789C">
        <w:t xml:space="preserve"> New Roads and Street Works Act 1991, s 48(1).</w:t>
      </w:r>
    </w:p>
  </w:footnote>
  <w:footnote w:id="824">
    <w:p w14:paraId="2E1E5C8A" w14:textId="6D893BD3" w:rsidR="0019789C" w:rsidRPr="0019789C" w:rsidRDefault="0019789C" w:rsidP="001300A7">
      <w:pPr>
        <w:pStyle w:val="fntxt"/>
      </w:pPr>
      <w:r w:rsidRPr="0019789C">
        <w:rPr>
          <w:rStyle w:val="FootnoteReference"/>
          <w:rFonts w:cs="Arial"/>
        </w:rPr>
        <w:footnoteRef/>
      </w:r>
      <w:r w:rsidRPr="0019789C">
        <w:t xml:space="preserve"> New Roads and Street Works Act 1991, s 107(1).</w:t>
      </w:r>
    </w:p>
  </w:footnote>
  <w:footnote w:id="825">
    <w:p w14:paraId="5DD0ED4D" w14:textId="039CACE9" w:rsidR="0019789C" w:rsidRPr="0019789C" w:rsidRDefault="0019789C" w:rsidP="001300A7">
      <w:pPr>
        <w:pStyle w:val="fntxt"/>
        <w:rPr>
          <w:lang w:val="en-US"/>
        </w:rPr>
      </w:pPr>
      <w:r w:rsidRPr="0019789C">
        <w:rPr>
          <w:rStyle w:val="FootnoteReference"/>
        </w:rPr>
        <w:footnoteRef/>
      </w:r>
      <w:r w:rsidRPr="0019789C">
        <w:t xml:space="preserve"> New Roads and Street Works Act 1991, ss 59 and 118.</w:t>
      </w:r>
    </w:p>
  </w:footnote>
  <w:footnote w:id="826">
    <w:p w14:paraId="332C94A4" w14:textId="62216550" w:rsidR="0019789C" w:rsidRPr="0019789C" w:rsidRDefault="0019789C" w:rsidP="001300A7">
      <w:pPr>
        <w:pStyle w:val="fntxt"/>
      </w:pPr>
      <w:r w:rsidRPr="0019789C">
        <w:rPr>
          <w:rStyle w:val="FootnoteReference"/>
          <w:rFonts w:cs="Arial"/>
        </w:rPr>
        <w:footnoteRef/>
      </w:r>
      <w:r w:rsidRPr="0019789C">
        <w:t xml:space="preserve"> New Roads and Street Works Act 1991, ss 60 and 119.</w:t>
      </w:r>
    </w:p>
  </w:footnote>
  <w:footnote w:id="827">
    <w:p w14:paraId="504F201C" w14:textId="31A5BBE2" w:rsidR="0019789C" w:rsidRPr="0019789C" w:rsidRDefault="0019789C" w:rsidP="001300A7">
      <w:pPr>
        <w:pStyle w:val="fntxt"/>
      </w:pPr>
      <w:r w:rsidRPr="0019789C">
        <w:rPr>
          <w:rStyle w:val="FootnoteReference"/>
          <w:rFonts w:cs="Arial"/>
        </w:rPr>
        <w:footnoteRef/>
      </w:r>
      <w:r w:rsidRPr="0019789C">
        <w:t xml:space="preserve"> New Roads and Street Works Act 1991, ss 59(1) and 60(1); ss 118(1) and 119(1).</w:t>
      </w:r>
    </w:p>
  </w:footnote>
  <w:footnote w:id="828">
    <w:p w14:paraId="068FA56C" w14:textId="45DE3916" w:rsidR="0019789C" w:rsidRPr="0019789C" w:rsidRDefault="0019789C" w:rsidP="001300A7">
      <w:pPr>
        <w:pStyle w:val="fntxt"/>
      </w:pPr>
      <w:r w:rsidRPr="0019789C">
        <w:rPr>
          <w:rStyle w:val="FootnoteReference"/>
          <w:rFonts w:cs="Arial"/>
        </w:rPr>
        <w:footnoteRef/>
      </w:r>
      <w:r w:rsidRPr="0019789C">
        <w:t xml:space="preserve"> New Roads and Street Works Act 1991, sch 3, para 3.</w:t>
      </w:r>
    </w:p>
  </w:footnote>
  <w:footnote w:id="829">
    <w:p w14:paraId="4FC9CC24" w14:textId="7F939813" w:rsidR="0019789C" w:rsidRPr="0019789C" w:rsidRDefault="0019789C" w:rsidP="001300A7">
      <w:pPr>
        <w:pStyle w:val="fntxt"/>
      </w:pPr>
      <w:r w:rsidRPr="0019789C">
        <w:rPr>
          <w:rStyle w:val="FootnoteReference"/>
          <w:rFonts w:cs="Arial"/>
        </w:rPr>
        <w:footnoteRef/>
      </w:r>
      <w:r w:rsidRPr="0019789C">
        <w:t xml:space="preserve"> New Roads and Street Works Act 1991, s 48(4): ‘In this Part “undertaker” in relation to street works means the person by whom the relevant statutory right is exercisable (in the capacity in which it is exercisable by him) or the licensee under the relevant street works licence, as the case may be.’ New Roads and Street Works Act 1991, s 107(4) is largely identical, but uses the term ‘road’. Department for Transport,</w:t>
      </w:r>
      <w:r w:rsidRPr="0019789C">
        <w:rPr>
          <w:rStyle w:val="fnbookChar"/>
          <w:rFonts w:cs="Arial"/>
        </w:rPr>
        <w:t xml:space="preserve"> New Roads and Street Works Act 1991 - Code of Practice</w:t>
      </w:r>
      <w:r w:rsidRPr="0019789C">
        <w:t xml:space="preserve"> (n </w:t>
      </w:r>
      <w:r w:rsidRPr="0019789C">
        <w:fldChar w:fldCharType="begin"/>
      </w:r>
      <w:r w:rsidRPr="0019789C">
        <w:instrText xml:space="preserve"> NOTEREF _Ref39674675 \h  \* MERGEFORMAT </w:instrText>
      </w:r>
      <w:r w:rsidRPr="0019789C">
        <w:fldChar w:fldCharType="separate"/>
      </w:r>
      <w:r w:rsidR="00AD46EC">
        <w:t>822</w:t>
      </w:r>
      <w:r w:rsidRPr="0019789C">
        <w:fldChar w:fldCharType="end"/>
      </w:r>
      <w:r w:rsidRPr="0019789C">
        <w:t>) 9.</w:t>
      </w:r>
    </w:p>
  </w:footnote>
  <w:footnote w:id="830">
    <w:p w14:paraId="0BA96BDB" w14:textId="0500DBB8" w:rsidR="0019789C" w:rsidRPr="0019789C" w:rsidRDefault="0019789C" w:rsidP="001300A7">
      <w:pPr>
        <w:pStyle w:val="fntxt"/>
        <w:rPr>
          <w:lang w:val="en-US"/>
        </w:rPr>
      </w:pPr>
      <w:r w:rsidRPr="0019789C">
        <w:rPr>
          <w:rStyle w:val="FootnoteReference"/>
          <w:rFonts w:cs="Arial"/>
        </w:rPr>
        <w:footnoteRef/>
      </w:r>
      <w:r w:rsidRPr="0019789C">
        <w:t xml:space="preserve"> New Roads and Street Works Act 1991, s 124(1)-(2), as compared s 65(1)-(2).</w:t>
      </w:r>
    </w:p>
  </w:footnote>
  <w:footnote w:id="831">
    <w:p w14:paraId="7D9B5DD0" w14:textId="67347F90" w:rsidR="0019789C" w:rsidRPr="0019789C" w:rsidRDefault="0019789C" w:rsidP="001300A7">
      <w:pPr>
        <w:pStyle w:val="fntxt"/>
      </w:pPr>
      <w:r w:rsidRPr="0019789C">
        <w:rPr>
          <w:rStyle w:val="FootnoteReference"/>
          <w:rFonts w:cs="Arial"/>
        </w:rPr>
        <w:footnoteRef/>
      </w:r>
      <w:r w:rsidRPr="0019789C">
        <w:t xml:space="preserve"> New Roads and Street Works Act 1991, s 60(3).</w:t>
      </w:r>
    </w:p>
  </w:footnote>
  <w:footnote w:id="832">
    <w:p w14:paraId="4C6AE9AD" w14:textId="55DDB6A3" w:rsidR="0019789C" w:rsidRPr="0019789C" w:rsidRDefault="0019789C" w:rsidP="001300A7">
      <w:pPr>
        <w:pStyle w:val="fntxt"/>
      </w:pPr>
      <w:r w:rsidRPr="0019789C">
        <w:rPr>
          <w:rStyle w:val="FootnoteReference"/>
          <w:rFonts w:cs="Arial"/>
        </w:rPr>
        <w:footnoteRef/>
      </w:r>
      <w:r w:rsidRPr="0019789C">
        <w:t xml:space="preserve"> Department for Transport,</w:t>
      </w:r>
      <w:r w:rsidRPr="0019789C">
        <w:rPr>
          <w:rStyle w:val="fnbookChar"/>
          <w:rFonts w:cs="Arial"/>
        </w:rPr>
        <w:t xml:space="preserve"> New Roads and Street Works Act 1991 1991 - Code of Practice</w:t>
      </w:r>
      <w:r w:rsidRPr="0019789C">
        <w:t xml:space="preserve"> (n </w:t>
      </w:r>
      <w:r w:rsidRPr="0019789C">
        <w:fldChar w:fldCharType="begin"/>
      </w:r>
      <w:r w:rsidRPr="0019789C">
        <w:instrText xml:space="preserve"> NOTEREF _Ref39674675 \h  \* MERGEFORMAT </w:instrText>
      </w:r>
      <w:r w:rsidRPr="0019789C">
        <w:fldChar w:fldCharType="separate"/>
      </w:r>
      <w:r w:rsidR="00AD46EC">
        <w:t>822</w:t>
      </w:r>
      <w:r w:rsidRPr="0019789C">
        <w:fldChar w:fldCharType="end"/>
      </w:r>
      <w:r w:rsidRPr="0019789C">
        <w:t xml:space="preserve">) 12-13; see also Transport Scotland, </w:t>
      </w:r>
      <w:r w:rsidRPr="0019789C">
        <w:rPr>
          <w:rStyle w:val="fnbookChar"/>
        </w:rPr>
        <w:t>New Roads and Street Works Act 1991: Code of Practice for the Co-ordination of Works in Roads</w:t>
      </w:r>
      <w:r w:rsidRPr="0019789C">
        <w:t xml:space="preserve"> (Version 1, April 2013).</w:t>
      </w:r>
    </w:p>
  </w:footnote>
  <w:footnote w:id="833">
    <w:p w14:paraId="3C936817" w14:textId="77777777" w:rsidR="0019789C" w:rsidRPr="0019789C" w:rsidRDefault="0019789C" w:rsidP="001300A7">
      <w:pPr>
        <w:pStyle w:val="fntxt"/>
      </w:pPr>
      <w:r w:rsidRPr="0019789C">
        <w:rPr>
          <w:rStyle w:val="FootnoteReference"/>
          <w:rFonts w:cs="Arial"/>
        </w:rPr>
        <w:footnoteRef/>
      </w:r>
      <w:r w:rsidRPr="0019789C">
        <w:t xml:space="preserve"> Scottish Road Works Commissioner (Imposition of Penalties) Regulations 2007 (SSI 2007/411) ss 3-4.</w:t>
      </w:r>
    </w:p>
  </w:footnote>
  <w:footnote w:id="834">
    <w:p w14:paraId="7E0D16D0" w14:textId="2124F156" w:rsidR="0019789C" w:rsidRPr="0019789C" w:rsidRDefault="0019789C" w:rsidP="001300A7">
      <w:pPr>
        <w:pStyle w:val="fntxt"/>
      </w:pPr>
      <w:r w:rsidRPr="0019789C">
        <w:rPr>
          <w:rStyle w:val="FootnoteReference"/>
          <w:rFonts w:cs="Arial"/>
        </w:rPr>
        <w:footnoteRef/>
      </w:r>
      <w:r w:rsidRPr="0019789C">
        <w:t xml:space="preserve"> New Roads and Street Works Act 1991, s 65(4) and s 124(4).</w:t>
      </w:r>
    </w:p>
  </w:footnote>
  <w:footnote w:id="835">
    <w:p w14:paraId="57312F4F" w14:textId="77777777" w:rsidR="0019789C" w:rsidRPr="0019789C" w:rsidRDefault="0019789C" w:rsidP="001300A7">
      <w:pPr>
        <w:pStyle w:val="fntxt"/>
      </w:pPr>
      <w:r w:rsidRPr="0019789C">
        <w:rPr>
          <w:rStyle w:val="FootnoteReference"/>
          <w:rFonts w:cs="Arial"/>
        </w:rPr>
        <w:footnoteRef/>
      </w:r>
      <w:r w:rsidRPr="0019789C">
        <w:t xml:space="preserve"> Criminal Justice Act 1982, s 37(2).</w:t>
      </w:r>
    </w:p>
  </w:footnote>
  <w:footnote w:id="836">
    <w:p w14:paraId="14F0CC62" w14:textId="5F74642A" w:rsidR="0019789C" w:rsidRPr="0019789C" w:rsidRDefault="0019789C" w:rsidP="001300A7">
      <w:pPr>
        <w:pStyle w:val="fntxt"/>
      </w:pPr>
      <w:r w:rsidRPr="0019789C">
        <w:rPr>
          <w:rStyle w:val="FootnoteReference"/>
          <w:rFonts w:cs="Arial"/>
        </w:rPr>
        <w:footnoteRef/>
      </w:r>
      <w:r w:rsidRPr="0019789C">
        <w:t xml:space="preserve"> New Roads and Street Works Act 1991, s 65(6) and s 124(6).</w:t>
      </w:r>
    </w:p>
  </w:footnote>
  <w:footnote w:id="837">
    <w:p w14:paraId="74DD878B" w14:textId="77777777" w:rsidR="0019789C" w:rsidRPr="0019789C" w:rsidRDefault="0019789C" w:rsidP="001300A7">
      <w:pPr>
        <w:pStyle w:val="fntxt"/>
      </w:pPr>
      <w:r w:rsidRPr="0019789C">
        <w:rPr>
          <w:rStyle w:val="FootnoteReference"/>
          <w:rFonts w:cs="Arial"/>
        </w:rPr>
        <w:footnoteRef/>
      </w:r>
      <w:r w:rsidRPr="0019789C">
        <w:t xml:space="preserve"> Criminal Justice Act 1982, s 37(2).</w:t>
      </w:r>
    </w:p>
  </w:footnote>
  <w:footnote w:id="838">
    <w:p w14:paraId="71A5C552" w14:textId="44CAC4FA" w:rsidR="0019789C" w:rsidRPr="0019789C" w:rsidRDefault="0019789C" w:rsidP="001300A7">
      <w:pPr>
        <w:pStyle w:val="fntxt"/>
      </w:pPr>
      <w:r w:rsidRPr="0019789C">
        <w:rPr>
          <w:rStyle w:val="FootnoteReference"/>
          <w:rFonts w:cs="Arial"/>
        </w:rPr>
        <w:footnoteRef/>
      </w:r>
      <w:r w:rsidRPr="0019789C">
        <w:t xml:space="preserve"> New Roads and Street Works Act 1991, s 95(2) and s 154(2).</w:t>
      </w:r>
    </w:p>
  </w:footnote>
  <w:footnote w:id="839">
    <w:p w14:paraId="7F8FD54B" w14:textId="682F024E" w:rsidR="0019789C" w:rsidRPr="0019789C" w:rsidRDefault="0019789C" w:rsidP="001300A7">
      <w:pPr>
        <w:pStyle w:val="fntxt"/>
      </w:pPr>
      <w:r w:rsidRPr="0019789C">
        <w:rPr>
          <w:rStyle w:val="FootnoteReference"/>
          <w:rFonts w:cs="Arial"/>
        </w:rPr>
        <w:footnoteRef/>
      </w:r>
      <w:r w:rsidRPr="0019789C">
        <w:t xml:space="preserve"> New Roads and Street Works Act 1991, s 95(1) and s 154(1).</w:t>
      </w:r>
    </w:p>
  </w:footnote>
  <w:footnote w:id="840">
    <w:p w14:paraId="30B6B04D" w14:textId="3E02206F"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See above C1.2.</w:t>
      </w:r>
    </w:p>
  </w:footnote>
  <w:footnote w:id="841">
    <w:p w14:paraId="4F12748F" w14:textId="77777777" w:rsidR="0019789C" w:rsidRPr="0019789C" w:rsidRDefault="0019789C" w:rsidP="001300A7">
      <w:pPr>
        <w:pStyle w:val="fntxt"/>
      </w:pPr>
      <w:r w:rsidRPr="0019789C">
        <w:rPr>
          <w:rStyle w:val="FootnoteReference"/>
          <w:rFonts w:cs="Arial"/>
        </w:rPr>
        <w:footnoteRef/>
      </w:r>
      <w:r w:rsidRPr="0019789C">
        <w:t xml:space="preserve"> Interpretation Act 1978, sch 1.</w:t>
      </w:r>
    </w:p>
  </w:footnote>
  <w:footnote w:id="842">
    <w:p w14:paraId="120E6CEA" w14:textId="0716503D" w:rsidR="0019789C" w:rsidRPr="0019789C" w:rsidRDefault="0019789C" w:rsidP="001300A7">
      <w:pPr>
        <w:pStyle w:val="fntxt"/>
      </w:pPr>
      <w:r w:rsidRPr="0019789C">
        <w:rPr>
          <w:rStyle w:val="FootnoteReference"/>
          <w:rFonts w:cs="Arial"/>
        </w:rPr>
        <w:footnoteRef/>
      </w:r>
      <w:r w:rsidRPr="0019789C">
        <w:t xml:space="preserve"> New Roads and Street Works Act 1991, s 65(6) and s 124(6).</w:t>
      </w:r>
    </w:p>
  </w:footnote>
  <w:footnote w:id="843">
    <w:p w14:paraId="4E75141D" w14:textId="66E0B5F6" w:rsidR="0019789C" w:rsidRPr="0019789C" w:rsidRDefault="0019789C" w:rsidP="001300A7">
      <w:pPr>
        <w:pStyle w:val="fntxt"/>
      </w:pPr>
      <w:r w:rsidRPr="0019789C">
        <w:rPr>
          <w:rStyle w:val="FootnoteReference"/>
          <w:rFonts w:cs="Arial"/>
        </w:rPr>
        <w:footnoteRef/>
      </w:r>
      <w:r w:rsidRPr="0019789C">
        <w:t xml:space="preserve"> Department for Transport,</w:t>
      </w:r>
      <w:r w:rsidRPr="0019789C">
        <w:rPr>
          <w:rStyle w:val="fnbookChar"/>
          <w:rFonts w:cs="Arial"/>
        </w:rPr>
        <w:t xml:space="preserve"> New Roads and Street Works Act 1991 1991 - Code of Practice</w:t>
      </w:r>
      <w:r w:rsidRPr="0019789C">
        <w:t xml:space="preserve"> (n </w:t>
      </w:r>
      <w:r w:rsidRPr="0019789C">
        <w:fldChar w:fldCharType="begin"/>
      </w:r>
      <w:r w:rsidRPr="0019789C">
        <w:instrText xml:space="preserve"> NOTEREF _Ref39674675 \h  \* MERGEFORMAT </w:instrText>
      </w:r>
      <w:r w:rsidRPr="0019789C">
        <w:fldChar w:fldCharType="separate"/>
      </w:r>
      <w:r w:rsidR="00AD46EC">
        <w:t>822</w:t>
      </w:r>
      <w:r w:rsidRPr="0019789C">
        <w:fldChar w:fldCharType="end"/>
      </w:r>
      <w:r w:rsidRPr="0019789C">
        <w:t xml:space="preserve">); Transport Scotland, </w:t>
      </w:r>
      <w:r w:rsidRPr="0019789C">
        <w:rPr>
          <w:rStyle w:val="fnbookChar"/>
        </w:rPr>
        <w:t>New Roads and Street Works Act 1991 Code of Practice</w:t>
      </w:r>
      <w:r w:rsidRPr="0019789C">
        <w:t xml:space="preserve"> (n </w:t>
      </w:r>
      <w:r w:rsidRPr="0019789C">
        <w:fldChar w:fldCharType="begin"/>
      </w:r>
      <w:r w:rsidRPr="0019789C">
        <w:instrText xml:space="preserve"> NOTEREF _Ref39674711 \h  \* MERGEFORMAT </w:instrText>
      </w:r>
      <w:r w:rsidRPr="0019789C">
        <w:fldChar w:fldCharType="separate"/>
      </w:r>
      <w:r w:rsidR="00AD46EC">
        <w:t>832</w:t>
      </w:r>
      <w:r w:rsidRPr="0019789C">
        <w:fldChar w:fldCharType="end"/>
      </w:r>
      <w:r w:rsidRPr="0019789C">
        <w:t>).</w:t>
      </w:r>
    </w:p>
  </w:footnote>
  <w:footnote w:id="844">
    <w:p w14:paraId="5D253338" w14:textId="77777777"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val="en-US"/>
        </w:rPr>
        <w:t xml:space="preserve">Some case law on the topic: </w:t>
      </w:r>
      <w:r w:rsidRPr="0019789C">
        <w:rPr>
          <w:rStyle w:val="fncaseChar"/>
        </w:rPr>
        <w:t>R (on the application of Redrow Homes Ltd) v Knowsley MBC</w:t>
      </w:r>
      <w:r w:rsidRPr="0019789C">
        <w:rPr>
          <w:rFonts w:eastAsia="Times New Roman"/>
          <w:lang w:val="en-US" w:eastAsia="en-US"/>
        </w:rPr>
        <w:t xml:space="preserve"> [2014] EWCA Civ 1433.</w:t>
      </w:r>
    </w:p>
  </w:footnote>
  <w:footnote w:id="845">
    <w:p w14:paraId="772AE28D" w14:textId="77777777" w:rsidR="0019789C" w:rsidRPr="0019789C" w:rsidRDefault="0019789C" w:rsidP="001300A7">
      <w:pPr>
        <w:pStyle w:val="fntxt"/>
      </w:pPr>
      <w:r w:rsidRPr="0019789C">
        <w:rPr>
          <w:rStyle w:val="FootnoteReference"/>
          <w:rFonts w:cs="Arial"/>
        </w:rPr>
        <w:footnoteRef/>
      </w:r>
      <w:r w:rsidRPr="0019789C">
        <w:t xml:space="preserve"> Town and Country Planning Act 1990, s 55.</w:t>
      </w:r>
    </w:p>
  </w:footnote>
  <w:footnote w:id="846">
    <w:p w14:paraId="43423B0D" w14:textId="77777777" w:rsidR="0019789C" w:rsidRPr="0019789C" w:rsidRDefault="0019789C" w:rsidP="001300A7">
      <w:pPr>
        <w:pStyle w:val="fntxt"/>
      </w:pPr>
      <w:r w:rsidRPr="0019789C">
        <w:rPr>
          <w:rStyle w:val="FootnoteReference"/>
          <w:rFonts w:cs="Arial"/>
        </w:rPr>
        <w:footnoteRef/>
      </w:r>
      <w:r w:rsidRPr="0019789C">
        <w:t xml:space="preserve"> Town and Country Planning Act 1990, s 171A(1).</w:t>
      </w:r>
    </w:p>
  </w:footnote>
  <w:footnote w:id="847">
    <w:p w14:paraId="5EE03710" w14:textId="77777777" w:rsidR="0019789C" w:rsidRPr="0019789C" w:rsidRDefault="0019789C" w:rsidP="001300A7">
      <w:pPr>
        <w:pStyle w:val="fntxt"/>
      </w:pPr>
      <w:r w:rsidRPr="0019789C">
        <w:rPr>
          <w:rStyle w:val="FootnoteReference"/>
          <w:rFonts w:cs="Arial"/>
        </w:rPr>
        <w:footnoteRef/>
      </w:r>
      <w:r w:rsidRPr="0019789C">
        <w:t xml:space="preserve"> Town and Country Planning Act 1990, s 187B (1); s 90.</w:t>
      </w:r>
    </w:p>
  </w:footnote>
  <w:footnote w:id="848">
    <w:p w14:paraId="5AAD5CBE" w14:textId="77777777" w:rsidR="0019789C" w:rsidRPr="0019789C" w:rsidRDefault="0019789C" w:rsidP="001300A7">
      <w:pPr>
        <w:pStyle w:val="fntxt"/>
      </w:pPr>
      <w:r w:rsidRPr="0019789C">
        <w:rPr>
          <w:rStyle w:val="FootnoteReference"/>
          <w:rFonts w:cs="Arial"/>
        </w:rPr>
        <w:footnoteRef/>
      </w:r>
      <w:r w:rsidRPr="0019789C">
        <w:t xml:space="preserve"> Town and Country Planning Act 1990, s 187B (2) and (4).</w:t>
      </w:r>
    </w:p>
  </w:footnote>
  <w:footnote w:id="849">
    <w:p w14:paraId="47CBCF7F" w14:textId="77777777" w:rsidR="0019789C" w:rsidRPr="0019789C" w:rsidRDefault="0019789C" w:rsidP="001300A7">
      <w:pPr>
        <w:pStyle w:val="fntxt"/>
      </w:pPr>
      <w:r w:rsidRPr="0019789C">
        <w:rPr>
          <w:rStyle w:val="FootnoteReference"/>
          <w:rFonts w:cs="Arial"/>
        </w:rPr>
        <w:footnoteRef/>
      </w:r>
      <w:r w:rsidRPr="0019789C">
        <w:t xml:space="preserve"> There are a range of provisions providing powers to address obstructions in the Highways Act 1980, some of which apply to the UK, others only to England and Wales: s 138</w:t>
      </w:r>
      <w:r w:rsidRPr="0019789C">
        <w:rPr>
          <w:rStyle w:val="apple-converted-space"/>
          <w:rFonts w:cs="Arial"/>
        </w:rPr>
        <w:t> </w:t>
      </w:r>
      <w:r w:rsidRPr="0019789C">
        <w:t>(erection of building or fence or planting a hedge in the carriageway of a highway without lawful authority or excuse – UK); s 139 (prohibition of placing builders’ skips in the highway without permission – England and Wales); s 140 (removal of builders’ skips – UK); s 141 (prohibition on the planting of trees within or close to a made up carriageway – England and Wales); s 143 (power to remove structures unlawfully erected on highways – UK); s 148 (penalty for depositing things or pitching booths etc, on highway – UK); s 149 (power to remove of things so deposited on highways as to be a nuisance – England and Wales); s 152 (powers as to removal of projections from buildings – UK); s 154 (power to cut or fell trees etc that overhang roads or footpaths so as to endanger or obstruct the passage of vehicles or pedestrians – England and Wales).</w:t>
      </w:r>
    </w:p>
  </w:footnote>
  <w:footnote w:id="850">
    <w:p w14:paraId="70E4193E" w14:textId="4066B70D"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[1987] 85 Cr App R 143.</w:t>
      </w:r>
    </w:p>
  </w:footnote>
  <w:footnote w:id="851">
    <w:p w14:paraId="79A9651E" w14:textId="77777777"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val="en-US"/>
        </w:rPr>
        <w:t>ibid 151.</w:t>
      </w:r>
    </w:p>
  </w:footnote>
  <w:footnote w:id="852">
    <w:p w14:paraId="72992B01" w14:textId="32646276"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w:t>
      </w:r>
      <w:r w:rsidRPr="0019789C">
        <w:rPr>
          <w:rStyle w:val="fncaseChar"/>
        </w:rPr>
        <w:t>Buchanan v CPS</w:t>
      </w:r>
      <w:r w:rsidRPr="0019789C">
        <w:t xml:space="preserve"> [2018] EWHC 1773 [25]</w:t>
      </w:r>
      <w:r w:rsidRPr="0019789C">
        <w:rPr>
          <w:rFonts w:eastAsia="Times New Roman"/>
          <w:lang w:val="en-US" w:eastAsia="en-US"/>
        </w:rPr>
        <w:t xml:space="preserve">; </w:t>
      </w:r>
      <w:r w:rsidRPr="0019789C">
        <w:rPr>
          <w:rStyle w:val="apple-converted-space"/>
          <w:rFonts w:cs="Arial"/>
          <w:shd w:val="clear" w:color="auto" w:fill="FFFFFF"/>
        </w:rPr>
        <w:t xml:space="preserve">see also </w:t>
      </w:r>
      <w:r w:rsidRPr="0019789C">
        <w:rPr>
          <w:rStyle w:val="fncaseChar"/>
        </w:rPr>
        <w:t>Nagy v Weston</w:t>
      </w:r>
      <w:r w:rsidRPr="0019789C">
        <w:rPr>
          <w:rStyle w:val="apple-converted-space"/>
          <w:rFonts w:cs="Arial"/>
          <w:shd w:val="clear" w:color="auto" w:fill="FFFFFF"/>
        </w:rPr>
        <w:t> </w:t>
      </w:r>
      <w:r w:rsidRPr="0019789C">
        <w:t>[1965] 1 All ER 78,</w:t>
      </w:r>
      <w:r w:rsidRPr="0019789C">
        <w:rPr>
          <w:rFonts w:eastAsia="Times New Roman"/>
          <w:shd w:val="clear" w:color="auto" w:fill="FFFFFF"/>
          <w:lang w:val="en-US" w:eastAsia="en-US"/>
        </w:rPr>
        <w:t xml:space="preserve"> [1965] 1 WLR 280</w:t>
      </w:r>
      <w:r w:rsidRPr="0019789C">
        <w:rPr>
          <w:rFonts w:eastAsia="Times New Roman"/>
          <w:lang w:val="en-US" w:eastAsia="en-US"/>
        </w:rPr>
        <w:t>, 284</w:t>
      </w:r>
      <w:r w:rsidRPr="0019789C">
        <w:t>:</w:t>
      </w:r>
      <w:r w:rsidRPr="0019789C">
        <w:rPr>
          <w:shd w:val="clear" w:color="auto" w:fill="FFFFFF"/>
        </w:rPr>
        <w:t xml:space="preserve"> ‘For my part I think that excuse and reasonableness are really the same ground’ (</w:t>
      </w:r>
      <w:r w:rsidRPr="0019789C">
        <w:t>Lord Parker CJ).</w:t>
      </w:r>
    </w:p>
  </w:footnote>
  <w:footnote w:id="853">
    <w:p w14:paraId="7913AFFC" w14:textId="582E3E89" w:rsidR="0019789C" w:rsidRPr="0019789C" w:rsidRDefault="0019789C" w:rsidP="001300A7">
      <w:pPr>
        <w:pStyle w:val="fntxt"/>
        <w:rPr>
          <w:lang w:val="en-US"/>
        </w:rPr>
      </w:pPr>
      <w:r w:rsidRPr="0019789C">
        <w:rPr>
          <w:rStyle w:val="FootnoteReference"/>
          <w:rFonts w:cs="Arial"/>
        </w:rPr>
        <w:footnoteRef/>
      </w:r>
      <w:r w:rsidRPr="0019789C">
        <w:t xml:space="preserve"> [1986] 82 Cr App R 238.</w:t>
      </w:r>
    </w:p>
  </w:footnote>
  <w:footnote w:id="854">
    <w:p w14:paraId="035342AC" w14:textId="77777777"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val="en-US"/>
        </w:rPr>
        <w:t>ibid 239-40.</w:t>
      </w:r>
    </w:p>
  </w:footnote>
  <w:footnote w:id="855">
    <w:p w14:paraId="2C317828" w14:textId="1551AFF0"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w:t>
      </w:r>
      <w:r w:rsidRPr="0019789C">
        <w:rPr>
          <w:lang w:val="en-US"/>
        </w:rPr>
        <w:t>ibid 243-44 (citing</w:t>
      </w:r>
      <w:r w:rsidRPr="0019789C">
        <w:rPr>
          <w:iCs/>
        </w:rPr>
        <w:t xml:space="preserve"> </w:t>
      </w:r>
      <w:r w:rsidRPr="0019789C">
        <w:rPr>
          <w:rStyle w:val="fncaseChar"/>
        </w:rPr>
        <w:t xml:space="preserve">Nagy </w:t>
      </w:r>
      <w:r w:rsidRPr="0019789C">
        <w:rPr>
          <w:rStyle w:val="fncaseChar"/>
          <w:i w:val="0"/>
          <w:iCs/>
        </w:rPr>
        <w:t xml:space="preserve">(n </w:t>
      </w:r>
      <w:r w:rsidRPr="0019789C">
        <w:rPr>
          <w:rStyle w:val="fncaseChar"/>
          <w:i w:val="0"/>
          <w:iCs/>
        </w:rPr>
        <w:fldChar w:fldCharType="begin"/>
      </w:r>
      <w:r w:rsidRPr="0019789C">
        <w:rPr>
          <w:rStyle w:val="fncaseChar"/>
          <w:i w:val="0"/>
          <w:iCs/>
        </w:rPr>
        <w:instrText xml:space="preserve"> NOTEREF _Ref94101070 \h </w:instrText>
      </w:r>
      <w:r>
        <w:rPr>
          <w:rStyle w:val="fncaseChar"/>
          <w:i w:val="0"/>
          <w:iCs/>
        </w:rPr>
        <w:instrText xml:space="preserve"> \* MERGEFORMAT </w:instrText>
      </w:r>
      <w:r w:rsidRPr="0019789C">
        <w:rPr>
          <w:rStyle w:val="fncaseChar"/>
          <w:i w:val="0"/>
          <w:iCs/>
        </w:rPr>
      </w:r>
      <w:r w:rsidRPr="0019789C">
        <w:rPr>
          <w:rStyle w:val="fncaseChar"/>
          <w:i w:val="0"/>
          <w:iCs/>
        </w:rPr>
        <w:fldChar w:fldCharType="separate"/>
      </w:r>
      <w:r w:rsidR="00AD46EC">
        <w:rPr>
          <w:rStyle w:val="fncaseChar"/>
          <w:i w:val="0"/>
          <w:iCs/>
        </w:rPr>
        <w:t>852</w:t>
      </w:r>
      <w:r w:rsidRPr="0019789C">
        <w:rPr>
          <w:rStyle w:val="fncaseChar"/>
          <w:i w:val="0"/>
          <w:iCs/>
        </w:rPr>
        <w:fldChar w:fldCharType="end"/>
      </w:r>
      <w:r w:rsidRPr="0019789C">
        <w:rPr>
          <w:rStyle w:val="fncaseChar"/>
          <w:i w:val="0"/>
          <w:iCs/>
        </w:rPr>
        <w:t xml:space="preserve">) </w:t>
      </w:r>
      <w:r w:rsidRPr="0019789C">
        <w:t>1 All ER 78, 80).</w:t>
      </w:r>
    </w:p>
  </w:footnote>
  <w:footnote w:id="856">
    <w:p w14:paraId="00DB6ECE" w14:textId="77777777"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val="en-US"/>
        </w:rPr>
        <w:t>ibid 242-243.</w:t>
      </w:r>
    </w:p>
  </w:footnote>
  <w:footnote w:id="857">
    <w:p w14:paraId="7D3677E6"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 xml:space="preserve">Westminster City Council v Haw </w:t>
      </w:r>
      <w:r w:rsidRPr="0019789C">
        <w:t>[2002] EWHC 2073 (QB</w:t>
      </w:r>
      <w:r w:rsidRPr="0019789C">
        <w:rPr>
          <w:rStyle w:val="ng-scope1"/>
          <w:rFonts w:cs="Arial"/>
        </w:rPr>
        <w:t>).</w:t>
      </w:r>
    </w:p>
  </w:footnote>
  <w:footnote w:id="858">
    <w:p w14:paraId="2DA2B30F" w14:textId="77777777"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w:t>
      </w:r>
      <w:r w:rsidRPr="0019789C">
        <w:rPr>
          <w:rStyle w:val="fncaseChar"/>
        </w:rPr>
        <w:t>Westminster City Council v Alladin Ltd</w:t>
      </w:r>
      <w:r w:rsidRPr="0019789C">
        <w:t xml:space="preserve"> </w:t>
      </w:r>
      <w:r w:rsidRPr="0019789C">
        <w:rPr>
          <w:rFonts w:eastAsia="Times New Roman"/>
          <w:lang w:val="en-US" w:eastAsia="en-US"/>
        </w:rPr>
        <w:t>[1996] CLY 5123.</w:t>
      </w:r>
    </w:p>
  </w:footnote>
  <w:footnote w:id="859">
    <w:p w14:paraId="55BC193E" w14:textId="77777777"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w:t>
      </w:r>
      <w:r w:rsidRPr="0019789C">
        <w:rPr>
          <w:rStyle w:val="fncaseChar"/>
        </w:rPr>
        <w:t>Hertfordshire City Council v Bolden</w:t>
      </w:r>
      <w:r w:rsidRPr="0019789C">
        <w:t xml:space="preserve"> </w:t>
      </w:r>
      <w:r w:rsidRPr="0019789C">
        <w:rPr>
          <w:rFonts w:eastAsia="Times New Roman"/>
          <w:lang w:val="en-US" w:eastAsia="en-US"/>
        </w:rPr>
        <w:t>[1987] CLY 3779.</w:t>
      </w:r>
    </w:p>
  </w:footnote>
  <w:footnote w:id="860">
    <w:p w14:paraId="2C2154B6" w14:textId="77777777"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w:t>
      </w:r>
      <w:r w:rsidRPr="0019789C">
        <w:rPr>
          <w:rStyle w:val="fncaseChar"/>
        </w:rPr>
        <w:t>Devon City Council v Gateway Foodmarkets Ltd</w:t>
      </w:r>
      <w:r w:rsidRPr="0019789C">
        <w:t xml:space="preserve"> </w:t>
      </w:r>
      <w:r w:rsidRPr="0019789C">
        <w:rPr>
          <w:rFonts w:eastAsia="Times New Roman"/>
          <w:lang w:val="en-US" w:eastAsia="en-US"/>
        </w:rPr>
        <w:t>[1991] CLY 3148.</w:t>
      </w:r>
    </w:p>
  </w:footnote>
  <w:footnote w:id="861">
    <w:p w14:paraId="15BBA742" w14:textId="77777777"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w:t>
      </w:r>
      <w:r w:rsidRPr="0019789C">
        <w:rPr>
          <w:rFonts w:eastAsia="Times New Roman"/>
          <w:lang w:val="en-US" w:eastAsia="en-US"/>
        </w:rPr>
        <w:t>[1996] CLY 1487.</w:t>
      </w:r>
    </w:p>
  </w:footnote>
  <w:footnote w:id="862">
    <w:p w14:paraId="5B0C39FC"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Fonts w:cs="Arial"/>
        </w:rPr>
        <w:t>Torbay BC v Cross</w:t>
      </w:r>
      <w:r w:rsidRPr="0019789C">
        <w:rPr>
          <w:rFonts w:eastAsia="Times New Roman"/>
          <w:shd w:val="clear" w:color="auto" w:fill="FFFFFF"/>
          <w:lang w:val="en-US" w:eastAsia="en-US"/>
        </w:rPr>
        <w:t xml:space="preserve"> [1996] CLY 5124.</w:t>
      </w:r>
    </w:p>
  </w:footnote>
  <w:footnote w:id="863">
    <w:p w14:paraId="7F195C6C" w14:textId="2A417CA7" w:rsidR="0019789C" w:rsidRPr="0019789C" w:rsidRDefault="0019789C" w:rsidP="001300A7">
      <w:pPr>
        <w:pStyle w:val="fntxt"/>
        <w:rPr>
          <w:shd w:val="clear" w:color="auto" w:fill="FFFFFF"/>
        </w:rPr>
      </w:pPr>
      <w:r w:rsidRPr="0019789C">
        <w:rPr>
          <w:rStyle w:val="FootnoteReference"/>
          <w:rFonts w:cs="Arial"/>
        </w:rPr>
        <w:footnoteRef/>
      </w:r>
      <w:r w:rsidRPr="0019789C">
        <w:t xml:space="preserve"> Road Traffic Act 1988, s 42 also prohibits obstruction of roads and carries a level 4 fine; Road Vehicles (Construction and Use) Regulations 1986</w:t>
      </w:r>
      <w:r w:rsidRPr="0019789C">
        <w:rPr>
          <w:shd w:val="clear" w:color="auto" w:fill="FFFFFF"/>
        </w:rPr>
        <w:t xml:space="preserve">, </w:t>
      </w:r>
      <w:r w:rsidRPr="0019789C">
        <w:t xml:space="preserve">reg 103 </w:t>
      </w:r>
      <w:r w:rsidRPr="0019789C">
        <w:rPr>
          <w:shd w:val="clear" w:color="auto" w:fill="FFFFFF"/>
        </w:rPr>
        <w:t>(‘</w:t>
      </w:r>
      <w:r w:rsidRPr="0019789C">
        <w:t xml:space="preserve">No person in charge of a motor vehicle or trailer shall cause or permit the vehicle to stand on a road so as to cause any unnecessary obstruction of the road’); in </w:t>
      </w:r>
      <w:r w:rsidRPr="0019789C">
        <w:rPr>
          <w:rStyle w:val="fncaseChar"/>
        </w:rPr>
        <w:t>Evans v Barker</w:t>
      </w:r>
      <w:r w:rsidRPr="0019789C">
        <w:rPr>
          <w:rStyle w:val="Emphasis"/>
          <w:rFonts w:cs="Arial"/>
        </w:rPr>
        <w:t xml:space="preserve"> </w:t>
      </w:r>
      <w:r w:rsidRPr="0019789C">
        <w:rPr>
          <w:rStyle w:val="Emphasis"/>
          <w:rFonts w:cs="Arial"/>
          <w:i w:val="0"/>
          <w:iCs w:val="0"/>
        </w:rPr>
        <w:t>[1971] RTR 453</w:t>
      </w:r>
      <w:r w:rsidRPr="0019789C">
        <w:rPr>
          <w:shd w:val="clear" w:color="auto" w:fill="FFFFFF"/>
        </w:rPr>
        <w:t xml:space="preserve"> it was held that leaving a car for a reasonable time, while an obstruction, did not amount to an unnecessary obstruction within the meaning of what is now</w:t>
      </w:r>
      <w:r w:rsidRPr="0019789C">
        <w:t xml:space="preserve"> reg 103.</w:t>
      </w:r>
    </w:p>
  </w:footnote>
  <w:footnote w:id="864">
    <w:p w14:paraId="0AFBA050" w14:textId="77777777"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Eg ‘Every person who suffers to be at large any unmuzzled ferocious dog, or sets on or urges any dog or other animal to attack, worry, or put in fear any person or animal … Every person who rides or drives furiously any horse or carriage, or drives furiously any cattle … Every person who wantonly discharges any firearm, or throws or discharges any stone or other missile, or makes any bonfire, or throws or sets fire to any firework …’; the</w:t>
      </w:r>
      <w:r w:rsidRPr="0019789C">
        <w:rPr>
          <w:rStyle w:val="apple-converted-space"/>
          <w:rFonts w:cs="Arial"/>
          <w:shd w:val="clear" w:color="auto" w:fill="FFFFFF"/>
        </w:rPr>
        <w:t> </w:t>
      </w:r>
      <w:r w:rsidRPr="0019789C">
        <w:t xml:space="preserve">Deregulation Act 2015, sch 23, para 45, omitted a number of acts from the list, as did the </w:t>
      </w:r>
      <w:r w:rsidRPr="0019789C">
        <w:rPr>
          <w:rFonts w:eastAsia="Times New Roman"/>
          <w:shd w:val="clear" w:color="auto" w:fill="FFFFFF"/>
          <w:lang w:val="en-US" w:eastAsia="en-US"/>
        </w:rPr>
        <w:t>Street Offences Act 1959, ss 1(5)(b), 5(2), Sch 1, and the</w:t>
      </w:r>
      <w:r w:rsidRPr="0019789C">
        <w:rPr>
          <w:shd w:val="clear" w:color="auto" w:fill="FFFFFF"/>
        </w:rPr>
        <w:t xml:space="preserve"> Sexual Offences Act 2003,</w:t>
      </w:r>
      <w:r w:rsidRPr="0019789C">
        <w:rPr>
          <w:rStyle w:val="apple-converted-space"/>
          <w:rFonts w:cs="Arial"/>
          <w:shd w:val="clear" w:color="auto" w:fill="FFFFFF"/>
        </w:rPr>
        <w:t> </w:t>
      </w:r>
      <w:r w:rsidRPr="0019789C">
        <w:rPr>
          <w:bdr w:val="none" w:sz="0" w:space="0" w:color="auto" w:frame="1"/>
        </w:rPr>
        <w:t>Sch 7, para 1</w:t>
      </w:r>
      <w:r w:rsidRPr="0019789C">
        <w:rPr>
          <w:shd w:val="clear" w:color="auto" w:fill="FFFFFF"/>
        </w:rPr>
        <w:t>.</w:t>
      </w:r>
    </w:p>
  </w:footnote>
  <w:footnote w:id="865">
    <w:p w14:paraId="7241C0F3" w14:textId="763E369D" w:rsidR="0019789C" w:rsidRPr="0019789C" w:rsidRDefault="0019789C" w:rsidP="001300A7">
      <w:pPr>
        <w:pStyle w:val="fntxt"/>
      </w:pPr>
      <w:r w:rsidRPr="0019789C">
        <w:rPr>
          <w:rStyle w:val="FootnoteReference"/>
          <w:rFonts w:cs="Arial"/>
        </w:rPr>
        <w:footnoteRef/>
      </w:r>
      <w:r w:rsidRPr="0019789C">
        <w:t xml:space="preserve"> </w:t>
      </w:r>
      <w:r w:rsidRPr="0019789C">
        <w:rPr>
          <w:lang w:val="en-US"/>
        </w:rPr>
        <w:t xml:space="preserve">See eg </w:t>
      </w:r>
      <w:r w:rsidRPr="0019789C">
        <w:rPr>
          <w:rStyle w:val="fncaseChar"/>
        </w:rPr>
        <w:t>Wills v Bowley</w:t>
      </w:r>
      <w:r w:rsidRPr="0019789C">
        <w:t xml:space="preserve"> [1983] 1 AC 57.</w:t>
      </w:r>
    </w:p>
  </w:footnote>
  <w:footnote w:id="866">
    <w:p w14:paraId="5F942AB4" w14:textId="77777777"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rStyle w:val="apple-converted-space"/>
          <w:rFonts w:cs="Arial"/>
        </w:rPr>
        <w:t xml:space="preserve">See eg </w:t>
      </w:r>
      <w:r w:rsidRPr="0019789C">
        <w:rPr>
          <w:rStyle w:val="fncaseChar"/>
        </w:rPr>
        <w:t>Cheesman v DPP</w:t>
      </w:r>
      <w:r w:rsidRPr="0019789C">
        <w:t xml:space="preserve"> [1992] QB 83</w:t>
      </w:r>
      <w:r w:rsidRPr="0019789C">
        <w:rPr>
          <w:lang w:val="en-US"/>
        </w:rPr>
        <w:t>.</w:t>
      </w:r>
    </w:p>
  </w:footnote>
  <w:footnote w:id="867">
    <w:p w14:paraId="5237221E" w14:textId="77777777"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w:t>
      </w:r>
      <w:r w:rsidRPr="0019789C">
        <w:rPr>
          <w:rStyle w:val="FootnoteTextChar"/>
          <w:rFonts w:cs="Arial"/>
        </w:rPr>
        <w:t>[1962] 1 WLR 205.</w:t>
      </w:r>
    </w:p>
  </w:footnote>
  <w:footnote w:id="868">
    <w:p w14:paraId="2824B3DD" w14:textId="77777777"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val="en-US"/>
        </w:rPr>
        <w:t>ibid 206.</w:t>
      </w:r>
    </w:p>
  </w:footnote>
  <w:footnote w:id="869">
    <w:p w14:paraId="2314EC65" w14:textId="77777777" w:rsidR="0019789C" w:rsidRPr="0019789C" w:rsidRDefault="0019789C" w:rsidP="001300A7">
      <w:pPr>
        <w:pStyle w:val="fntxt"/>
        <w:rPr>
          <w:lang w:val="en-US"/>
        </w:rPr>
      </w:pPr>
      <w:r w:rsidRPr="0019789C">
        <w:rPr>
          <w:rStyle w:val="FootnoteReference"/>
          <w:rFonts w:cs="Arial"/>
        </w:rPr>
        <w:footnoteRef/>
      </w:r>
      <w:r w:rsidRPr="0019789C">
        <w:t xml:space="preserve"> ibid 209.</w:t>
      </w:r>
    </w:p>
  </w:footnote>
  <w:footnote w:id="870">
    <w:p w14:paraId="74BDA0A0" w14:textId="77777777"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ibid 208-209: ‘</w:t>
      </w:r>
      <w:r w:rsidRPr="0019789C">
        <w:rPr>
          <w:rFonts w:eastAsia="Times New Roman"/>
          <w:shd w:val="clear" w:color="auto" w:fill="FFFFFF"/>
          <w:lang w:val="en-US" w:eastAsia="en-US"/>
        </w:rPr>
        <w:t>In the opinion of this court, that case decides: (1) That every member of the public is entitled to unrestricted access to the whole of a footway, save in so far as he may be prevented by obstructions lawfully authorised. (2) That subject to the “de minimis” principle any encroachment upon the footway which restricts him in the full exercise of that right and which is not authorised by law, is an unlawful obstruction; and (3) that every member of the public so restricted in the use of the footway is necessarily obstructed in that to the extent of the obstruction he is denied access to the whole of the footway; that is, he is obstructed in his legal right to use the whole of the footway.’</w:t>
      </w:r>
    </w:p>
  </w:footnote>
  <w:footnote w:id="871">
    <w:p w14:paraId="46A26C12" w14:textId="2D2CC4A1" w:rsidR="0019789C" w:rsidRPr="0019789C" w:rsidRDefault="0019789C" w:rsidP="001300A7">
      <w:pPr>
        <w:pStyle w:val="fntxt"/>
      </w:pPr>
      <w:r w:rsidRPr="0019789C">
        <w:rPr>
          <w:rStyle w:val="FootnoteReference"/>
        </w:rPr>
        <w:footnoteRef/>
      </w:r>
      <w:r w:rsidRPr="0019789C">
        <w:t xml:space="preserve"> </w:t>
      </w:r>
      <w:r w:rsidRPr="0019789C">
        <w:rPr>
          <w:lang w:val="en-US"/>
        </w:rPr>
        <w:t xml:space="preserve">See below </w:t>
      </w:r>
      <w:r w:rsidRPr="0019789C">
        <w:t>D3.2 Public nuisance.</w:t>
      </w:r>
    </w:p>
  </w:footnote>
  <w:footnote w:id="872">
    <w:p w14:paraId="29C81456" w14:textId="77777777" w:rsidR="0019789C" w:rsidRPr="0019789C" w:rsidRDefault="0019789C" w:rsidP="001300A7">
      <w:pPr>
        <w:pStyle w:val="fntxt"/>
      </w:pPr>
      <w:r w:rsidRPr="0019789C">
        <w:rPr>
          <w:rStyle w:val="FootnoteReference"/>
          <w:rFonts w:cs="Arial"/>
        </w:rPr>
        <w:footnoteRef/>
      </w:r>
      <w:r w:rsidRPr="0019789C">
        <w:t xml:space="preserve"> Criminal Justice Act 1982, s 37(2).</w:t>
      </w:r>
    </w:p>
  </w:footnote>
  <w:footnote w:id="873">
    <w:p w14:paraId="7BC0E49B" w14:textId="6A92CE07" w:rsidR="0019789C" w:rsidRPr="0019789C" w:rsidRDefault="0019789C" w:rsidP="001300A7">
      <w:pPr>
        <w:pStyle w:val="fntxt"/>
        <w:rPr>
          <w:lang w:val="en-US"/>
        </w:rPr>
      </w:pPr>
      <w:r w:rsidRPr="0019789C">
        <w:rPr>
          <w:rStyle w:val="FootnoteReference"/>
          <w:rFonts w:cs="Arial"/>
        </w:rPr>
        <w:footnoteRef/>
      </w:r>
      <w:r w:rsidRPr="0019789C">
        <w:t xml:space="preserve"> Roads (Scotland) Act 1984, </w:t>
      </w:r>
      <w:r w:rsidRPr="0019789C">
        <w:rPr>
          <w:lang w:val="en-US"/>
        </w:rPr>
        <w:t xml:space="preserve">Sch 3, para 1; </w:t>
      </w:r>
      <w:r w:rsidRPr="0019789C">
        <w:t>Criminal Procedure (Scotland) Act 1995, s 225.</w:t>
      </w:r>
    </w:p>
  </w:footnote>
  <w:footnote w:id="874">
    <w:p w14:paraId="320F0572" w14:textId="50939DDF"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Westminster City Council v Haw</w:t>
      </w:r>
      <w:r w:rsidRPr="0019789C">
        <w:t xml:space="preserve"> (n </w:t>
      </w:r>
      <w:r w:rsidRPr="0019789C">
        <w:fldChar w:fldCharType="begin"/>
      </w:r>
      <w:r w:rsidRPr="0019789C">
        <w:instrText xml:space="preserve"> NOTEREF _Ref94101316 \h </w:instrText>
      </w:r>
      <w:r>
        <w:instrText xml:space="preserve"> \* MERGEFORMAT </w:instrText>
      </w:r>
      <w:r w:rsidRPr="0019789C">
        <w:fldChar w:fldCharType="separate"/>
      </w:r>
      <w:r w:rsidR="00AD46EC">
        <w:t>857</w:t>
      </w:r>
      <w:r w:rsidRPr="0019789C">
        <w:fldChar w:fldCharType="end"/>
      </w:r>
      <w:r w:rsidRPr="0019789C">
        <w:t>)</w:t>
      </w:r>
      <w:r w:rsidRPr="0019789C">
        <w:rPr>
          <w:rStyle w:val="ng-scope1"/>
          <w:rFonts w:cs="Arial"/>
        </w:rPr>
        <w:t xml:space="preserve">; </w:t>
      </w:r>
      <w:r w:rsidRPr="0019789C">
        <w:rPr>
          <w:rStyle w:val="fncaseChar"/>
        </w:rPr>
        <w:t>Birmingham City Council v Sharif</w:t>
      </w:r>
      <w:r w:rsidRPr="0019789C">
        <w:rPr>
          <w:iCs/>
        </w:rPr>
        <w:t xml:space="preserve"> </w:t>
      </w:r>
      <w:r w:rsidRPr="0019789C">
        <w:rPr>
          <w:rFonts w:eastAsia="Times New Roman"/>
          <w:lang w:val="en-US" w:eastAsia="en-US"/>
        </w:rPr>
        <w:t>[2019] EWHC 1268 (QB).</w:t>
      </w:r>
    </w:p>
  </w:footnote>
  <w:footnote w:id="875">
    <w:p w14:paraId="0550B910" w14:textId="39EC40FD"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 xml:space="preserve">Ali </w:t>
      </w:r>
      <w:r w:rsidRPr="0019789C">
        <w:t xml:space="preserve">(n </w:t>
      </w:r>
      <w:r w:rsidRPr="0019789C">
        <w:fldChar w:fldCharType="begin"/>
      </w:r>
      <w:r w:rsidRPr="0019789C">
        <w:instrText xml:space="preserve"> NOTEREF _Ref94100281 \h </w:instrText>
      </w:r>
      <w:r>
        <w:instrText xml:space="preserve"> \* MERGEFORMAT </w:instrText>
      </w:r>
      <w:r w:rsidRPr="0019789C">
        <w:fldChar w:fldCharType="separate"/>
      </w:r>
      <w:r w:rsidR="00AD46EC">
        <w:t>715</w:t>
      </w:r>
      <w:r w:rsidRPr="0019789C">
        <w:fldChar w:fldCharType="end"/>
      </w:r>
      <w:r w:rsidRPr="0019789C">
        <w:t>).</w:t>
      </w:r>
    </w:p>
  </w:footnote>
  <w:footnote w:id="876">
    <w:p w14:paraId="04D85BB4" w14:textId="77777777" w:rsidR="0019789C" w:rsidRPr="0019789C" w:rsidRDefault="0019789C" w:rsidP="001300A7">
      <w:pPr>
        <w:pStyle w:val="fntxt"/>
        <w:rPr>
          <w:vertAlign w:val="superscript"/>
        </w:rPr>
      </w:pPr>
      <w:r w:rsidRPr="0019789C">
        <w:rPr>
          <w:rStyle w:val="FootnoteReference"/>
          <w:rFonts w:cs="Arial"/>
        </w:rPr>
        <w:footnoteRef/>
      </w:r>
      <w:r w:rsidRPr="0019789C">
        <w:t xml:space="preserve"> Highways Act 1980, s 130A-D; </w:t>
      </w:r>
      <w:r w:rsidRPr="0019789C">
        <w:rPr>
          <w:shd w:val="clear" w:color="auto" w:fill="FFFFFF"/>
        </w:rPr>
        <w:t xml:space="preserve">see </w:t>
      </w:r>
      <w:r w:rsidRPr="0019789C">
        <w:t>Removal of Obstructions from Highways (Notices etc.) (England) Regulations 2004 (SI 2004/370)</w:t>
      </w:r>
      <w:r w:rsidRPr="0019789C">
        <w:rPr>
          <w:rStyle w:val="apple-converted-space"/>
          <w:rFonts w:cs="Arial"/>
          <w:shd w:val="clear" w:color="auto" w:fill="FFFFFF"/>
        </w:rPr>
        <w:t> </w:t>
      </w:r>
      <w:r w:rsidRPr="0019789C">
        <w:rPr>
          <w:shd w:val="clear" w:color="auto" w:fill="FFFFFF"/>
        </w:rPr>
        <w:t>and the</w:t>
      </w:r>
      <w:r w:rsidRPr="0019789C">
        <w:rPr>
          <w:rStyle w:val="apple-converted-space"/>
          <w:rFonts w:cs="Arial"/>
          <w:shd w:val="clear" w:color="auto" w:fill="FFFFFF"/>
        </w:rPr>
        <w:t> </w:t>
      </w:r>
      <w:r w:rsidRPr="0019789C">
        <w:t xml:space="preserve">Removal of Obstructions from Highways (Wales) Regulations 2004 (SI 2004/317, which prescribe </w:t>
      </w:r>
      <w:r w:rsidRPr="0019789C">
        <w:rPr>
          <w:shd w:val="clear" w:color="auto" w:fill="FFFFFF"/>
        </w:rPr>
        <w:t>notices to be used; also</w:t>
      </w:r>
      <w:r w:rsidRPr="0019789C">
        <w:rPr>
          <w:rStyle w:val="apple-converted-space"/>
          <w:rFonts w:cs="Arial"/>
          <w:shd w:val="clear" w:color="auto" w:fill="FFFFFF"/>
        </w:rPr>
        <w:t> </w:t>
      </w:r>
      <w:r w:rsidRPr="0019789C">
        <w:rPr>
          <w:rStyle w:val="fncaseChar"/>
        </w:rPr>
        <w:t>Herrick v Kidner</w:t>
      </w:r>
      <w:r w:rsidRPr="0019789C">
        <w:rPr>
          <w:rStyle w:val="Emphasis"/>
          <w:rFonts w:cs="Arial"/>
        </w:rPr>
        <w:t xml:space="preserve"> </w:t>
      </w:r>
      <w:r w:rsidRPr="0019789C">
        <w:rPr>
          <w:rStyle w:val="Emphasis"/>
          <w:rFonts w:cs="Arial"/>
          <w:i w:val="0"/>
          <w:iCs w:val="0"/>
        </w:rPr>
        <w:t xml:space="preserve">[2010] EWHC 269 </w:t>
      </w:r>
      <w:r w:rsidRPr="0019789C">
        <w:rPr>
          <w:shd w:val="clear" w:color="auto" w:fill="FFFFFF"/>
        </w:rPr>
        <w:t>(any structure within the legal extent of the footpath, preventing passage or the enjoyment of amenity rights over the area of its footprint, ‘significantly interferes’ with the exercise of public rights of way).</w:t>
      </w:r>
    </w:p>
  </w:footnote>
  <w:footnote w:id="877">
    <w:p w14:paraId="7B42C767" w14:textId="77777777"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w:t>
      </w:r>
      <w:r w:rsidRPr="0019789C">
        <w:rPr>
          <w:rFonts w:eastAsia="Times New Roman"/>
          <w:shd w:val="clear" w:color="auto" w:fill="FFFFFF"/>
          <w:lang w:val="en-US" w:eastAsia="en-US"/>
        </w:rPr>
        <w:t>to prevent the person in question …</w:t>
      </w:r>
      <w:r w:rsidRPr="0019789C">
        <w:rPr>
          <w:rFonts w:eastAsia="Times New Roman"/>
          <w:lang w:val="en-US" w:eastAsia="en-US"/>
        </w:rPr>
        <w:t> causing an unlawful obstruction of the highway’.</w:t>
      </w:r>
    </w:p>
  </w:footnote>
  <w:footnote w:id="878">
    <w:p w14:paraId="4BE8B167" w14:textId="2C981F6C"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 xml:space="preserve">Attorney General v PYA Quarries </w:t>
      </w:r>
      <w:r w:rsidRPr="0019789C">
        <w:rPr>
          <w:rStyle w:val="fncaseChar"/>
          <w:i w:val="0"/>
          <w:iCs/>
        </w:rPr>
        <w:t xml:space="preserve">(n </w:t>
      </w:r>
      <w:r w:rsidRPr="0019789C">
        <w:rPr>
          <w:rStyle w:val="fncaseChar"/>
          <w:i w:val="0"/>
          <w:iCs/>
        </w:rPr>
        <w:fldChar w:fldCharType="begin"/>
      </w:r>
      <w:r w:rsidRPr="0019789C">
        <w:rPr>
          <w:rStyle w:val="fncaseChar"/>
          <w:i w:val="0"/>
          <w:iCs/>
        </w:rPr>
        <w:instrText xml:space="preserve"> NOTEREF _Ref94101263 \h </w:instrText>
      </w:r>
      <w:r>
        <w:rPr>
          <w:rStyle w:val="fncaseChar"/>
          <w:i w:val="0"/>
          <w:iCs/>
        </w:rPr>
        <w:instrText xml:space="preserve"> \* MERGEFORMAT </w:instrText>
      </w:r>
      <w:r w:rsidRPr="0019789C">
        <w:rPr>
          <w:rStyle w:val="fncaseChar"/>
          <w:i w:val="0"/>
          <w:iCs/>
        </w:rPr>
      </w:r>
      <w:r w:rsidRPr="0019789C">
        <w:rPr>
          <w:rStyle w:val="fncaseChar"/>
          <w:i w:val="0"/>
          <w:iCs/>
        </w:rPr>
        <w:fldChar w:fldCharType="separate"/>
      </w:r>
      <w:r w:rsidR="00AD46EC">
        <w:rPr>
          <w:rStyle w:val="fncaseChar"/>
          <w:i w:val="0"/>
          <w:iCs/>
        </w:rPr>
        <w:t>722</w:t>
      </w:r>
      <w:r w:rsidRPr="0019789C">
        <w:rPr>
          <w:rStyle w:val="fncaseChar"/>
          <w:i w:val="0"/>
          <w:iCs/>
        </w:rPr>
        <w:fldChar w:fldCharType="end"/>
      </w:r>
      <w:r w:rsidRPr="0019789C">
        <w:rPr>
          <w:rStyle w:val="fncaseChar"/>
          <w:i w:val="0"/>
          <w:iCs/>
        </w:rPr>
        <w:t xml:space="preserve">) </w:t>
      </w:r>
      <w:r w:rsidRPr="0019789C">
        <w:t>184: ‘any nuisance is public which materially affects the reasonable comfort and convenience of life of a class of her Majesty’s subjects. The sphere may be described generally as the neighbourhood, but the question whether the local community within that sphere comprises a sufficient number of persons to constitute a class of the public is a question of fact in every case.’ (Romer LJ).</w:t>
      </w:r>
    </w:p>
  </w:footnote>
  <w:footnote w:id="879">
    <w:p w14:paraId="38EAA757"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 xml:space="preserve">Corby Group v Corby Borough Council </w:t>
      </w:r>
      <w:r w:rsidRPr="0019789C">
        <w:t>[2008] EWCA Civ 463 [29]: ‘The essence of the right that is protected by the crime and tort of public nuisance is the right not to be adversely affected by an unlawful act or omission whose effect is to endanger the life, safety, health etc of the public’.</w:t>
      </w:r>
    </w:p>
  </w:footnote>
  <w:footnote w:id="880">
    <w:p w14:paraId="1D22962A"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Attorney General v Bastow</w:t>
      </w:r>
      <w:r w:rsidRPr="0019789C">
        <w:t xml:space="preserve"> [1957] 1 QB 514; Local Government Act 1972, s 222.</w:t>
      </w:r>
    </w:p>
  </w:footnote>
  <w:footnote w:id="881">
    <w:p w14:paraId="52E78FC4"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Jacobs v London County Council</w:t>
      </w:r>
      <w:r w:rsidRPr="0019789C">
        <w:rPr>
          <w:rStyle w:val="fncaseChar"/>
          <w:rFonts w:cs="Arial"/>
        </w:rPr>
        <w:t xml:space="preserve"> </w:t>
      </w:r>
      <w:r w:rsidRPr="0019789C">
        <w:t>[1950] AC 361, 375.</w:t>
      </w:r>
    </w:p>
  </w:footnote>
  <w:footnote w:id="882">
    <w:p w14:paraId="1883291F" w14:textId="7862ECDE" w:rsidR="0019789C" w:rsidRPr="0019789C" w:rsidRDefault="0019789C" w:rsidP="001300A7">
      <w:pPr>
        <w:pStyle w:val="fntxt"/>
      </w:pPr>
      <w:r w:rsidRPr="0019789C">
        <w:rPr>
          <w:rStyle w:val="FootnoteReference"/>
          <w:rFonts w:cs="Arial"/>
        </w:rPr>
        <w:footnoteRef/>
      </w:r>
      <w:r w:rsidRPr="0019789C">
        <w:t xml:space="preserve"> Part C2.3 above addresses the third category – individual action for public nuisance.</w:t>
      </w:r>
    </w:p>
  </w:footnote>
  <w:footnote w:id="883">
    <w:p w14:paraId="7ACD58B5" w14:textId="348DA5DF"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 xml:space="preserve">Attorney General v PYA Quarries </w:t>
      </w:r>
      <w:r w:rsidRPr="0019789C">
        <w:rPr>
          <w:rStyle w:val="fncaseChar"/>
          <w:i w:val="0"/>
          <w:iCs/>
        </w:rPr>
        <w:t xml:space="preserve">(n </w:t>
      </w:r>
      <w:r w:rsidRPr="0019789C">
        <w:rPr>
          <w:rStyle w:val="fncaseChar"/>
          <w:i w:val="0"/>
          <w:iCs/>
        </w:rPr>
        <w:fldChar w:fldCharType="begin"/>
      </w:r>
      <w:r w:rsidRPr="0019789C">
        <w:rPr>
          <w:rStyle w:val="fncaseChar"/>
          <w:i w:val="0"/>
          <w:iCs/>
        </w:rPr>
        <w:instrText xml:space="preserve"> NOTEREF _Ref94101263 \h </w:instrText>
      </w:r>
      <w:r>
        <w:rPr>
          <w:rStyle w:val="fncaseChar"/>
          <w:i w:val="0"/>
          <w:iCs/>
        </w:rPr>
        <w:instrText xml:space="preserve"> \* MERGEFORMAT </w:instrText>
      </w:r>
      <w:r w:rsidRPr="0019789C">
        <w:rPr>
          <w:rStyle w:val="fncaseChar"/>
          <w:i w:val="0"/>
          <w:iCs/>
        </w:rPr>
      </w:r>
      <w:r w:rsidRPr="0019789C">
        <w:rPr>
          <w:rStyle w:val="fncaseChar"/>
          <w:i w:val="0"/>
          <w:iCs/>
        </w:rPr>
        <w:fldChar w:fldCharType="separate"/>
      </w:r>
      <w:r w:rsidR="00AD46EC">
        <w:rPr>
          <w:rStyle w:val="fncaseChar"/>
          <w:i w:val="0"/>
          <w:iCs/>
        </w:rPr>
        <w:t>722</w:t>
      </w:r>
      <w:r w:rsidRPr="0019789C">
        <w:rPr>
          <w:rStyle w:val="fncaseChar"/>
          <w:i w:val="0"/>
          <w:iCs/>
        </w:rPr>
        <w:fldChar w:fldCharType="end"/>
      </w:r>
      <w:r w:rsidRPr="0019789C">
        <w:rPr>
          <w:rStyle w:val="fncaseChar"/>
          <w:i w:val="0"/>
          <w:iCs/>
        </w:rPr>
        <w:t xml:space="preserve">) </w:t>
      </w:r>
      <w:r w:rsidRPr="0019789C">
        <w:t>191 (Denning LJ).</w:t>
      </w:r>
    </w:p>
  </w:footnote>
  <w:footnote w:id="884">
    <w:p w14:paraId="32D11EC7" w14:textId="73C56917"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w:t>
      </w:r>
      <w:r w:rsidRPr="0019789C">
        <w:rPr>
          <w:shd w:val="clear" w:color="auto" w:fill="FFFFFF"/>
        </w:rPr>
        <w:t>[1938] Ch 934</w:t>
      </w:r>
      <w:hyperlink r:id="rId114" w:tooltip="View PDF of Case Report" w:history="1">
        <w:r w:rsidRPr="0019789C">
          <w:rPr>
            <w:rStyle w:val="Hyperlink"/>
            <w:rFonts w:cs="Arial"/>
          </w:rPr>
          <w:t>.</w:t>
        </w:r>
      </w:hyperlink>
    </w:p>
  </w:footnote>
  <w:footnote w:id="885">
    <w:p w14:paraId="1B96780F" w14:textId="77777777"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val="en-US"/>
        </w:rPr>
        <w:t>ibid 941-42.</w:t>
      </w:r>
    </w:p>
  </w:footnote>
  <w:footnote w:id="886">
    <w:p w14:paraId="7688A107" w14:textId="77777777"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val="en-US"/>
        </w:rPr>
        <w:t>ibid 934-35.</w:t>
      </w:r>
    </w:p>
  </w:footnote>
  <w:footnote w:id="887">
    <w:p w14:paraId="7296719E" w14:textId="77777777" w:rsidR="0019789C" w:rsidRPr="0019789C" w:rsidRDefault="0019789C" w:rsidP="001300A7">
      <w:pPr>
        <w:pStyle w:val="fntxt"/>
        <w:rPr>
          <w:lang w:val="en-US"/>
        </w:rPr>
      </w:pPr>
      <w:r w:rsidRPr="0019789C">
        <w:rPr>
          <w:rStyle w:val="FootnoteReference"/>
          <w:rFonts w:cs="Arial"/>
        </w:rPr>
        <w:footnoteRef/>
      </w:r>
      <w:r w:rsidRPr="0019789C">
        <w:t xml:space="preserve"> ibid 940.</w:t>
      </w:r>
    </w:p>
  </w:footnote>
  <w:footnote w:id="888">
    <w:p w14:paraId="10919FC8"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941-42</w:t>
      </w:r>
    </w:p>
  </w:footnote>
  <w:footnote w:id="889">
    <w:p w14:paraId="3DAB65FE"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ibid 942.</w:t>
      </w:r>
    </w:p>
  </w:footnote>
  <w:footnote w:id="890">
    <w:p w14:paraId="73748CCC" w14:textId="77777777" w:rsidR="0019789C" w:rsidRPr="0019789C" w:rsidRDefault="0019789C" w:rsidP="001300A7">
      <w:pPr>
        <w:pStyle w:val="fntxt"/>
        <w:rPr>
          <w:lang w:val="en-US"/>
        </w:rPr>
      </w:pPr>
      <w:r w:rsidRPr="0019789C">
        <w:rPr>
          <w:rStyle w:val="FootnoteReference"/>
          <w:rFonts w:cs="Arial"/>
        </w:rPr>
        <w:footnoteRef/>
      </w:r>
      <w:r w:rsidRPr="0019789C">
        <w:t xml:space="preserve"> ibid 942-43.</w:t>
      </w:r>
    </w:p>
  </w:footnote>
  <w:footnote w:id="891">
    <w:p w14:paraId="594A71E8" w14:textId="63BBCFCC"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R v Rimmington</w:t>
      </w:r>
      <w:r w:rsidRPr="0019789C">
        <w:rPr>
          <w:rStyle w:val="fncaseChar"/>
          <w:rFonts w:cs="Arial"/>
        </w:rPr>
        <w:t xml:space="preserve"> </w:t>
      </w:r>
      <w:r w:rsidRPr="0019789C">
        <w:t xml:space="preserve">[2006] 1 AC 459, 470 (citing </w:t>
      </w:r>
      <w:r w:rsidRPr="0019789C">
        <w:rPr>
          <w:rStyle w:val="fncaseChar"/>
          <w:rFonts w:cs="Arial"/>
        </w:rPr>
        <w:t>Archbold</w:t>
      </w:r>
      <w:r w:rsidRPr="0019789C">
        <w:t>, Criminal Pleading, Evidence and Practice (2005)).</w:t>
      </w:r>
    </w:p>
  </w:footnote>
  <w:footnote w:id="892">
    <w:p w14:paraId="1800BE9B" w14:textId="4A04BEE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Rimmington</w:t>
      </w:r>
      <w:r w:rsidRPr="0019789C">
        <w:rPr>
          <w:rStyle w:val="fncaseChar"/>
          <w:rFonts w:cs="Arial"/>
        </w:rPr>
        <w:t xml:space="preserve"> </w:t>
      </w:r>
      <w:r w:rsidRPr="0019789C">
        <w:t xml:space="preserve">(n </w:t>
      </w:r>
      <w:r w:rsidRPr="0019789C">
        <w:fldChar w:fldCharType="begin"/>
      </w:r>
      <w:r w:rsidRPr="0019789C">
        <w:instrText xml:space="preserve"> NOTEREF _Ref94101213 \h </w:instrText>
      </w:r>
      <w:r>
        <w:instrText xml:space="preserve"> \* MERGEFORMAT </w:instrText>
      </w:r>
      <w:r w:rsidRPr="0019789C">
        <w:fldChar w:fldCharType="separate"/>
      </w:r>
      <w:r w:rsidR="00AD46EC">
        <w:t>891</w:t>
      </w:r>
      <w:r w:rsidRPr="0019789C">
        <w:fldChar w:fldCharType="end"/>
      </w:r>
      <w:r w:rsidRPr="0019789C">
        <w:t>) 479-480; see also Law Commission, ‘Simplification of Criminal Law: Public Nuisance and Outraging Public Decency Law’ (Com No 358, July 2015) paras 3.6-3.7 [noting that between 2003 and 2013, ‘on average 151 defendants per year were proceeded against for public nuisance in a magistrates’ court (including cases later transferred to the Crown Court). Of these, 65 were convicted in the magistrates’ court and 8 received an immediate custodial sentence. In the same period, on average 22 defendants per year were tried for public nuisance in the Crown Court. Of these, 14 were convicted.’]</w:t>
      </w:r>
    </w:p>
  </w:footnote>
  <w:footnote w:id="893">
    <w:p w14:paraId="6F9CF44E" w14:textId="6631173C" w:rsidR="0019789C" w:rsidRPr="0019789C" w:rsidRDefault="0019789C" w:rsidP="001300A7">
      <w:pPr>
        <w:pStyle w:val="fntxt"/>
      </w:pPr>
      <w:r w:rsidRPr="0019789C">
        <w:rPr>
          <w:rStyle w:val="FootnoteReference"/>
          <w:rFonts w:cs="Arial"/>
        </w:rPr>
        <w:footnoteRef/>
      </w:r>
      <w:r w:rsidRPr="0019789C">
        <w:t xml:space="preserve"> Law Commission, ‘Simplification of Criminal Law’ (n </w:t>
      </w:r>
      <w:r w:rsidRPr="0019789C">
        <w:fldChar w:fldCharType="begin"/>
      </w:r>
      <w:r w:rsidRPr="0019789C">
        <w:instrText xml:space="preserve"> NOTEREF _Ref39595558 \h  \* MERGEFORMAT </w:instrText>
      </w:r>
      <w:r w:rsidRPr="0019789C">
        <w:fldChar w:fldCharType="separate"/>
      </w:r>
      <w:r w:rsidR="00AD46EC">
        <w:t>892</w:t>
      </w:r>
      <w:r w:rsidRPr="0019789C">
        <w:fldChar w:fldCharType="end"/>
      </w:r>
      <w:r w:rsidRPr="0019789C">
        <w:t>) para 1.1 (and whether to strengthen the fault element of both offences by introducing a requirement of intention or recklessness).</w:t>
      </w:r>
    </w:p>
  </w:footnote>
  <w:footnote w:id="894">
    <w:p w14:paraId="735556C9" w14:textId="77777777" w:rsidR="0019789C" w:rsidRPr="0019789C" w:rsidRDefault="0019789C" w:rsidP="001300A7">
      <w:pPr>
        <w:pStyle w:val="fntxt"/>
      </w:pPr>
      <w:r w:rsidRPr="0019789C">
        <w:rPr>
          <w:rStyle w:val="FootnoteReference"/>
          <w:rFonts w:cs="Arial"/>
        </w:rPr>
        <w:footnoteRef/>
      </w:r>
      <w:r w:rsidRPr="0019789C">
        <w:t xml:space="preserve"> ibid 50, paras 3.83-84.</w:t>
      </w:r>
    </w:p>
  </w:footnote>
  <w:footnote w:id="895">
    <w:p w14:paraId="2BEF4000" w14:textId="77777777" w:rsidR="0019789C" w:rsidRPr="0019789C" w:rsidRDefault="0019789C" w:rsidP="001300A7">
      <w:pPr>
        <w:pStyle w:val="fntxt"/>
      </w:pPr>
      <w:r w:rsidRPr="0019789C">
        <w:rPr>
          <w:rStyle w:val="FootnoteReference"/>
          <w:rFonts w:cs="Arial"/>
        </w:rPr>
        <w:footnoteRef/>
      </w:r>
      <w:r w:rsidRPr="0019789C">
        <w:t xml:space="preserve"> ibid 28-33, para 3.16, and 47-48, para 3.72.</w:t>
      </w:r>
    </w:p>
  </w:footnote>
  <w:footnote w:id="896">
    <w:p w14:paraId="147717E5" w14:textId="77777777" w:rsidR="0019789C" w:rsidRPr="0019789C" w:rsidRDefault="0019789C" w:rsidP="001300A7">
      <w:pPr>
        <w:pStyle w:val="fntxt"/>
      </w:pPr>
      <w:r w:rsidRPr="0019789C">
        <w:rPr>
          <w:rStyle w:val="FootnoteReference"/>
          <w:rFonts w:cs="Arial"/>
        </w:rPr>
        <w:footnoteRef/>
      </w:r>
      <w:r w:rsidRPr="0019789C">
        <w:t xml:space="preserve"> Environmental Protection Act 1990, ss 79 and 80.</w:t>
      </w:r>
    </w:p>
  </w:footnote>
  <w:footnote w:id="897">
    <w:p w14:paraId="37DC6224" w14:textId="77777777" w:rsidR="0019789C" w:rsidRPr="0019789C" w:rsidRDefault="0019789C" w:rsidP="001300A7">
      <w:pPr>
        <w:pStyle w:val="fntxt"/>
      </w:pPr>
      <w:r w:rsidRPr="0019789C">
        <w:rPr>
          <w:rStyle w:val="FootnoteReference"/>
          <w:rFonts w:cs="Arial"/>
        </w:rPr>
        <w:footnoteRef/>
      </w:r>
      <w:r w:rsidRPr="0019789C">
        <w:t xml:space="preserve"> Local Government Act 1972, s 235 ff.</w:t>
      </w:r>
    </w:p>
  </w:footnote>
  <w:footnote w:id="898">
    <w:p w14:paraId="1CADD087" w14:textId="55A0D093" w:rsidR="0019789C" w:rsidRPr="0019789C" w:rsidRDefault="0019789C" w:rsidP="001300A7">
      <w:pPr>
        <w:pStyle w:val="fntxt"/>
        <w:rPr>
          <w:lang w:val="en-US"/>
        </w:rPr>
      </w:pPr>
      <w:r w:rsidRPr="0019789C">
        <w:rPr>
          <w:rStyle w:val="FootnoteReference"/>
        </w:rPr>
        <w:footnoteRef/>
      </w:r>
      <w:r w:rsidRPr="0019789C">
        <w:t xml:space="preserve"> Law Commission, ‘Simplification of Criminal Law’ (n </w:t>
      </w:r>
      <w:r w:rsidRPr="0019789C">
        <w:fldChar w:fldCharType="begin"/>
      </w:r>
      <w:r w:rsidRPr="0019789C">
        <w:instrText xml:space="preserve"> NOTEREF _Ref39595558 \h  \* MERGEFORMAT </w:instrText>
      </w:r>
      <w:r w:rsidRPr="0019789C">
        <w:fldChar w:fldCharType="separate"/>
      </w:r>
      <w:r w:rsidR="00AD46EC">
        <w:t>892</w:t>
      </w:r>
      <w:r w:rsidRPr="0019789C">
        <w:fldChar w:fldCharType="end"/>
      </w:r>
      <w:r w:rsidRPr="0019789C">
        <w:t>) para 3.87.</w:t>
      </w:r>
    </w:p>
  </w:footnote>
  <w:footnote w:id="899">
    <w:p w14:paraId="53258F87" w14:textId="2390D2F7" w:rsidR="0019789C" w:rsidRPr="0019789C" w:rsidRDefault="0019789C" w:rsidP="001300A7">
      <w:pPr>
        <w:pStyle w:val="fntxt"/>
      </w:pPr>
      <w:r w:rsidRPr="0019789C">
        <w:rPr>
          <w:rStyle w:val="FootnoteReference"/>
          <w:rFonts w:cs="Arial"/>
        </w:rPr>
        <w:footnoteRef/>
      </w:r>
      <w:r w:rsidRPr="0019789C">
        <w:t xml:space="preserve"> ibid, para 3.87 and fn 141 [citing J Spencer, ‘Public Nuisance – a critical examination’ [1989] Cambridge Law Journal 55, 80].</w:t>
      </w:r>
    </w:p>
  </w:footnote>
  <w:footnote w:id="900">
    <w:p w14:paraId="630008A1" w14:textId="65E45F34" w:rsidR="0019789C" w:rsidRPr="0019789C" w:rsidRDefault="0019789C" w:rsidP="001300A7">
      <w:pPr>
        <w:pStyle w:val="fntxt"/>
      </w:pPr>
      <w:r w:rsidRPr="0019789C">
        <w:rPr>
          <w:rStyle w:val="FootnoteReference"/>
          <w:rFonts w:cs="Arial"/>
        </w:rPr>
        <w:footnoteRef/>
      </w:r>
      <w:r w:rsidRPr="0019789C">
        <w:t xml:space="preserve"> ibid, para 3.87.</w:t>
      </w:r>
    </w:p>
  </w:footnote>
  <w:footnote w:id="901">
    <w:p w14:paraId="1357F97C" w14:textId="1C0DA071" w:rsidR="0019789C" w:rsidRPr="0019789C" w:rsidRDefault="0019789C" w:rsidP="001300A7">
      <w:pPr>
        <w:pStyle w:val="fntxt"/>
      </w:pPr>
      <w:r w:rsidRPr="0019789C">
        <w:rPr>
          <w:rStyle w:val="FootnoteReference"/>
          <w:rFonts w:cs="Arial"/>
        </w:rPr>
        <w:footnoteRef/>
      </w:r>
      <w:r w:rsidRPr="0019789C">
        <w:t xml:space="preserve"> Criminal Justice Act 2003, Part 12; Powers of Criminal Courts (Sentencing) Act 2000; Sentencing Council’s Sentencing Guidelines </w:t>
      </w:r>
      <w:r w:rsidRPr="0019789C">
        <w:rPr>
          <w:rStyle w:val="Hyperlink"/>
        </w:rPr>
        <w:t>&lt;</w:t>
      </w:r>
      <w:hyperlink r:id="rId115" w:history="1">
        <w:r w:rsidRPr="0019789C">
          <w:rPr>
            <w:rStyle w:val="Hyperlink"/>
          </w:rPr>
          <w:t>www.sentencingcouncil.org.uk</w:t>
        </w:r>
      </w:hyperlink>
      <w:r w:rsidRPr="0019789C">
        <w:rPr>
          <w:rStyle w:val="Hyperlink"/>
        </w:rPr>
        <w:t>&gt;</w:t>
      </w:r>
      <w:r w:rsidRPr="0019789C">
        <w:t xml:space="preserve"> accessed 24 April 2020.</w:t>
      </w:r>
    </w:p>
  </w:footnote>
  <w:footnote w:id="902">
    <w:p w14:paraId="310ABA3A" w14:textId="47CA76E7" w:rsidR="0019789C" w:rsidRPr="0019789C" w:rsidRDefault="0019789C" w:rsidP="001300A7">
      <w:pPr>
        <w:pStyle w:val="fntxt"/>
        <w:rPr>
          <w:lang w:val="en-US"/>
        </w:rPr>
      </w:pPr>
      <w:r w:rsidRPr="0019789C">
        <w:rPr>
          <w:rStyle w:val="FootnoteReference"/>
          <w:rFonts w:cs="Arial"/>
        </w:rPr>
        <w:footnoteRef/>
      </w:r>
      <w:r w:rsidRPr="0019789C">
        <w:t xml:space="preserve"> Law Commission, ‘Simplification of Criminal Law’ (n </w:t>
      </w:r>
      <w:r w:rsidRPr="0019789C">
        <w:fldChar w:fldCharType="begin"/>
      </w:r>
      <w:r w:rsidRPr="0019789C">
        <w:instrText xml:space="preserve"> NOTEREF _Ref39595558 \h  \* MERGEFORMAT </w:instrText>
      </w:r>
      <w:r w:rsidRPr="0019789C">
        <w:fldChar w:fldCharType="separate"/>
      </w:r>
      <w:r w:rsidR="00AD46EC">
        <w:t>892</w:t>
      </w:r>
      <w:r w:rsidRPr="0019789C">
        <w:fldChar w:fldCharType="end"/>
      </w:r>
      <w:r w:rsidRPr="0019789C">
        <w:t>) para 2.20.</w:t>
      </w:r>
    </w:p>
  </w:footnote>
  <w:footnote w:id="903">
    <w:p w14:paraId="0397150C" w14:textId="6A4EAC51" w:rsidR="0019789C" w:rsidRPr="0019789C" w:rsidRDefault="0019789C" w:rsidP="001300A7">
      <w:pPr>
        <w:pStyle w:val="fntxt"/>
        <w:rPr>
          <w:lang w:val="en-US"/>
        </w:rPr>
      </w:pPr>
      <w:r w:rsidRPr="0019789C">
        <w:rPr>
          <w:rStyle w:val="FootnoteReference"/>
        </w:rPr>
        <w:footnoteRef/>
      </w:r>
      <w:r w:rsidRPr="0019789C">
        <w:t xml:space="preserve"> </w:t>
      </w:r>
      <w:r w:rsidRPr="0019789C">
        <w:rPr>
          <w:rStyle w:val="fncaseChar"/>
        </w:rPr>
        <w:t>Birmingham City Council v Sharif</w:t>
      </w:r>
      <w:r w:rsidRPr="0019789C">
        <w:rPr>
          <w:iCs/>
          <w:color w:val="212121"/>
        </w:rPr>
        <w:t xml:space="preserve"> </w:t>
      </w:r>
      <w:r w:rsidRPr="0019789C">
        <w:rPr>
          <w:rFonts w:eastAsia="Times New Roman"/>
          <w:color w:val="212121"/>
          <w:lang w:val="en-US" w:eastAsia="en-US"/>
        </w:rPr>
        <w:t xml:space="preserve">(n </w:t>
      </w:r>
      <w:r w:rsidRPr="0019789C">
        <w:rPr>
          <w:rFonts w:eastAsia="Times New Roman"/>
          <w:color w:val="212121"/>
          <w:lang w:val="en-US" w:eastAsia="en-US"/>
        </w:rPr>
        <w:fldChar w:fldCharType="begin"/>
      </w:r>
      <w:r w:rsidRPr="0019789C">
        <w:rPr>
          <w:rFonts w:eastAsia="Times New Roman"/>
          <w:color w:val="212121"/>
          <w:lang w:val="en-US" w:eastAsia="en-US"/>
        </w:rPr>
        <w:instrText xml:space="preserve"> NOTEREF _Ref94101523 \h </w:instrText>
      </w:r>
      <w:r>
        <w:rPr>
          <w:rFonts w:eastAsia="Times New Roman"/>
          <w:color w:val="212121"/>
          <w:lang w:val="en-US" w:eastAsia="en-US"/>
        </w:rPr>
        <w:instrText xml:space="preserve"> \* MERGEFORMAT </w:instrText>
      </w:r>
      <w:r w:rsidRPr="0019789C">
        <w:rPr>
          <w:rFonts w:eastAsia="Times New Roman"/>
          <w:color w:val="212121"/>
          <w:lang w:val="en-US" w:eastAsia="en-US"/>
        </w:rPr>
      </w:r>
      <w:r w:rsidRPr="0019789C">
        <w:rPr>
          <w:rFonts w:eastAsia="Times New Roman"/>
          <w:color w:val="212121"/>
          <w:lang w:val="en-US" w:eastAsia="en-US"/>
        </w:rPr>
        <w:fldChar w:fldCharType="separate"/>
      </w:r>
      <w:r w:rsidR="00AD46EC">
        <w:rPr>
          <w:rFonts w:eastAsia="Times New Roman"/>
          <w:color w:val="212121"/>
          <w:lang w:val="en-US" w:eastAsia="en-US"/>
        </w:rPr>
        <w:t>874</w:t>
      </w:r>
      <w:r w:rsidRPr="0019789C">
        <w:rPr>
          <w:rFonts w:eastAsia="Times New Roman"/>
          <w:color w:val="212121"/>
          <w:lang w:val="en-US" w:eastAsia="en-US"/>
        </w:rPr>
        <w:fldChar w:fldCharType="end"/>
      </w:r>
      <w:r w:rsidRPr="0019789C">
        <w:rPr>
          <w:rFonts w:eastAsia="Times New Roman"/>
          <w:color w:val="212121"/>
          <w:lang w:val="en-US" w:eastAsia="en-US"/>
        </w:rPr>
        <w:t>) [33].</w:t>
      </w:r>
    </w:p>
  </w:footnote>
  <w:footnote w:id="904">
    <w:p w14:paraId="560F15E5" w14:textId="1819EF8B" w:rsidR="0019789C" w:rsidRPr="0019789C" w:rsidRDefault="0019789C" w:rsidP="001300A7">
      <w:pPr>
        <w:pStyle w:val="fntxt"/>
      </w:pPr>
      <w:r w:rsidRPr="0019789C">
        <w:rPr>
          <w:rStyle w:val="FootnoteReference"/>
        </w:rPr>
        <w:footnoteRef/>
      </w:r>
      <w:r w:rsidRPr="0019789C">
        <w:t xml:space="preserve"> Abatement is also a possible remedy, which grants permission to enter the defendant’s land in order to take steps to limit or prevent the nuisance.</w:t>
      </w:r>
    </w:p>
  </w:footnote>
  <w:footnote w:id="905">
    <w:p w14:paraId="1BC7D64C" w14:textId="385E209D" w:rsidR="0019789C" w:rsidRPr="0019789C" w:rsidRDefault="0019789C" w:rsidP="001300A7">
      <w:pPr>
        <w:pStyle w:val="fntxt"/>
      </w:pPr>
      <w:r w:rsidRPr="0019789C">
        <w:rPr>
          <w:rStyle w:val="FootnoteReference"/>
          <w:rFonts w:cs="Arial"/>
        </w:rPr>
        <w:footnoteRef/>
      </w:r>
      <w:r w:rsidRPr="0019789C">
        <w:t xml:space="preserve"> Local Government Act 1972, s 222: ‘</w:t>
      </w:r>
      <w:r w:rsidRPr="0019789C">
        <w:rPr>
          <w:rFonts w:eastAsia="Times New Roman"/>
          <w:lang w:val="en-US" w:eastAsia="en-US"/>
        </w:rPr>
        <w:t>(1) Where a local authority consider it expedient for the promotion or protection of the interests of the inhabitants of their area— (a) they may prosecute or defend or appear in any legal proceedings and, in the case of civil proceedings, may institute them in their own name, and (b) they may, in their own name, make representations in the interests of the inhabitants at any public inquiry held by or on behalf of any Minister or public body under any enactment. …’</w:t>
      </w:r>
    </w:p>
  </w:footnote>
  <w:footnote w:id="906">
    <w:p w14:paraId="5C74EEDC" w14:textId="77777777" w:rsidR="0019789C" w:rsidRPr="0019789C" w:rsidRDefault="0019789C" w:rsidP="001300A7">
      <w:pPr>
        <w:pStyle w:val="fntxt"/>
      </w:pPr>
      <w:r w:rsidRPr="0019789C">
        <w:rPr>
          <w:rStyle w:val="FootnoteReference"/>
          <w:rFonts w:cs="Arial"/>
        </w:rPr>
        <w:footnoteRef/>
      </w:r>
      <w:r w:rsidRPr="0019789C">
        <w:t xml:space="preserve"> </w:t>
      </w:r>
      <w:r w:rsidRPr="0019789C">
        <w:rPr>
          <w:rStyle w:val="fncaseChar"/>
        </w:rPr>
        <w:t>Attorney General v Denby</w:t>
      </w:r>
      <w:r w:rsidRPr="0019789C">
        <w:rPr>
          <w:rStyle w:val="FootnoteTextChar"/>
          <w:rFonts w:cs="Arial"/>
        </w:rPr>
        <w:t xml:space="preserve"> [1925] Ch 596, 602 (citations omitted).</w:t>
      </w:r>
    </w:p>
  </w:footnote>
  <w:footnote w:id="907">
    <w:p w14:paraId="0CFC522E" w14:textId="0B909F53" w:rsidR="0019789C" w:rsidRPr="0019789C" w:rsidRDefault="0019789C" w:rsidP="001300A7">
      <w:pPr>
        <w:pStyle w:val="fntxt"/>
        <w:rPr>
          <w:rFonts w:eastAsia="Times New Roman"/>
          <w:lang w:val="en-US" w:eastAsia="en-US"/>
        </w:rPr>
      </w:pPr>
      <w:r w:rsidRPr="0019789C">
        <w:rPr>
          <w:rStyle w:val="FootnoteReference"/>
          <w:rFonts w:cs="Arial"/>
        </w:rPr>
        <w:footnoteRef/>
      </w:r>
      <w:r w:rsidRPr="0019789C">
        <w:t xml:space="preserve"> See </w:t>
      </w:r>
      <w:r w:rsidRPr="0019789C">
        <w:rPr>
          <w:rStyle w:val="fncaseChar"/>
        </w:rPr>
        <w:t>Birmingham City Council v Sharif</w:t>
      </w:r>
      <w:r w:rsidRPr="0019789C">
        <w:rPr>
          <w:iCs/>
        </w:rPr>
        <w:t xml:space="preserve"> </w:t>
      </w:r>
      <w:r w:rsidRPr="0019789C">
        <w:rPr>
          <w:rFonts w:eastAsia="Times New Roman"/>
          <w:color w:val="212121"/>
          <w:lang w:val="en-US" w:eastAsia="en-US"/>
        </w:rPr>
        <w:t xml:space="preserve">(n </w:t>
      </w:r>
      <w:r w:rsidRPr="0019789C">
        <w:rPr>
          <w:rFonts w:eastAsia="Times New Roman"/>
          <w:color w:val="212121"/>
          <w:lang w:val="en-US" w:eastAsia="en-US"/>
        </w:rPr>
        <w:fldChar w:fldCharType="begin"/>
      </w:r>
      <w:r w:rsidRPr="0019789C">
        <w:rPr>
          <w:rFonts w:eastAsia="Times New Roman"/>
          <w:color w:val="212121"/>
          <w:lang w:val="en-US" w:eastAsia="en-US"/>
        </w:rPr>
        <w:instrText xml:space="preserve"> NOTEREF _Ref94101523 \h </w:instrText>
      </w:r>
      <w:r>
        <w:rPr>
          <w:rFonts w:eastAsia="Times New Roman"/>
          <w:color w:val="212121"/>
          <w:lang w:val="en-US" w:eastAsia="en-US"/>
        </w:rPr>
        <w:instrText xml:space="preserve"> \* MERGEFORMAT </w:instrText>
      </w:r>
      <w:r w:rsidRPr="0019789C">
        <w:rPr>
          <w:rFonts w:eastAsia="Times New Roman"/>
          <w:color w:val="212121"/>
          <w:lang w:val="en-US" w:eastAsia="en-US"/>
        </w:rPr>
      </w:r>
      <w:r w:rsidRPr="0019789C">
        <w:rPr>
          <w:rFonts w:eastAsia="Times New Roman"/>
          <w:color w:val="212121"/>
          <w:lang w:val="en-US" w:eastAsia="en-US"/>
        </w:rPr>
        <w:fldChar w:fldCharType="separate"/>
      </w:r>
      <w:r w:rsidR="00AD46EC">
        <w:rPr>
          <w:rFonts w:eastAsia="Times New Roman"/>
          <w:color w:val="212121"/>
          <w:lang w:val="en-US" w:eastAsia="en-US"/>
        </w:rPr>
        <w:t>874</w:t>
      </w:r>
      <w:r w:rsidRPr="0019789C">
        <w:rPr>
          <w:rFonts w:eastAsia="Times New Roman"/>
          <w:color w:val="212121"/>
          <w:lang w:val="en-US" w:eastAsia="en-US"/>
        </w:rPr>
        <w:fldChar w:fldCharType="end"/>
      </w:r>
      <w:r w:rsidRPr="0019789C">
        <w:rPr>
          <w:rFonts w:eastAsia="Times New Roman"/>
          <w:color w:val="212121"/>
          <w:lang w:val="en-US" w:eastAsia="en-US"/>
        </w:rPr>
        <w:t>)</w:t>
      </w:r>
      <w:r w:rsidRPr="0019789C">
        <w:rPr>
          <w:rFonts w:eastAsia="Times New Roman"/>
          <w:lang w:val="en-US" w:eastAsia="en-US"/>
        </w:rPr>
        <w:t xml:space="preserve">; specific to obstructions, </w:t>
      </w:r>
      <w:r w:rsidRPr="0019789C">
        <w:rPr>
          <w:rFonts w:eastAsia="Times New Roman"/>
          <w:shd w:val="clear" w:color="auto" w:fill="FFFFFF"/>
          <w:lang w:val="en-US" w:eastAsia="en-US"/>
        </w:rPr>
        <w:t>see two cases involving travelers setting up encampments:</w:t>
      </w:r>
      <w:r w:rsidRPr="0019789C">
        <w:t xml:space="preserve"> </w:t>
      </w:r>
      <w:r w:rsidRPr="0019789C">
        <w:rPr>
          <w:rStyle w:val="fncaseChar"/>
        </w:rPr>
        <w:t>Tendering District Council v Persons Unknown</w:t>
      </w:r>
      <w:r w:rsidRPr="0019789C">
        <w:rPr>
          <w:rFonts w:eastAsia="Times New Roman"/>
          <w:lang w:val="en-US" w:eastAsia="en-US"/>
        </w:rPr>
        <w:t xml:space="preserve"> [2016] EWHC 2050 (QB) (</w:t>
      </w:r>
      <w:r w:rsidRPr="0019789C">
        <w:t>injunction refused</w:t>
      </w:r>
      <w:r w:rsidRPr="0019789C">
        <w:rPr>
          <w:rFonts w:eastAsia="Times New Roman"/>
          <w:lang w:val="en-US" w:eastAsia="en-US"/>
        </w:rPr>
        <w:t>)</w:t>
      </w:r>
      <w:r w:rsidRPr="0019789C">
        <w:rPr>
          <w:rFonts w:eastAsia="Times New Roman"/>
          <w:shd w:val="clear" w:color="auto" w:fill="FFFFFF"/>
          <w:lang w:val="en-US" w:eastAsia="en-US"/>
        </w:rPr>
        <w:t xml:space="preserve">; </w:t>
      </w:r>
      <w:r w:rsidRPr="0019789C">
        <w:rPr>
          <w:rStyle w:val="fncaseChar"/>
        </w:rPr>
        <w:t>London Borough of Ealing v Connors</w:t>
      </w:r>
      <w:r w:rsidRPr="0019789C">
        <w:rPr>
          <w:rFonts w:eastAsia="Times New Roman"/>
          <w:lang w:val="en-US" w:eastAsia="en-US"/>
        </w:rPr>
        <w:t xml:space="preserve"> [2016] EWHC 1387 (QB) (</w:t>
      </w:r>
      <w:r w:rsidRPr="0019789C">
        <w:rPr>
          <w:rFonts w:eastAsia="Times New Roman"/>
          <w:shd w:val="clear" w:color="auto" w:fill="FFFFFF"/>
          <w:lang w:val="en-US" w:eastAsia="en-US"/>
        </w:rPr>
        <w:t>injunction granted but with a narrower scope</w:t>
      </w:r>
      <w:r w:rsidRPr="0019789C">
        <w:rPr>
          <w:rFonts w:eastAsia="Times New Roman"/>
          <w:lang w:val="en-US" w:eastAsia="en-US"/>
        </w:rPr>
        <w:t>)</w:t>
      </w:r>
      <w:r w:rsidRPr="0019789C">
        <w:rPr>
          <w:rFonts w:eastAsia="Times New Roman"/>
          <w:shd w:val="clear" w:color="auto" w:fill="FFFFFF"/>
          <w:lang w:val="en-US" w:eastAsia="en-US"/>
        </w:rPr>
        <w:t xml:space="preserve">. </w:t>
      </w:r>
    </w:p>
  </w:footnote>
  <w:footnote w:id="908">
    <w:p w14:paraId="46E96389" w14:textId="2973FFA5" w:rsidR="0019789C" w:rsidRPr="0019789C" w:rsidRDefault="0019789C" w:rsidP="001300A7">
      <w:pPr>
        <w:pStyle w:val="fntxt"/>
        <w:rPr>
          <w:lang w:val="en-US"/>
        </w:rPr>
      </w:pPr>
      <w:r w:rsidRPr="0019789C">
        <w:rPr>
          <w:rStyle w:val="FootnoteReference"/>
          <w:rFonts w:cs="Arial"/>
        </w:rPr>
        <w:footnoteRef/>
      </w:r>
      <w:r w:rsidRPr="0019789C">
        <w:t xml:space="preserve"> Law Commission, ‘Simplification of Criminal Law’ (n </w:t>
      </w:r>
      <w:r w:rsidRPr="0019789C">
        <w:fldChar w:fldCharType="begin"/>
      </w:r>
      <w:r w:rsidRPr="0019789C">
        <w:instrText xml:space="preserve"> NOTEREF _Ref39595558 \h  \* MERGEFORMAT </w:instrText>
      </w:r>
      <w:r w:rsidRPr="0019789C">
        <w:fldChar w:fldCharType="separate"/>
      </w:r>
      <w:r w:rsidR="00AD46EC">
        <w:t>892</w:t>
      </w:r>
      <w:r w:rsidRPr="0019789C">
        <w:fldChar w:fldCharType="end"/>
      </w:r>
      <w:r w:rsidRPr="0019789C">
        <w:t>) para 2.20.</w:t>
      </w:r>
    </w:p>
  </w:footnote>
  <w:footnote w:id="909">
    <w:p w14:paraId="029C5AC9" w14:textId="77777777"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[2006] 1 AC 459.</w:t>
      </w:r>
    </w:p>
  </w:footnote>
  <w:footnote w:id="910">
    <w:p w14:paraId="43538698" w14:textId="062F2D25"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val="en-US"/>
        </w:rPr>
        <w:t>ibid 479 (Lord Bingham).</w:t>
      </w:r>
    </w:p>
  </w:footnote>
  <w:footnote w:id="911">
    <w:p w14:paraId="765F4A30" w14:textId="77777777" w:rsidR="0019789C" w:rsidRPr="0019789C" w:rsidRDefault="0019789C" w:rsidP="001300A7">
      <w:pPr>
        <w:pStyle w:val="fntxt"/>
        <w:rPr>
          <w:rStyle w:val="FootnoteTextChar"/>
          <w:lang w:val="en-US" w:eastAsia="en-US"/>
        </w:rPr>
      </w:pPr>
      <w:r w:rsidRPr="0019789C">
        <w:rPr>
          <w:rStyle w:val="FootnoteReference"/>
        </w:rPr>
        <w:footnoteRef/>
      </w:r>
      <w:r w:rsidRPr="0019789C">
        <w:t xml:space="preserve"> </w:t>
      </w:r>
      <w:r w:rsidRPr="0019789C">
        <w:rPr>
          <w:rStyle w:val="fncaseChar"/>
        </w:rPr>
        <w:t>Williams v Devon County Council</w:t>
      </w:r>
      <w:r w:rsidRPr="0019789C">
        <w:rPr>
          <w:rStyle w:val="FootnoteTextChar"/>
          <w:lang w:val="en-US" w:eastAsia="en-US"/>
        </w:rPr>
        <w:t xml:space="preserve"> </w:t>
      </w:r>
      <w:r w:rsidRPr="0019789C">
        <w:rPr>
          <w:rStyle w:val="FootnoteTextChar"/>
        </w:rPr>
        <w:t>[</w:t>
      </w:r>
      <w:r w:rsidRPr="0019789C">
        <w:rPr>
          <w:rStyle w:val="FootnoteTextChar"/>
          <w:lang w:val="en-US" w:eastAsia="en-US"/>
        </w:rPr>
        <w:t>1967</w:t>
      </w:r>
      <w:r w:rsidRPr="0019789C">
        <w:rPr>
          <w:rStyle w:val="FootnoteTextChar"/>
        </w:rPr>
        <w:t>]</w:t>
      </w:r>
      <w:r w:rsidRPr="0019789C">
        <w:rPr>
          <w:rStyle w:val="FootnoteTextChar"/>
          <w:lang w:val="en-US" w:eastAsia="en-US"/>
        </w:rPr>
        <w:t xml:space="preserve"> </w:t>
      </w:r>
      <w:r w:rsidRPr="0019789C">
        <w:rPr>
          <w:rStyle w:val="FootnoteTextChar"/>
        </w:rPr>
        <w:t>CLY 1795; see also Highways Act 1980, s 96, which contains powers of highway and local authorities to plant trees, lay out grass verges, etc, specifically subsection (6) which requires authorities to ensure that trees do not hinder the reasonable use of the highway: ‘No tree, shrub, grass verge, guard or fence shall be planted, laid out or erected under this section, or, if planted, laid out or erected under this section, allowed to remain, in such a situation as to hinder the reasonable use of the highway by any person entitled to use it, or so as to be a nuisance or injurious to the owner or occupier of premises adjacent to the highway.’</w:t>
      </w:r>
    </w:p>
  </w:footnote>
  <w:footnote w:id="912">
    <w:p w14:paraId="40AE0388" w14:textId="5AD7A2E7" w:rsidR="0019789C" w:rsidRPr="0019789C" w:rsidRDefault="0019789C" w:rsidP="001300A7">
      <w:pPr>
        <w:pStyle w:val="fntxt"/>
      </w:pPr>
      <w:r w:rsidRPr="0019789C">
        <w:rPr>
          <w:rStyle w:val="FootnoteReference"/>
          <w:rFonts w:cs="Arial"/>
        </w:rPr>
        <w:footnoteRef/>
      </w:r>
      <w:r w:rsidRPr="0019789C">
        <w:t xml:space="preserve"> See, in particular, s 150(2), set out above.</w:t>
      </w:r>
    </w:p>
  </w:footnote>
  <w:footnote w:id="913">
    <w:p w14:paraId="6ECA480D" w14:textId="77777777" w:rsidR="0019789C" w:rsidRPr="0019789C" w:rsidRDefault="0019789C" w:rsidP="001300A7">
      <w:pPr>
        <w:pStyle w:val="fntxt"/>
      </w:pPr>
      <w:r w:rsidRPr="0019789C">
        <w:rPr>
          <w:rStyle w:val="FootnoteReference"/>
          <w:rFonts w:cs="Arial"/>
        </w:rPr>
        <w:footnoteRef/>
      </w:r>
      <w:r w:rsidRPr="0019789C">
        <w:t xml:space="preserve"> [2010] EWCA Civ 1282, [2011] 3 All ER 348.</w:t>
      </w:r>
    </w:p>
  </w:footnote>
  <w:footnote w:id="914">
    <w:p w14:paraId="613B1E25" w14:textId="77777777" w:rsidR="0019789C" w:rsidRPr="0019789C" w:rsidRDefault="0019789C" w:rsidP="001300A7">
      <w:pPr>
        <w:pStyle w:val="fntxt"/>
      </w:pPr>
      <w:r w:rsidRPr="0019789C">
        <w:rPr>
          <w:rStyle w:val="FootnoteReference"/>
          <w:rFonts w:cs="Arial"/>
        </w:rPr>
        <w:footnoteRef/>
      </w:r>
      <w:r w:rsidRPr="0019789C">
        <w:t xml:space="preserve"> [2010] EWCA Civ 1358, [2010] All ER (D) 77 (Dec).</w:t>
      </w:r>
    </w:p>
  </w:footnote>
  <w:footnote w:id="915">
    <w:p w14:paraId="3400625C" w14:textId="4EDC194B" w:rsidR="0019789C" w:rsidRPr="0019789C" w:rsidRDefault="0019789C" w:rsidP="001300A7">
      <w:pPr>
        <w:pStyle w:val="fntxt"/>
        <w:rPr>
          <w:lang w:val="en-US"/>
        </w:rPr>
      </w:pPr>
      <w:r w:rsidRPr="0019789C">
        <w:rPr>
          <w:rStyle w:val="FootnoteReference"/>
          <w:rFonts w:cs="Arial"/>
        </w:rPr>
        <w:footnoteRef/>
      </w:r>
      <w:r w:rsidRPr="0019789C">
        <w:t xml:space="preserve"> </w:t>
      </w:r>
      <w:r w:rsidRPr="0019789C">
        <w:rPr>
          <w:lang w:val="en-US"/>
        </w:rPr>
        <w:t>See above Part C.</w:t>
      </w:r>
    </w:p>
  </w:footnote>
  <w:footnote w:id="916">
    <w:p w14:paraId="0DCA3300" w14:textId="77777777" w:rsidR="0019789C" w:rsidRPr="0019789C" w:rsidRDefault="0019789C" w:rsidP="001300A7">
      <w:pPr>
        <w:pStyle w:val="fntxt"/>
      </w:pPr>
      <w:r w:rsidRPr="0019789C">
        <w:rPr>
          <w:rStyle w:val="FootnoteReference"/>
          <w:rFonts w:cs="Arial"/>
        </w:rPr>
        <w:footnoteRef/>
      </w:r>
      <w:r w:rsidRPr="0019789C">
        <w:t xml:space="preserve"> Where a public nuisance affects the public right to use a highway, a highway authority may bring proceeding: </w:t>
      </w:r>
      <w:r w:rsidRPr="0019789C">
        <w:rPr>
          <w:rStyle w:val="fncaseChar"/>
        </w:rPr>
        <w:t>Wandsworth LBC v Railtrack plc</w:t>
      </w:r>
      <w:r w:rsidRPr="0019789C">
        <w:t xml:space="preserve"> [2001] EWCA Civ 1236; </w:t>
      </w:r>
      <w:r w:rsidRPr="0019789C">
        <w:rPr>
          <w:rStyle w:val="fncaseChar"/>
        </w:rPr>
        <w:t>Nottingham County Council v Zain (a minor)</w:t>
      </w:r>
      <w:r w:rsidRPr="0019789C">
        <w:rPr>
          <w:rStyle w:val="fncaseChar"/>
          <w:rFonts w:cs="Arial"/>
        </w:rPr>
        <w:t xml:space="preserve"> </w:t>
      </w:r>
      <w:r w:rsidRPr="0019789C">
        <w:t xml:space="preserve">[2001] EWCA Civ 1248. </w:t>
      </w:r>
    </w:p>
  </w:footnote>
  <w:footnote w:id="917">
    <w:p w14:paraId="211336BB" w14:textId="77777777" w:rsidR="0019789C" w:rsidRPr="0019789C" w:rsidRDefault="0019789C" w:rsidP="001300A7">
      <w:pPr>
        <w:pStyle w:val="fntxt"/>
        <w:rPr>
          <w:rFonts w:eastAsia="Times New Roman"/>
          <w:lang w:val="en-US" w:eastAsia="en-US"/>
        </w:rPr>
      </w:pPr>
      <w:r w:rsidRPr="0019789C">
        <w:rPr>
          <w:rStyle w:val="FootnoteReference"/>
        </w:rPr>
        <w:footnoteRef/>
      </w:r>
      <w:r w:rsidRPr="0019789C">
        <w:t xml:space="preserve"> Transport (Scotland) Act 2019, s 50(1)-(4). </w:t>
      </w:r>
    </w:p>
  </w:footnote>
  <w:footnote w:id="918">
    <w:p w14:paraId="79277275" w14:textId="77777777" w:rsidR="0019789C" w:rsidRPr="0019789C" w:rsidRDefault="0019789C" w:rsidP="001300A7">
      <w:pPr>
        <w:pStyle w:val="fntxt"/>
        <w:rPr>
          <w:lang w:val="en-US"/>
        </w:rPr>
      </w:pPr>
      <w:r w:rsidRPr="0019789C">
        <w:rPr>
          <w:rStyle w:val="FootnoteReference"/>
        </w:rPr>
        <w:footnoteRef/>
      </w:r>
      <w:r w:rsidRPr="0019789C">
        <w:t xml:space="preserve"> Transport (Scotland) Act 2019, s 54.</w:t>
      </w:r>
    </w:p>
  </w:footnote>
  <w:footnote w:id="919">
    <w:p w14:paraId="795EDA20" w14:textId="77777777" w:rsidR="0019789C" w:rsidRPr="0019789C" w:rsidRDefault="0019789C" w:rsidP="001300A7">
      <w:pPr>
        <w:pStyle w:val="fntxt"/>
        <w:rPr>
          <w:lang w:val="en-US"/>
        </w:rPr>
      </w:pPr>
      <w:r w:rsidRPr="0019789C">
        <w:rPr>
          <w:rStyle w:val="FootnoteReference"/>
        </w:rPr>
        <w:footnoteRef/>
      </w:r>
      <w:r w:rsidRPr="0019789C">
        <w:t xml:space="preserve"> Transport (Scotland) Act 2019, s 55(2)-(3).</w:t>
      </w:r>
    </w:p>
  </w:footnote>
  <w:footnote w:id="920">
    <w:p w14:paraId="46E305EB" w14:textId="77777777" w:rsidR="0019789C" w:rsidRPr="0019789C" w:rsidRDefault="0019789C" w:rsidP="001300A7">
      <w:pPr>
        <w:pStyle w:val="fntxt"/>
        <w:rPr>
          <w:lang w:val="en-US"/>
        </w:rPr>
      </w:pPr>
      <w:r w:rsidRPr="0019789C">
        <w:rPr>
          <w:rStyle w:val="FootnoteReference"/>
        </w:rPr>
        <w:footnoteRef/>
      </w:r>
      <w:r w:rsidRPr="0019789C">
        <w:t xml:space="preserve"> Transport (Scotland) Act 2019, s 55(6)</w:t>
      </w:r>
    </w:p>
  </w:footnote>
  <w:footnote w:id="921">
    <w:p w14:paraId="0E66F1CC" w14:textId="5E3993AC" w:rsidR="0019789C" w:rsidRPr="0019789C" w:rsidRDefault="0019789C" w:rsidP="001300A7">
      <w:pPr>
        <w:pStyle w:val="fntxt"/>
      </w:pPr>
      <w:r w:rsidRPr="0019789C">
        <w:rPr>
          <w:rStyle w:val="FootnoteReference"/>
        </w:rPr>
        <w:footnoteRef/>
      </w:r>
      <w:r w:rsidRPr="0019789C">
        <w:t xml:space="preserve"> </w:t>
      </w:r>
      <w:r w:rsidRPr="0019789C">
        <w:rPr>
          <w:lang w:val="en-US"/>
        </w:rPr>
        <w:t>Living Streets, ‘</w:t>
      </w:r>
      <w:r w:rsidRPr="0019789C">
        <w:t>Pavement parking ban approved in Scotland’ (2019) &lt;</w:t>
      </w:r>
      <w:hyperlink r:id="rId116" w:history="1">
        <w:r w:rsidRPr="0019789C">
          <w:rPr>
            <w:rStyle w:val="Hyperlink"/>
            <w:rFonts w:cstheme="minorBidi"/>
          </w:rPr>
          <w:t>www.livingstreets.org.uk/get-involved/campaign-with-us/ban-pavement-parking-in-scotland</w:t>
        </w:r>
      </w:hyperlink>
      <w:r w:rsidRPr="0019789C">
        <w:t>&gt;</w:t>
      </w:r>
      <w:r w:rsidRPr="0019789C">
        <w:rPr>
          <w:rStyle w:val="Hyperlink"/>
        </w:rPr>
        <w:t xml:space="preserve"> </w:t>
      </w:r>
      <w:r w:rsidRPr="0019789C">
        <w:t>accessed 24 April 2020</w:t>
      </w:r>
      <w:r w:rsidRPr="0019789C">
        <w:rPr>
          <w:lang w:val="en-US"/>
        </w:rPr>
        <w:t>.</w:t>
      </w:r>
    </w:p>
  </w:footnote>
  <w:footnote w:id="922">
    <w:p w14:paraId="1E56E864" w14:textId="77777777" w:rsidR="0019789C" w:rsidRPr="0019789C" w:rsidRDefault="0019789C" w:rsidP="001300A7">
      <w:pPr>
        <w:pStyle w:val="fntxt"/>
        <w:rPr>
          <w:lang w:val="en-US"/>
        </w:rPr>
      </w:pPr>
      <w:r w:rsidRPr="0019789C">
        <w:rPr>
          <w:rStyle w:val="FootnoteReference"/>
        </w:rPr>
        <w:footnoteRef/>
      </w:r>
      <w:r w:rsidRPr="0019789C">
        <w:t xml:space="preserve"> Transport (Scotland) Act 2019, s 57.</w:t>
      </w:r>
    </w:p>
  </w:footnote>
  <w:footnote w:id="923">
    <w:p w14:paraId="071E1089" w14:textId="77777777" w:rsidR="0019789C" w:rsidRPr="0019789C" w:rsidRDefault="0019789C" w:rsidP="001300A7">
      <w:pPr>
        <w:pStyle w:val="fntxt"/>
      </w:pPr>
      <w:r w:rsidRPr="0019789C">
        <w:rPr>
          <w:rStyle w:val="FootnoteReference"/>
          <w:rFonts w:cs="Arial"/>
        </w:rPr>
        <w:footnoteRef/>
      </w:r>
      <w:r w:rsidRPr="0019789C">
        <w:t xml:space="preserve"> Greater London Council (General Powers) Act 1974, s 15(3).</w:t>
      </w:r>
    </w:p>
  </w:footnote>
  <w:footnote w:id="924">
    <w:p w14:paraId="276D00D5" w14:textId="77777777" w:rsidR="0019789C" w:rsidRPr="0019789C" w:rsidRDefault="0019789C" w:rsidP="001300A7">
      <w:pPr>
        <w:pStyle w:val="fntxt"/>
        <w:rPr>
          <w:lang w:val="en-US"/>
        </w:rPr>
      </w:pPr>
      <w:r w:rsidRPr="0019789C">
        <w:rPr>
          <w:rStyle w:val="FootnoteReference"/>
        </w:rPr>
        <w:footnoteRef/>
      </w:r>
      <w:r w:rsidRPr="0019789C">
        <w:t xml:space="preserve"> Road Traffic Regulation Act 1984, ss 1-5</w:t>
      </w:r>
    </w:p>
  </w:footnote>
  <w:footnote w:id="925">
    <w:p w14:paraId="1BC5B38A" w14:textId="796FC58D" w:rsidR="0019789C" w:rsidRPr="0019789C" w:rsidRDefault="0019789C" w:rsidP="001300A7">
      <w:pPr>
        <w:pStyle w:val="fntxt"/>
      </w:pPr>
      <w:r w:rsidRPr="0019789C">
        <w:rPr>
          <w:rStyle w:val="FootnoteReference"/>
          <w:rFonts w:cs="Arial"/>
        </w:rPr>
        <w:footnoteRef/>
      </w:r>
      <w:r w:rsidRPr="0019789C">
        <w:t xml:space="preserve"> Page, ‘</w:t>
      </w:r>
      <w:r w:rsidRPr="0019789C">
        <w:rPr>
          <w:lang w:val="en-US" w:eastAsia="en-US"/>
        </w:rPr>
        <w:t>Pavement and on-street parking in England</w:t>
      </w:r>
      <w:r w:rsidRPr="0019789C">
        <w:t xml:space="preserve">’ (n </w:t>
      </w:r>
      <w:r w:rsidRPr="0019789C">
        <w:fldChar w:fldCharType="begin"/>
      </w:r>
      <w:r w:rsidRPr="0019789C">
        <w:instrText xml:space="preserve"> NOTEREF _Ref39668381 \h  \* MERGEFORMAT </w:instrText>
      </w:r>
      <w:r w:rsidRPr="0019789C">
        <w:fldChar w:fldCharType="separate"/>
      </w:r>
      <w:r w:rsidR="00AD46EC">
        <w:t>115</w:t>
      </w:r>
      <w:r w:rsidRPr="0019789C">
        <w:fldChar w:fldCharType="end"/>
      </w:r>
      <w:r w:rsidRPr="0019789C">
        <w:t>) 10.</w:t>
      </w:r>
    </w:p>
  </w:footnote>
  <w:footnote w:id="926">
    <w:p w14:paraId="0A85658A" w14:textId="77777777" w:rsidR="0019789C" w:rsidRPr="0019789C" w:rsidRDefault="0019789C" w:rsidP="001300A7">
      <w:pPr>
        <w:pStyle w:val="fntxt"/>
        <w:rPr>
          <w:lang w:val="en-US"/>
        </w:rPr>
      </w:pPr>
      <w:r w:rsidRPr="0019789C">
        <w:rPr>
          <w:rStyle w:val="FootnoteReference"/>
        </w:rPr>
        <w:footnoteRef/>
      </w:r>
      <w:r w:rsidRPr="0019789C">
        <w:t xml:space="preserve"> Transport (Scotland) Act 2019, s 58(1).</w:t>
      </w:r>
    </w:p>
  </w:footnote>
  <w:footnote w:id="927">
    <w:p w14:paraId="3A951FA6" w14:textId="77777777" w:rsidR="0019789C" w:rsidRPr="0019789C" w:rsidRDefault="0019789C" w:rsidP="001300A7">
      <w:pPr>
        <w:pStyle w:val="fntxt"/>
        <w:rPr>
          <w:lang w:val="en-US"/>
        </w:rPr>
      </w:pPr>
      <w:r w:rsidRPr="0019789C">
        <w:rPr>
          <w:rStyle w:val="FootnoteReference"/>
        </w:rPr>
        <w:footnoteRef/>
      </w:r>
      <w:r w:rsidRPr="0019789C">
        <w:t xml:space="preserve"> Transport (Scotland) Act 2019, s 58(3); see s 58(6) for definitions. </w:t>
      </w:r>
    </w:p>
  </w:footnote>
  <w:footnote w:id="928">
    <w:p w14:paraId="05EBE5D8" w14:textId="77777777" w:rsidR="0019789C" w:rsidRPr="0019789C" w:rsidRDefault="0019789C" w:rsidP="001300A7">
      <w:pPr>
        <w:pStyle w:val="fntxt"/>
        <w:rPr>
          <w:lang w:val="en-US"/>
        </w:rPr>
      </w:pPr>
      <w:r w:rsidRPr="0019789C">
        <w:rPr>
          <w:rStyle w:val="FootnoteReference"/>
        </w:rPr>
        <w:footnoteRef/>
      </w:r>
      <w:r w:rsidRPr="0019789C">
        <w:t xml:space="preserve"> Transport (Scotland) Act 2019, ss 61-63.</w:t>
      </w:r>
    </w:p>
  </w:footnote>
  <w:footnote w:id="929">
    <w:p w14:paraId="45DD4E55" w14:textId="7A1E1C97" w:rsidR="0019789C" w:rsidRPr="0019789C" w:rsidRDefault="0019789C" w:rsidP="001300A7">
      <w:pPr>
        <w:pStyle w:val="fntxt"/>
        <w:rPr>
          <w:lang w:val="en-US" w:eastAsia="en-US"/>
        </w:rPr>
      </w:pPr>
      <w:r w:rsidRPr="0019789C">
        <w:rPr>
          <w:rStyle w:val="FootnoteReference"/>
        </w:rPr>
        <w:footnoteRef/>
      </w:r>
      <w:r w:rsidRPr="0019789C">
        <w:t xml:space="preserve"> Transport (Scotland) Act 2019, ss 59-60.</w:t>
      </w:r>
    </w:p>
  </w:footnote>
  <w:footnote w:id="930">
    <w:p w14:paraId="5612FBED" w14:textId="77777777" w:rsidR="0019789C" w:rsidRPr="0019789C" w:rsidRDefault="0019789C" w:rsidP="001300A7">
      <w:pPr>
        <w:pStyle w:val="fntxt"/>
        <w:rPr>
          <w:lang w:val="en-US"/>
        </w:rPr>
      </w:pPr>
      <w:r w:rsidRPr="0019789C">
        <w:rPr>
          <w:rStyle w:val="FootnoteReference"/>
        </w:rPr>
        <w:footnoteRef/>
      </w:r>
      <w:r w:rsidRPr="0019789C">
        <w:t xml:space="preserve"> Transport (Scotland) Act 2019, s 59(1)-(4).</w:t>
      </w:r>
    </w:p>
  </w:footnote>
  <w:footnote w:id="931">
    <w:p w14:paraId="3157A643" w14:textId="77777777" w:rsidR="0019789C" w:rsidRPr="0019789C" w:rsidRDefault="0019789C" w:rsidP="001300A7">
      <w:pPr>
        <w:pStyle w:val="fntxt"/>
        <w:rPr>
          <w:lang w:val="en-US"/>
        </w:rPr>
      </w:pPr>
      <w:r w:rsidRPr="0019789C">
        <w:rPr>
          <w:rStyle w:val="FootnoteReference"/>
        </w:rPr>
        <w:footnoteRef/>
      </w:r>
      <w:r w:rsidRPr="0019789C">
        <w:t xml:space="preserve"> Road Traffic Regulation Act 1984, s 5(1).</w:t>
      </w:r>
    </w:p>
  </w:footnote>
  <w:footnote w:id="932">
    <w:p w14:paraId="0A923927" w14:textId="6122BFC1" w:rsidR="0019789C" w:rsidRPr="0019789C" w:rsidRDefault="0019789C" w:rsidP="001300A7">
      <w:pPr>
        <w:pStyle w:val="fntxt"/>
        <w:rPr>
          <w:lang w:val="en-US"/>
        </w:rPr>
      </w:pPr>
      <w:r w:rsidRPr="0019789C">
        <w:rPr>
          <w:rStyle w:val="FootnoteReference"/>
          <w:rFonts w:cs="Arial"/>
        </w:rPr>
        <w:footnoteRef/>
      </w:r>
      <w:r w:rsidRPr="0019789C">
        <w:t xml:space="preserve"> Page, ‘</w:t>
      </w:r>
      <w:r w:rsidRPr="0019789C">
        <w:rPr>
          <w:lang w:val="en-US" w:eastAsia="en-US"/>
        </w:rPr>
        <w:t>Pavement and on-street parking in England</w:t>
      </w:r>
      <w:r w:rsidRPr="0019789C">
        <w:t xml:space="preserve">’ (n </w:t>
      </w:r>
      <w:r w:rsidRPr="0019789C">
        <w:fldChar w:fldCharType="begin"/>
      </w:r>
      <w:r w:rsidRPr="0019789C">
        <w:instrText xml:space="preserve"> NOTEREF _Ref39668381 \h  \* MERGEFORMAT </w:instrText>
      </w:r>
      <w:r w:rsidRPr="0019789C">
        <w:fldChar w:fldCharType="separate"/>
      </w:r>
      <w:r w:rsidR="00AD46EC">
        <w:t>115</w:t>
      </w:r>
      <w:r w:rsidRPr="0019789C">
        <w:fldChar w:fldCharType="end"/>
      </w:r>
      <w:r w:rsidRPr="0019789C">
        <w:t xml:space="preserve">) 8; </w:t>
      </w:r>
      <w:r w:rsidRPr="0019789C">
        <w:rPr>
          <w:rFonts w:eastAsia="Times New Roman"/>
          <w:lang w:val="en-US" w:eastAsia="en-US"/>
        </w:rPr>
        <w:t xml:space="preserve">A Rehfisch, ‘Transport (Scotland) Bill: Pavement Parking and Double Parking’ (Scottish Parliament, </w:t>
      </w:r>
      <w:r w:rsidRPr="0019789C">
        <w:t xml:space="preserve">SB 18-70, </w:t>
      </w:r>
      <w:r w:rsidRPr="0019789C">
        <w:rPr>
          <w:rFonts w:eastAsia="Times New Roman"/>
          <w:lang w:val="en-US" w:eastAsia="en-US"/>
        </w:rPr>
        <w:t>30 October 2018</w:t>
      </w:r>
      <w:r w:rsidRPr="0019789C">
        <w:t>) 5.</w:t>
      </w:r>
    </w:p>
  </w:footnote>
  <w:footnote w:id="933">
    <w:p w14:paraId="26A7345B" w14:textId="77777777" w:rsidR="0019789C" w:rsidRPr="0019789C" w:rsidRDefault="0019789C" w:rsidP="001300A7">
      <w:pPr>
        <w:pStyle w:val="fntxt"/>
        <w:rPr>
          <w:lang w:val="en-US"/>
        </w:rPr>
      </w:pPr>
      <w:r w:rsidRPr="0019789C">
        <w:rPr>
          <w:rStyle w:val="FootnoteReference"/>
        </w:rPr>
        <w:footnoteRef/>
      </w:r>
      <w:r w:rsidRPr="0019789C">
        <w:t xml:space="preserve"> Transport (Scotland) Act 2019, s 59(2).</w:t>
      </w:r>
    </w:p>
  </w:footnote>
  <w:footnote w:id="934">
    <w:p w14:paraId="779060D2" w14:textId="77777777" w:rsidR="0019789C" w:rsidRPr="0019789C" w:rsidRDefault="0019789C" w:rsidP="001300A7">
      <w:pPr>
        <w:pStyle w:val="fntxt"/>
        <w:rPr>
          <w:lang w:val="en-US"/>
        </w:rPr>
      </w:pPr>
      <w:r w:rsidRPr="0019789C">
        <w:rPr>
          <w:rStyle w:val="FootnoteReference"/>
        </w:rPr>
        <w:footnoteRef/>
      </w:r>
      <w:r w:rsidRPr="0019789C">
        <w:t xml:space="preserve"> Road Traffic Regulation Act 1984, ss 95-98.</w:t>
      </w:r>
    </w:p>
  </w:footnote>
  <w:footnote w:id="935">
    <w:p w14:paraId="759D3BCE" w14:textId="0A7E7F56" w:rsidR="0019789C" w:rsidRPr="0019789C" w:rsidRDefault="0019789C" w:rsidP="001300A7">
      <w:pPr>
        <w:pStyle w:val="fntxt"/>
        <w:rPr>
          <w:rStyle w:val="fntxtChar"/>
          <w:rFonts w:eastAsia="Times New Roman" w:cs="Arial"/>
          <w:color w:val="121212"/>
          <w:lang w:eastAsia="en-US"/>
        </w:rPr>
      </w:pPr>
      <w:r w:rsidRPr="0019789C">
        <w:rPr>
          <w:rStyle w:val="FootnoteReference"/>
        </w:rPr>
        <w:footnoteRef/>
      </w:r>
      <w:r w:rsidRPr="0019789C">
        <w:t xml:space="preserve"> </w:t>
      </w:r>
      <w:r w:rsidRPr="0019789C">
        <w:rPr>
          <w:rStyle w:val="fncaseChar"/>
        </w:rPr>
        <w:t>Taylor v Goodwin</w:t>
      </w:r>
      <w:r w:rsidRPr="0019789C">
        <w:rPr>
          <w:rStyle w:val="fntxtChar"/>
        </w:rPr>
        <w:t xml:space="preserve"> [1879] 4 QBD </w:t>
      </w:r>
      <w:r w:rsidRPr="0019789C">
        <w:rPr>
          <w:rStyle w:val="fntxtChar"/>
          <w:rFonts w:cs="Arial"/>
        </w:rPr>
        <w:t>228; there have been several high profile cases of cyclists being charged under these provisions, see eg D Gayle, ‘</w:t>
      </w:r>
      <w:r w:rsidRPr="0019789C">
        <w:rPr>
          <w:rFonts w:cs="Arial"/>
          <w:color w:val="121212"/>
        </w:rPr>
        <w:t>Cyclist Charlie Alliston jailed for 18 months over death of pedestrian’ (</w:t>
      </w:r>
      <w:r w:rsidRPr="0019789C">
        <w:rPr>
          <w:rFonts w:cs="Arial"/>
          <w:i/>
          <w:iCs/>
          <w:color w:val="121212"/>
        </w:rPr>
        <w:t>The Guardian</w:t>
      </w:r>
      <w:r w:rsidRPr="0019789C">
        <w:rPr>
          <w:rFonts w:cs="Arial"/>
          <w:color w:val="121212"/>
        </w:rPr>
        <w:t>, 18 September 2017) &lt;</w:t>
      </w:r>
      <w:hyperlink r:id="rId117" w:history="1">
        <w:r w:rsidRPr="0019789C">
          <w:rPr>
            <w:rStyle w:val="Hyperlink"/>
            <w:rFonts w:cs="Arial"/>
          </w:rPr>
          <w:t>www.theguardian.com/lifeandstyle/2017/sep/18/cyclist-charlie-alliston-jailed-for-18-months-over-death-of-pedestrian</w:t>
        </w:r>
      </w:hyperlink>
      <w:r w:rsidRPr="0019789C">
        <w:rPr>
          <w:rFonts w:cs="Arial"/>
          <w:color w:val="121212"/>
        </w:rPr>
        <w:t>&gt; accessed 13 May 2020.</w:t>
      </w:r>
    </w:p>
  </w:footnote>
  <w:footnote w:id="936">
    <w:p w14:paraId="78DF495A" w14:textId="77777777" w:rsidR="0019789C" w:rsidRPr="0019789C" w:rsidRDefault="0019789C" w:rsidP="001300A7">
      <w:pPr>
        <w:pStyle w:val="fntxt"/>
      </w:pPr>
      <w:r w:rsidRPr="0019789C">
        <w:rPr>
          <w:rStyle w:val="FootnoteReference"/>
          <w:rFonts w:cs="Arial"/>
        </w:rPr>
        <w:footnoteRef/>
      </w:r>
      <w:r w:rsidRPr="0019789C">
        <w:t xml:space="preserve"> [2000] EWHC Admin 409.</w:t>
      </w:r>
    </w:p>
  </w:footnote>
  <w:footnote w:id="937">
    <w:p w14:paraId="290E05A5" w14:textId="77777777" w:rsidR="0019789C" w:rsidRPr="0019789C" w:rsidRDefault="0019789C" w:rsidP="001300A7">
      <w:pPr>
        <w:pStyle w:val="fntxt"/>
      </w:pPr>
      <w:r w:rsidRPr="0019789C">
        <w:rPr>
          <w:rStyle w:val="FootnoteReference"/>
          <w:rFonts w:cs="Arial"/>
        </w:rPr>
        <w:footnoteRef/>
      </w:r>
      <w:r w:rsidRPr="0019789C">
        <w:t xml:space="preserve"> [2002] EWHC 1524.</w:t>
      </w:r>
    </w:p>
  </w:footnote>
  <w:footnote w:id="938">
    <w:p w14:paraId="0F251E76" w14:textId="77777777" w:rsidR="0019789C" w:rsidRPr="0019789C" w:rsidRDefault="0019789C" w:rsidP="00F818F6">
      <w:pPr>
        <w:pStyle w:val="fntxt"/>
        <w:rPr>
          <w:lang w:val="en-US"/>
        </w:rPr>
      </w:pPr>
      <w:r w:rsidRPr="0019789C">
        <w:rPr>
          <w:rStyle w:val="FootnoteReference"/>
        </w:rPr>
        <w:footnoteRef/>
      </w:r>
      <w:r w:rsidRPr="0019789C">
        <w:t xml:space="preserve"> See </w:t>
      </w:r>
      <w:r w:rsidRPr="0019789C">
        <w:rPr>
          <w:i/>
          <w:iCs/>
        </w:rPr>
        <w:t>R v Lambert</w:t>
      </w:r>
      <w:r w:rsidRPr="0019789C">
        <w:t xml:space="preserve"> </w:t>
      </w:r>
      <w:r w:rsidRPr="0019789C">
        <w:rPr>
          <w:lang w:val="en-US"/>
        </w:rPr>
        <w:t xml:space="preserve">[2008] EWCA Crim 2109, </w:t>
      </w:r>
      <w:r w:rsidRPr="0019789C">
        <w:t xml:space="preserve">where </w:t>
      </w:r>
      <w:r w:rsidRPr="0019789C">
        <w:rPr>
          <w:lang w:val="en-US"/>
        </w:rPr>
        <w:t>12 months' detention after an early guilty plea was not excessive, as the risk of serious injury to pedestrians was a foreseeable result, and the risk of death was not a wholly unforeseeable result of cycling at high speed on a pavement.</w:t>
      </w:r>
    </w:p>
  </w:footnote>
  <w:footnote w:id="939">
    <w:p w14:paraId="2856ECC1" w14:textId="68115648" w:rsidR="0019789C" w:rsidRPr="0019789C" w:rsidRDefault="0019789C" w:rsidP="001300A7">
      <w:pPr>
        <w:pStyle w:val="fntxt"/>
      </w:pPr>
      <w:r w:rsidRPr="0019789C">
        <w:rPr>
          <w:rStyle w:val="FootnoteReference"/>
          <w:rFonts w:cs="Arial"/>
        </w:rPr>
        <w:footnoteRef/>
      </w:r>
      <w:r w:rsidRPr="0019789C">
        <w:t xml:space="preserve"> Crown Prosecution Service, ‘Road Traffic - Summary Offences’ (last updated 3 January 2019) </w:t>
      </w:r>
      <w:hyperlink r:id="rId118" w:anchor="_Toc536179987&gt;" w:history="1">
        <w:r w:rsidRPr="0019789C">
          <w:rPr>
            <w:rStyle w:val="Hyperlink"/>
            <w:rFonts w:cs="Arial"/>
          </w:rPr>
          <w:t>&lt;www.cps.gov.uk/legal-guidance/road-traffic-summary-offences#_Toc536179987&gt;</w:t>
        </w:r>
      </w:hyperlink>
      <w:r w:rsidRPr="0019789C">
        <w:t xml:space="preserve"> accessed 3 December 2019; </w:t>
      </w:r>
      <w:r w:rsidRPr="0019789C">
        <w:rPr>
          <w:rStyle w:val="fncaseChar"/>
        </w:rPr>
        <w:t>Coates v Crown Prosecution Service</w:t>
      </w:r>
      <w:r w:rsidRPr="0019789C">
        <w:rPr>
          <w:rFonts w:eastAsia="Times New Roman"/>
          <w:shd w:val="clear" w:color="auto" w:fill="FFFFFF"/>
          <w:lang w:val="en-US" w:eastAsia="en-US"/>
        </w:rPr>
        <w:t xml:space="preserve"> [2011] All ER (D) 34 (Aug) (using Segways on the pavement).</w:t>
      </w:r>
    </w:p>
  </w:footnote>
  <w:footnote w:id="940">
    <w:p w14:paraId="5B9866DD" w14:textId="66E7892C" w:rsidR="0019789C" w:rsidRPr="0019789C" w:rsidRDefault="0019789C" w:rsidP="001300A7">
      <w:pPr>
        <w:pStyle w:val="fntxt"/>
      </w:pPr>
      <w:r w:rsidRPr="0019789C">
        <w:rPr>
          <w:rStyle w:val="FootnoteReference"/>
          <w:rFonts w:cs="Arial"/>
        </w:rPr>
        <w:footnoteRef/>
      </w:r>
      <w:r w:rsidRPr="0019789C">
        <w:t xml:space="preserve"> Traffic Management Act 2004, sch 10.</w:t>
      </w:r>
    </w:p>
  </w:footnote>
  <w:footnote w:id="941">
    <w:p w14:paraId="00AF0920" w14:textId="1FDE2FC3" w:rsidR="0019789C" w:rsidRPr="0019789C" w:rsidRDefault="0019789C" w:rsidP="001300A7">
      <w:pPr>
        <w:pStyle w:val="fntxt"/>
      </w:pPr>
      <w:r w:rsidRPr="0019789C">
        <w:rPr>
          <w:rStyle w:val="FootnoteReference"/>
          <w:rFonts w:cs="Arial"/>
        </w:rPr>
        <w:footnoteRef/>
      </w:r>
      <w:r w:rsidRPr="0019789C">
        <w:t xml:space="preserve"> D Mercer, ‘Electric scooters: Criminal damage and traffic collisions among hundreds of police incidents’ (Sky News, 23 September 2019) </w:t>
      </w:r>
      <w:hyperlink r:id="rId119" w:history="1">
        <w:r w:rsidRPr="0019789C">
          <w:rPr>
            <w:rStyle w:val="Hyperlink"/>
            <w:rFonts w:cs="Arial"/>
          </w:rPr>
          <w:t>&lt;https://news.sky.com/story/electric-scooters-criminal-damage-and-traffic-collisions-among-hundreds-of-police-incidents-11790527&gt;</w:t>
        </w:r>
      </w:hyperlink>
      <w:r w:rsidRPr="0019789C">
        <w:t xml:space="preserve"> accessed 31 January 2020.</w:t>
      </w:r>
    </w:p>
  </w:footnote>
  <w:footnote w:id="942">
    <w:p w14:paraId="55FDC61F"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943">
    <w:p w14:paraId="03A687A1" w14:textId="77777777" w:rsidR="0019789C" w:rsidRPr="0019789C" w:rsidRDefault="0019789C" w:rsidP="001300A7">
      <w:pPr>
        <w:pStyle w:val="fntxt"/>
      </w:pPr>
      <w:r w:rsidRPr="0019789C">
        <w:rPr>
          <w:rStyle w:val="FootnoteReference"/>
          <w:rFonts w:cs="Arial"/>
        </w:rPr>
        <w:footnoteRef/>
      </w:r>
      <w:r w:rsidRPr="0019789C">
        <w:t xml:space="preserve"> ibid.</w:t>
      </w:r>
    </w:p>
  </w:footnote>
  <w:footnote w:id="944">
    <w:p w14:paraId="26ADEDCD" w14:textId="1C1FE533" w:rsidR="0019789C" w:rsidRPr="0019789C" w:rsidRDefault="0019789C" w:rsidP="001300A7">
      <w:pPr>
        <w:pStyle w:val="fntxt"/>
      </w:pPr>
      <w:r w:rsidRPr="0019789C">
        <w:rPr>
          <w:rStyle w:val="FootnoteReference"/>
          <w:rFonts w:cs="Arial"/>
        </w:rPr>
        <w:footnoteRef/>
      </w:r>
      <w:r w:rsidRPr="0019789C">
        <w:t xml:space="preserve"> Department for Transport, ‘</w:t>
      </w:r>
      <w:r w:rsidRPr="0019789C">
        <w:rPr>
          <w:rStyle w:val="FootnoteTextChar"/>
        </w:rPr>
        <w:t xml:space="preserve">Future of transport regulatory review' (n </w:t>
      </w:r>
      <w:r w:rsidRPr="0019789C">
        <w:rPr>
          <w:rStyle w:val="FootnoteTextChar"/>
        </w:rPr>
        <w:fldChar w:fldCharType="begin"/>
      </w:r>
      <w:r w:rsidRPr="0019789C">
        <w:rPr>
          <w:rStyle w:val="FootnoteTextChar"/>
        </w:rPr>
        <w:instrText xml:space="preserve"> NOTEREF _Ref94097376 \h  \* MERGEFORMAT </w:instrText>
      </w:r>
      <w:r w:rsidRPr="0019789C">
        <w:rPr>
          <w:rStyle w:val="FootnoteTextChar"/>
        </w:rPr>
      </w:r>
      <w:r w:rsidRPr="0019789C">
        <w:rPr>
          <w:rStyle w:val="FootnoteTextChar"/>
        </w:rPr>
        <w:fldChar w:fldCharType="separate"/>
      </w:r>
      <w:r w:rsidR="00AD46EC">
        <w:rPr>
          <w:rStyle w:val="FootnoteTextChar"/>
        </w:rPr>
        <w:t>123</w:t>
      </w:r>
      <w:r w:rsidRPr="0019789C">
        <w:rPr>
          <w:rStyle w:val="FootnoteTextChar"/>
        </w:rPr>
        <w:fldChar w:fldCharType="end"/>
      </w:r>
      <w:r w:rsidRPr="0019789C">
        <w:rPr>
          <w:rStyle w:val="FootnoteTextChar"/>
        </w:rPr>
        <w:t>)</w:t>
      </w:r>
      <w:r w:rsidRPr="0019789C">
        <w:rPr>
          <w:rFonts w:eastAsia="Times New Roman"/>
          <w:shd w:val="clear" w:color="auto" w:fill="FFFFFF"/>
          <w:lang w:val="en-US" w:eastAsia="en-US"/>
        </w:rPr>
        <w:t>.</w:t>
      </w:r>
    </w:p>
  </w:footnote>
  <w:footnote w:id="945">
    <w:p w14:paraId="619723BE" w14:textId="636FB28F" w:rsidR="0019789C" w:rsidRPr="0019789C" w:rsidRDefault="0019789C" w:rsidP="009D15FF">
      <w:pPr>
        <w:pStyle w:val="FootnoteText"/>
        <w:ind w:left="0" w:firstLine="0"/>
      </w:pPr>
      <w:r w:rsidRPr="0019789C">
        <w:rPr>
          <w:rStyle w:val="FootnoteReference"/>
        </w:rPr>
        <w:footnoteRef/>
      </w:r>
      <w:r w:rsidRPr="0019789C">
        <w:t xml:space="preserve"> See B2.1.</w:t>
      </w:r>
    </w:p>
  </w:footnote>
  <w:footnote w:id="946">
    <w:p w14:paraId="4288A6FD" w14:textId="434E93E6" w:rsidR="0019789C" w:rsidRPr="0019789C" w:rsidRDefault="0019789C" w:rsidP="009D15FF">
      <w:pPr>
        <w:pStyle w:val="FootnoteText"/>
        <w:ind w:left="0" w:firstLine="0"/>
      </w:pPr>
      <w:r w:rsidRPr="0019789C">
        <w:rPr>
          <w:rStyle w:val="FootnoteReference"/>
        </w:rPr>
        <w:footnoteRef/>
      </w:r>
      <w:r w:rsidRPr="0019789C">
        <w:t xml:space="preserve"> See A5.1.2 and A5.2.2.</w:t>
      </w:r>
    </w:p>
  </w:footnote>
  <w:footnote w:id="947">
    <w:p w14:paraId="1C7F1461" w14:textId="4295B36A" w:rsidR="0019789C" w:rsidRPr="0019789C" w:rsidRDefault="0019789C" w:rsidP="009D15FF">
      <w:pPr>
        <w:pStyle w:val="FootnoteText"/>
        <w:ind w:left="0" w:firstLine="0"/>
      </w:pPr>
      <w:r w:rsidRPr="0019789C">
        <w:rPr>
          <w:rStyle w:val="FootnoteReference"/>
        </w:rPr>
        <w:footnoteRef/>
      </w:r>
      <w:r w:rsidRPr="0019789C">
        <w:t xml:space="preserve"> See B1.1(b) and B2.1(b).</w:t>
      </w:r>
    </w:p>
  </w:footnote>
  <w:footnote w:id="948">
    <w:p w14:paraId="69DB9E81" w14:textId="12E67811" w:rsidR="0019789C" w:rsidRPr="0019789C" w:rsidRDefault="0019789C" w:rsidP="009D15FF">
      <w:pPr>
        <w:pStyle w:val="FootnoteText"/>
        <w:ind w:left="0" w:firstLine="0"/>
      </w:pPr>
      <w:r w:rsidRPr="0019789C">
        <w:rPr>
          <w:rStyle w:val="FootnoteReference"/>
        </w:rPr>
        <w:footnoteRef/>
      </w:r>
      <w:r w:rsidRPr="0019789C">
        <w:t xml:space="preserve"> See C1.1(b) and associated sections in Part C on remedies.</w:t>
      </w:r>
    </w:p>
  </w:footnote>
  <w:footnote w:id="949">
    <w:p w14:paraId="17B2BBF6" w14:textId="31A2C847" w:rsidR="0019789C" w:rsidRPr="0019789C" w:rsidRDefault="0019789C" w:rsidP="009D15FF">
      <w:pPr>
        <w:pStyle w:val="FootnoteText"/>
        <w:ind w:left="0" w:firstLine="0"/>
      </w:pPr>
      <w:r w:rsidRPr="0019789C">
        <w:rPr>
          <w:rStyle w:val="FootnoteReference"/>
        </w:rPr>
        <w:footnoteRef/>
      </w:r>
      <w:r w:rsidRPr="0019789C">
        <w:t xml:space="preserve"> See B1.1(c). </w:t>
      </w:r>
    </w:p>
  </w:footnote>
  <w:footnote w:id="950">
    <w:p w14:paraId="218C21D2" w14:textId="4D791131" w:rsidR="0019789C" w:rsidRPr="0019789C" w:rsidRDefault="0019789C" w:rsidP="009D15FF">
      <w:pPr>
        <w:pStyle w:val="FootnoteText"/>
        <w:ind w:left="0" w:firstLine="0"/>
      </w:pPr>
      <w:r w:rsidRPr="0019789C">
        <w:rPr>
          <w:rStyle w:val="FootnoteReference"/>
        </w:rPr>
        <w:footnoteRef/>
      </w:r>
      <w:r w:rsidRPr="0019789C">
        <w:t xml:space="preserve"> See eg House of Commons Women and Equalities Committee, ‘Enforcing the Equality Act’ (n </w:t>
      </w:r>
      <w:r w:rsidRPr="0019789C">
        <w:fldChar w:fldCharType="begin"/>
      </w:r>
      <w:r w:rsidRPr="0019789C">
        <w:instrText xml:space="preserve"> NOTEREF _Ref30502110 \h  \* MERGEFORMAT </w:instrText>
      </w:r>
      <w:r w:rsidRPr="0019789C">
        <w:fldChar w:fldCharType="separate"/>
      </w:r>
      <w:r w:rsidR="00AD46EC">
        <w:t>337</w:t>
      </w:r>
      <w:r w:rsidRPr="0019789C">
        <w:fldChar w:fldCharType="end"/>
      </w:r>
      <w:r w:rsidRPr="0019789C">
        <w:t xml:space="preserve">); House of Commons Women and Equalities Committee, ‘Building for Equality’ (n </w:t>
      </w:r>
      <w:r w:rsidRPr="0019789C">
        <w:fldChar w:fldCharType="begin"/>
      </w:r>
      <w:r w:rsidRPr="0019789C">
        <w:instrText xml:space="preserve"> NOTEREF _Ref39490064 \h  \* MERGEFORMAT </w:instrText>
      </w:r>
      <w:r w:rsidRPr="0019789C">
        <w:fldChar w:fldCharType="separate"/>
      </w:r>
      <w:r w:rsidR="00AD46EC">
        <w:t>68</w:t>
      </w:r>
      <w:r w:rsidRPr="0019789C">
        <w:fldChar w:fldCharType="end"/>
      </w:r>
      <w:r w:rsidRPr="0019789C">
        <w:t>).</w:t>
      </w:r>
    </w:p>
  </w:footnote>
  <w:footnote w:id="951">
    <w:p w14:paraId="70C38D1D" w14:textId="6AFE7445" w:rsidR="0019789C" w:rsidRPr="0019789C" w:rsidRDefault="0019789C" w:rsidP="001300A7">
      <w:pPr>
        <w:pStyle w:val="fntxt"/>
      </w:pPr>
      <w:r w:rsidRPr="0019789C">
        <w:rPr>
          <w:rStyle w:val="FootnoteReference"/>
        </w:rPr>
        <w:footnoteRef/>
      </w:r>
      <w:r w:rsidRPr="0019789C">
        <w:t xml:space="preserve"> </w:t>
      </w:r>
      <w:r w:rsidRPr="0019789C">
        <w:rPr>
          <w:rStyle w:val="fntxtChar"/>
        </w:rPr>
        <w:t>See B1.1, B2.1 and B4.</w:t>
      </w:r>
    </w:p>
  </w:footnote>
  <w:footnote w:id="952">
    <w:p w14:paraId="479FA21B" w14:textId="73AD4E0F"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See C and D generally, more specifically C2 and D2.</w:t>
      </w:r>
    </w:p>
  </w:footnote>
  <w:footnote w:id="953">
    <w:p w14:paraId="6DC4CE1D" w14:textId="41E43628" w:rsidR="0019789C" w:rsidRPr="0019789C" w:rsidRDefault="0019789C" w:rsidP="001300A7">
      <w:pPr>
        <w:pStyle w:val="fntxt"/>
        <w:rPr>
          <w:lang w:val="en-US"/>
        </w:rPr>
      </w:pPr>
      <w:r w:rsidRPr="0019789C">
        <w:rPr>
          <w:rStyle w:val="FootnoteReference"/>
        </w:rPr>
        <w:footnoteRef/>
      </w:r>
      <w:r w:rsidRPr="0019789C">
        <w:t xml:space="preserve"> See B1.1. </w:t>
      </w:r>
    </w:p>
  </w:footnote>
  <w:footnote w:id="954">
    <w:p w14:paraId="74E1BC67" w14:textId="17FD0460"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See C2 and C6.</w:t>
      </w:r>
    </w:p>
  </w:footnote>
  <w:footnote w:id="955">
    <w:p w14:paraId="13059EB3" w14:textId="77777777" w:rsidR="0019789C" w:rsidRPr="0019789C" w:rsidRDefault="0019789C" w:rsidP="001300A7">
      <w:pPr>
        <w:pStyle w:val="fntxt"/>
      </w:pPr>
      <w:r w:rsidRPr="0019789C">
        <w:rPr>
          <w:rStyle w:val="FootnoteReference"/>
          <w:rFonts w:cs="Arial"/>
        </w:rPr>
        <w:footnoteRef/>
      </w:r>
      <w:r w:rsidRPr="0019789C">
        <w:t xml:space="preserve"> See D.</w:t>
      </w:r>
    </w:p>
  </w:footnote>
  <w:footnote w:id="956">
    <w:p w14:paraId="64B8B9B6" w14:textId="1ED4CF07" w:rsidR="0019789C" w:rsidRPr="0019789C" w:rsidRDefault="0019789C" w:rsidP="001300A7">
      <w:pPr>
        <w:pStyle w:val="fntxt"/>
      </w:pPr>
      <w:r w:rsidRPr="0019789C">
        <w:rPr>
          <w:rStyle w:val="FootnoteReference"/>
          <w:rFonts w:cs="Arial"/>
        </w:rPr>
        <w:footnoteRef/>
      </w:r>
      <w:r w:rsidRPr="0019789C">
        <w:t xml:space="preserve"> See B1.1, B2.1 and B4.</w:t>
      </w:r>
    </w:p>
  </w:footnote>
  <w:footnote w:id="957">
    <w:p w14:paraId="4163ECC5" w14:textId="066F6976" w:rsidR="0019789C" w:rsidRPr="0019789C" w:rsidRDefault="0019789C" w:rsidP="001300A7">
      <w:pPr>
        <w:pStyle w:val="fntxt"/>
        <w:rPr>
          <w:lang w:val="en-US"/>
        </w:rPr>
      </w:pPr>
      <w:r w:rsidRPr="0019789C">
        <w:rPr>
          <w:rStyle w:val="FootnoteReference"/>
        </w:rPr>
        <w:footnoteRef/>
      </w:r>
      <w:r w:rsidRPr="0019789C">
        <w:t xml:space="preserve"> </w:t>
      </w:r>
      <w:r w:rsidRPr="0019789C">
        <w:rPr>
          <w:lang w:val="en-US"/>
        </w:rPr>
        <w:t>See C1.1 (b) and C1.2(b).</w:t>
      </w:r>
    </w:p>
  </w:footnote>
  <w:footnote w:id="958">
    <w:p w14:paraId="6F8A0ED7" w14:textId="77777777" w:rsidR="009F6EB7" w:rsidRPr="0019789C" w:rsidRDefault="009F6EB7" w:rsidP="009F6EB7">
      <w:pPr>
        <w:pStyle w:val="fntxt"/>
      </w:pPr>
      <w:r w:rsidRPr="0019789C">
        <w:rPr>
          <w:rStyle w:val="FootnoteReference"/>
          <w:rFonts w:cs="Arial"/>
        </w:rPr>
        <w:footnoteRef/>
      </w:r>
      <w:r w:rsidRPr="0019789C">
        <w:t xml:space="preserve"> Human Rights Act, s 6(3).</w:t>
      </w:r>
    </w:p>
  </w:footnote>
  <w:footnote w:id="959">
    <w:p w14:paraId="1E685222" w14:textId="77777777" w:rsidR="009F6EB7" w:rsidRPr="0019789C" w:rsidRDefault="009F6EB7" w:rsidP="009F6EB7">
      <w:pPr>
        <w:pStyle w:val="fntxt"/>
      </w:pPr>
      <w:r w:rsidRPr="0019789C">
        <w:rPr>
          <w:rStyle w:val="FootnoteReference"/>
          <w:rFonts w:cs="Arial"/>
        </w:rPr>
        <w:footnoteRef/>
      </w:r>
      <w:r w:rsidRPr="0019789C">
        <w:t xml:space="preserve"> Highways Act 1980, s 329(1).</w:t>
      </w:r>
    </w:p>
  </w:footnote>
  <w:footnote w:id="960">
    <w:p w14:paraId="232397ED" w14:textId="77777777" w:rsidR="009F6EB7" w:rsidRPr="0019789C" w:rsidRDefault="009F6EB7" w:rsidP="009F6EB7">
      <w:pPr>
        <w:pStyle w:val="fntxt"/>
      </w:pPr>
      <w:r w:rsidRPr="0019789C">
        <w:rPr>
          <w:rStyle w:val="FootnoteReference"/>
          <w:rFonts w:cs="Arial"/>
        </w:rPr>
        <w:footnoteRef/>
      </w:r>
      <w:r w:rsidRPr="0019789C">
        <w:t xml:space="preserve"> Highways Act 1980, s 329(1).</w:t>
      </w:r>
    </w:p>
  </w:footnote>
  <w:footnote w:id="961">
    <w:p w14:paraId="27883411" w14:textId="77777777" w:rsidR="009F6EB7" w:rsidRPr="0019789C" w:rsidRDefault="009F6EB7" w:rsidP="009F6EB7">
      <w:pPr>
        <w:pStyle w:val="fntxt"/>
      </w:pPr>
      <w:r w:rsidRPr="0019789C">
        <w:rPr>
          <w:rStyle w:val="FootnoteReference"/>
          <w:rFonts w:cs="Arial"/>
        </w:rPr>
        <w:footnoteRef/>
      </w:r>
      <w:r w:rsidRPr="0019789C">
        <w:t xml:space="preserve"> Highways Act 1980, s 329(1).</w:t>
      </w:r>
    </w:p>
  </w:footnote>
  <w:footnote w:id="962">
    <w:p w14:paraId="2F424944" w14:textId="77777777" w:rsidR="009F6EB7" w:rsidRPr="0019789C" w:rsidRDefault="009F6EB7" w:rsidP="009F6EB7">
      <w:pPr>
        <w:pStyle w:val="fntxt"/>
      </w:pPr>
      <w:r w:rsidRPr="0019789C">
        <w:rPr>
          <w:rStyle w:val="FootnoteReference"/>
          <w:rFonts w:cs="Arial"/>
        </w:rPr>
        <w:footnoteRef/>
      </w:r>
      <w:r w:rsidRPr="0019789C">
        <w:t xml:space="preserve"> Highways Act 1980, s 329(1).</w:t>
      </w:r>
    </w:p>
  </w:footnote>
  <w:footnote w:id="963">
    <w:p w14:paraId="1D018E6C" w14:textId="77777777" w:rsidR="009F6EB7" w:rsidRPr="0019789C" w:rsidRDefault="009F6EB7" w:rsidP="009F6EB7">
      <w:pPr>
        <w:pStyle w:val="fntxt"/>
      </w:pPr>
      <w:r w:rsidRPr="0019789C">
        <w:rPr>
          <w:rStyle w:val="FootnoteReference"/>
          <w:rFonts w:cs="Arial"/>
        </w:rPr>
        <w:footnoteRef/>
      </w:r>
      <w:r w:rsidRPr="0019789C">
        <w:t xml:space="preserve"> Highways Act 1980, s 328(1).</w:t>
      </w:r>
    </w:p>
  </w:footnote>
  <w:footnote w:id="964">
    <w:p w14:paraId="5FC17B1B" w14:textId="77777777" w:rsidR="009F6EB7" w:rsidRPr="0019789C" w:rsidRDefault="009F6EB7" w:rsidP="009F6EB7">
      <w:pPr>
        <w:pStyle w:val="fntxt"/>
      </w:pPr>
      <w:r w:rsidRPr="0019789C">
        <w:rPr>
          <w:rStyle w:val="FootnoteReference"/>
          <w:rFonts w:cs="Arial"/>
        </w:rPr>
        <w:footnoteRef/>
      </w:r>
      <w:r w:rsidRPr="0019789C">
        <w:t xml:space="preserve"> </w:t>
      </w:r>
      <w:r w:rsidRPr="0019789C">
        <w:rPr>
          <w:rFonts w:cs="Arial"/>
        </w:rPr>
        <w:t>Institute of Highway Engineers</w:t>
      </w:r>
      <w:r w:rsidRPr="0019789C">
        <w:t>, ‘Well Managed Highway Liability Risk’ (2017) 14, para 3.2.3.</w:t>
      </w:r>
    </w:p>
  </w:footnote>
  <w:footnote w:id="965">
    <w:p w14:paraId="1C9CABA7" w14:textId="77777777" w:rsidR="009F6EB7" w:rsidRPr="0019789C" w:rsidRDefault="009F6EB7" w:rsidP="009F6EB7">
      <w:pPr>
        <w:pStyle w:val="fntxt"/>
      </w:pPr>
      <w:r w:rsidRPr="0019789C">
        <w:rPr>
          <w:rStyle w:val="FootnoteReference"/>
          <w:rFonts w:cs="Arial"/>
        </w:rPr>
        <w:footnoteRef/>
      </w:r>
      <w:r w:rsidRPr="0019789C">
        <w:t xml:space="preserve"> New Roads and Street Works Act 1991, s 48(1).</w:t>
      </w:r>
    </w:p>
  </w:footnote>
  <w:footnote w:id="966">
    <w:p w14:paraId="4171EE46" w14:textId="77777777" w:rsidR="009F6EB7" w:rsidRPr="0019789C" w:rsidRDefault="009F6EB7" w:rsidP="009F6EB7">
      <w:pPr>
        <w:pStyle w:val="fntxt"/>
      </w:pPr>
      <w:r w:rsidRPr="0019789C">
        <w:rPr>
          <w:rStyle w:val="FootnoteReference"/>
          <w:rFonts w:cs="Arial"/>
        </w:rPr>
        <w:footnoteRef/>
      </w:r>
      <w:r w:rsidRPr="0019789C">
        <w:t xml:space="preserve"> Road Traffic Act 1988, s 192(1); see also Road Traffic Regulation Act 1984, s 142(1).</w:t>
      </w:r>
    </w:p>
  </w:footnote>
  <w:footnote w:id="967">
    <w:p w14:paraId="4ACECDA5" w14:textId="77777777" w:rsidR="009F6EB7" w:rsidRPr="0019789C" w:rsidRDefault="009F6EB7" w:rsidP="009F6EB7">
      <w:pPr>
        <w:pStyle w:val="fntxt"/>
      </w:pPr>
      <w:r w:rsidRPr="0019789C">
        <w:rPr>
          <w:rStyle w:val="FootnoteReference"/>
          <w:rFonts w:cs="Arial"/>
        </w:rPr>
        <w:footnoteRef/>
      </w:r>
      <w:r w:rsidRPr="0019789C">
        <w:t xml:space="preserve"> Roads (Scotland) Act 1984, s 151(1).</w:t>
      </w:r>
    </w:p>
  </w:footnote>
  <w:footnote w:id="968">
    <w:p w14:paraId="7AB40117" w14:textId="77777777" w:rsidR="009F6EB7" w:rsidRPr="0019789C" w:rsidRDefault="009F6EB7" w:rsidP="009F6EB7">
      <w:pPr>
        <w:pStyle w:val="fntxt"/>
      </w:pPr>
      <w:r w:rsidRPr="0019789C">
        <w:rPr>
          <w:rStyle w:val="FootnoteReference"/>
          <w:rFonts w:cs="Arial"/>
        </w:rPr>
        <w:footnoteRef/>
      </w:r>
      <w:r w:rsidRPr="0019789C">
        <w:t xml:space="preserve"> The Roads (Northern Ireland) Order 1993, s 2(2).</w:t>
      </w:r>
    </w:p>
  </w:footnote>
  <w:footnote w:id="969">
    <w:p w14:paraId="669ABA80" w14:textId="77777777" w:rsidR="009F6EB7" w:rsidRPr="0019789C" w:rsidRDefault="009F6EB7" w:rsidP="009F6EB7">
      <w:pPr>
        <w:pStyle w:val="fntxt"/>
      </w:pPr>
      <w:r w:rsidRPr="0019789C">
        <w:rPr>
          <w:rStyle w:val="FootnoteReference"/>
          <w:rFonts w:cs="Arial"/>
        </w:rPr>
        <w:footnoteRef/>
      </w:r>
      <w:r w:rsidRPr="0019789C">
        <w:t xml:space="preserve"> The Roads (Northern Ireland) Order 1993, s 2(2).</w:t>
      </w:r>
    </w:p>
  </w:footnote>
  <w:footnote w:id="970">
    <w:p w14:paraId="58F1B71C" w14:textId="77777777" w:rsidR="009F6EB7" w:rsidRPr="0019789C" w:rsidRDefault="009F6EB7" w:rsidP="009F6EB7">
      <w:pPr>
        <w:pStyle w:val="fntxt"/>
      </w:pPr>
      <w:r w:rsidRPr="0019789C">
        <w:rPr>
          <w:rStyle w:val="FootnoteReference"/>
          <w:rFonts w:cs="Arial"/>
        </w:rPr>
        <w:footnoteRef/>
      </w:r>
      <w:r w:rsidRPr="0019789C">
        <w:t xml:space="preserve"> The Roads (Northern Ireland) Order 1993, s 2(2).</w:t>
      </w:r>
    </w:p>
  </w:footnote>
  <w:footnote w:id="971">
    <w:p w14:paraId="4C0A9B9E" w14:textId="77777777" w:rsidR="009F6EB7" w:rsidRPr="0019789C" w:rsidRDefault="009F6EB7" w:rsidP="009F6EB7">
      <w:pPr>
        <w:pStyle w:val="fntxt"/>
      </w:pPr>
      <w:r w:rsidRPr="0019789C">
        <w:rPr>
          <w:rStyle w:val="FootnoteReference"/>
          <w:rFonts w:cs="Arial"/>
        </w:rPr>
        <w:footnoteRef/>
      </w:r>
      <w:r w:rsidRPr="0019789C">
        <w:t xml:space="preserve"> </w:t>
      </w:r>
      <w:r w:rsidRPr="0019789C">
        <w:rPr>
          <w:rStyle w:val="fncaseChar"/>
          <w:rFonts w:cs="Arial"/>
        </w:rPr>
        <w:t>Southwark London Borough Council and another v Transport for London</w:t>
      </w:r>
      <w:r w:rsidRPr="0019789C">
        <w:t xml:space="preserve"> [2019] 2 All ER 271 [32].</w:t>
      </w:r>
    </w:p>
  </w:footnote>
  <w:footnote w:id="972">
    <w:p w14:paraId="4E00CC32" w14:textId="77777777" w:rsidR="009F6EB7" w:rsidRPr="0019789C" w:rsidRDefault="009F6EB7" w:rsidP="009F6EB7">
      <w:pPr>
        <w:pStyle w:val="fntxt"/>
      </w:pPr>
      <w:r w:rsidRPr="0019789C">
        <w:rPr>
          <w:rStyle w:val="FootnoteReference"/>
          <w:rFonts w:cs="Arial"/>
        </w:rPr>
        <w:footnoteRef/>
      </w:r>
      <w:r w:rsidRPr="0019789C">
        <w:t xml:space="preserve"> </w:t>
      </w:r>
      <w:r w:rsidRPr="0019789C">
        <w:rPr>
          <w:rStyle w:val="fncaseChar"/>
          <w:rFonts w:cs="Arial"/>
        </w:rPr>
        <w:t xml:space="preserve">Suffolk County Council v Mason </w:t>
      </w:r>
      <w:r w:rsidRPr="0019789C">
        <w:t>[1979] 2 All ER 369, 371.</w:t>
      </w:r>
    </w:p>
  </w:footnote>
  <w:footnote w:id="973">
    <w:p w14:paraId="0FA6852A" w14:textId="77777777" w:rsidR="009F6EB7" w:rsidRPr="0019789C" w:rsidRDefault="009F6EB7" w:rsidP="009F6EB7">
      <w:pPr>
        <w:pStyle w:val="fntxt"/>
      </w:pPr>
      <w:r w:rsidRPr="0019789C">
        <w:rPr>
          <w:rStyle w:val="FootnoteReference"/>
          <w:rFonts w:cs="Arial"/>
        </w:rPr>
        <w:footnoteRef/>
      </w:r>
      <w:r w:rsidRPr="0019789C">
        <w:t xml:space="preserve"> European Parliament, ‘General safety of vehicles and protection of vulnerable road users’ (PE 625.192, April 2019) </w:t>
      </w:r>
      <w:hyperlink r:id="rId120" w:history="1">
        <w:r w:rsidRPr="0019789C">
          <w:rPr>
            <w:rStyle w:val="Hyperlink"/>
            <w:rFonts w:cs="Arial"/>
          </w:rPr>
          <w:t>&lt;www.europarl.europa.eu/RegData/etudes/BRIE/2018/625192/EPRS_BRI(2018)625192_EN.pdf&gt;</w:t>
        </w:r>
      </w:hyperlink>
      <w:r w:rsidRPr="0019789C">
        <w:t xml:space="preserve"> accessed 5 May 2019.</w:t>
      </w:r>
    </w:p>
  </w:footnote>
  <w:footnote w:id="974">
    <w:p w14:paraId="024F5E6C" w14:textId="58958622" w:rsidR="009F6EB7" w:rsidRPr="0019789C" w:rsidRDefault="009F6EB7" w:rsidP="009F6EB7">
      <w:pPr>
        <w:pStyle w:val="fntxt"/>
      </w:pPr>
      <w:r w:rsidRPr="0019789C">
        <w:rPr>
          <w:rStyle w:val="FootnoteReference"/>
          <w:rFonts w:cs="Arial"/>
        </w:rPr>
        <w:footnoteRef/>
      </w:r>
      <w:r w:rsidRPr="0019789C">
        <w:t xml:space="preserve"> Department for Transport, ‘Manual for Streets’ (n </w:t>
      </w:r>
      <w:r w:rsidRPr="0019789C">
        <w:fldChar w:fldCharType="begin"/>
      </w:r>
      <w:r w:rsidRPr="0019789C">
        <w:instrText xml:space="preserve"> NOTEREF _Ref39594734 \h </w:instrText>
      </w:r>
      <w:r>
        <w:instrText xml:space="preserve"> \* MERGEFORMAT </w:instrText>
      </w:r>
      <w:r w:rsidRPr="0019789C">
        <w:fldChar w:fldCharType="separate"/>
      </w:r>
      <w:r w:rsidR="00AD46EC">
        <w:t>93</w:t>
      </w:r>
      <w:r w:rsidRPr="0019789C">
        <w:fldChar w:fldCharType="end"/>
      </w:r>
      <w:r w:rsidRPr="0019789C">
        <w:t>) (para 1.1.7).</w:t>
      </w:r>
    </w:p>
  </w:footnote>
  <w:footnote w:id="975">
    <w:p w14:paraId="39E6179F" w14:textId="77777777" w:rsidR="009F6EB7" w:rsidRPr="0019789C" w:rsidRDefault="009F6EB7" w:rsidP="009F6EB7">
      <w:pPr>
        <w:pStyle w:val="fntxt"/>
      </w:pPr>
      <w:r w:rsidRPr="0019789C">
        <w:rPr>
          <w:rStyle w:val="FootnoteReference"/>
          <w:rFonts w:cs="Arial"/>
        </w:rPr>
        <w:footnoteRef/>
      </w:r>
      <w:r w:rsidRPr="0019789C">
        <w:t xml:space="preserve"> ibid 15 (para 2.2.1).</w:t>
      </w:r>
    </w:p>
  </w:footnote>
  <w:footnote w:id="976">
    <w:p w14:paraId="4B25060E" w14:textId="06C21F00" w:rsidR="009F6EB7" w:rsidRPr="0019789C" w:rsidRDefault="009F6EB7" w:rsidP="009F6EB7">
      <w:pPr>
        <w:pStyle w:val="fntxt"/>
      </w:pPr>
      <w:r w:rsidRPr="0019789C">
        <w:rPr>
          <w:rStyle w:val="FootnoteReference"/>
          <w:rFonts w:cs="Arial"/>
        </w:rPr>
        <w:footnoteRef/>
      </w:r>
      <w:r w:rsidRPr="0019789C">
        <w:t xml:space="preserve"> Department for Transport, Local Transport Note 1/11 (n </w:t>
      </w:r>
      <w:r w:rsidRPr="0019789C">
        <w:fldChar w:fldCharType="begin"/>
      </w:r>
      <w:r w:rsidRPr="0019789C">
        <w:instrText xml:space="preserve"> NOTEREF _Ref94101954 \h </w:instrText>
      </w:r>
      <w:r>
        <w:instrText xml:space="preserve"> \* MERGEFORMAT </w:instrText>
      </w:r>
      <w:r w:rsidRPr="0019789C">
        <w:fldChar w:fldCharType="separate"/>
      </w:r>
      <w:r w:rsidR="00AD46EC">
        <w:t>101</w:t>
      </w:r>
      <w:r w:rsidRPr="0019789C">
        <w:fldChar w:fldCharType="end"/>
      </w:r>
      <w:r w:rsidRPr="0019789C">
        <w:t>) 6.</w:t>
      </w:r>
    </w:p>
  </w:footnote>
  <w:footnote w:id="977">
    <w:p w14:paraId="66662904" w14:textId="1344E4DB" w:rsidR="009F6EB7" w:rsidRPr="0019789C" w:rsidRDefault="009F6EB7" w:rsidP="009F6EB7">
      <w:pPr>
        <w:pStyle w:val="fntxt"/>
      </w:pPr>
      <w:r w:rsidRPr="0019789C">
        <w:rPr>
          <w:rStyle w:val="FootnoteReference"/>
          <w:rFonts w:cs="Arial"/>
        </w:rPr>
        <w:footnoteRef/>
      </w:r>
      <w:r w:rsidRPr="0019789C">
        <w:t xml:space="preserve"> Chartered Institute for Highways and Transportation, ‘Creating better streets: Inclusive and accessible places’ (n </w:t>
      </w:r>
      <w:r w:rsidRPr="0019789C">
        <w:fldChar w:fldCharType="begin"/>
      </w:r>
      <w:r w:rsidRPr="0019789C">
        <w:instrText xml:space="preserve"> NOTEREF _Ref94102021 \h </w:instrText>
      </w:r>
      <w:r>
        <w:instrText xml:space="preserve"> \* MERGEFORMAT </w:instrText>
      </w:r>
      <w:r w:rsidRPr="0019789C">
        <w:fldChar w:fldCharType="separate"/>
      </w:r>
      <w:r w:rsidR="00AD46EC">
        <w:t>102</w:t>
      </w:r>
      <w:r w:rsidRPr="0019789C">
        <w:fldChar w:fldCharType="end"/>
      </w:r>
      <w:r w:rsidRPr="0019789C">
        <w:t>) 11-13.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75"/>
      <w:gridCol w:w="3075"/>
      <w:gridCol w:w="3075"/>
    </w:tblGrid>
    <w:tr w:rsidR="15DA6B5F" w14:paraId="53C1F82B" w14:textId="77777777" w:rsidTr="15DA6B5F">
      <w:trPr>
        <w:trHeight w:val="300"/>
      </w:trPr>
      <w:tc>
        <w:tcPr>
          <w:tcW w:w="3075" w:type="dxa"/>
        </w:tcPr>
        <w:p w14:paraId="656E01D8" w14:textId="7412CF85" w:rsidR="15DA6B5F" w:rsidRDefault="15DA6B5F" w:rsidP="15DA6B5F">
          <w:pPr>
            <w:pStyle w:val="Header"/>
            <w:ind w:left="-115"/>
            <w:jc w:val="left"/>
          </w:pPr>
        </w:p>
      </w:tc>
      <w:tc>
        <w:tcPr>
          <w:tcW w:w="3075" w:type="dxa"/>
        </w:tcPr>
        <w:p w14:paraId="4A5CC4F5" w14:textId="60D360B8" w:rsidR="15DA6B5F" w:rsidRDefault="15DA6B5F" w:rsidP="15DA6B5F">
          <w:pPr>
            <w:pStyle w:val="Header"/>
            <w:jc w:val="center"/>
          </w:pPr>
        </w:p>
      </w:tc>
      <w:tc>
        <w:tcPr>
          <w:tcW w:w="3075" w:type="dxa"/>
        </w:tcPr>
        <w:p w14:paraId="6628279C" w14:textId="268DA410" w:rsidR="15DA6B5F" w:rsidRDefault="15DA6B5F" w:rsidP="15DA6B5F">
          <w:pPr>
            <w:pStyle w:val="Header"/>
            <w:ind w:right="-115"/>
            <w:jc w:val="right"/>
          </w:pPr>
        </w:p>
      </w:tc>
    </w:tr>
  </w:tbl>
  <w:p w14:paraId="321D67E0" w14:textId="146285BB" w:rsidR="15DA6B5F" w:rsidRDefault="15DA6B5F" w:rsidP="15DA6B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53C6A"/>
    <w:multiLevelType w:val="hybridMultilevel"/>
    <w:tmpl w:val="E3027AEA"/>
    <w:lvl w:ilvl="0" w:tplc="04090001">
      <w:start w:val="1"/>
      <w:numFmt w:val="bullet"/>
      <w:lvlText w:val=""/>
      <w:lvlJc w:val="left"/>
      <w:pPr>
        <w:ind w:left="1080" w:hanging="360"/>
      </w:pPr>
      <w:rPr>
        <w:rFonts w:ascii="Symbol" w:hAnsi="Symbol" w:cs="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8449D"/>
    <w:multiLevelType w:val="hybridMultilevel"/>
    <w:tmpl w:val="1E76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E6054"/>
    <w:multiLevelType w:val="hybridMultilevel"/>
    <w:tmpl w:val="6FEC3D88"/>
    <w:lvl w:ilvl="0" w:tplc="04090001">
      <w:start w:val="1"/>
      <w:numFmt w:val="bullet"/>
      <w:lvlText w:val=""/>
      <w:lvlJc w:val="left"/>
      <w:pPr>
        <w:ind w:left="1008" w:hanging="360"/>
      </w:pPr>
      <w:rPr>
        <w:rFonts w:ascii="Symbol" w:hAnsi="Symbol" w:cs="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cs="Wingdings" w:hint="default"/>
      </w:rPr>
    </w:lvl>
    <w:lvl w:ilvl="3" w:tplc="04090001" w:tentative="1">
      <w:start w:val="1"/>
      <w:numFmt w:val="bullet"/>
      <w:lvlText w:val=""/>
      <w:lvlJc w:val="left"/>
      <w:pPr>
        <w:ind w:left="3168" w:hanging="360"/>
      </w:pPr>
      <w:rPr>
        <w:rFonts w:ascii="Symbol" w:hAnsi="Symbol" w:cs="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cs="Wingdings" w:hint="default"/>
      </w:rPr>
    </w:lvl>
    <w:lvl w:ilvl="6" w:tplc="04090001" w:tentative="1">
      <w:start w:val="1"/>
      <w:numFmt w:val="bullet"/>
      <w:lvlText w:val=""/>
      <w:lvlJc w:val="left"/>
      <w:pPr>
        <w:ind w:left="5328" w:hanging="360"/>
      </w:pPr>
      <w:rPr>
        <w:rFonts w:ascii="Symbol" w:hAnsi="Symbol" w:cs="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cs="Wingdings" w:hint="default"/>
      </w:rPr>
    </w:lvl>
  </w:abstractNum>
  <w:abstractNum w:abstractNumId="3" w15:restartNumberingAfterBreak="0">
    <w:nsid w:val="1A0D10C8"/>
    <w:multiLevelType w:val="hybridMultilevel"/>
    <w:tmpl w:val="E90AB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76CB4"/>
    <w:multiLevelType w:val="hybridMultilevel"/>
    <w:tmpl w:val="FC6AF34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1876" w:hanging="360"/>
      </w:pPr>
      <w:rPr>
        <w:rFonts w:ascii="Courier New" w:hAnsi="Courier New" w:cs="Courier New" w:hint="default"/>
      </w:rPr>
    </w:lvl>
    <w:lvl w:ilvl="2" w:tplc="08090005" w:tentative="1">
      <w:start w:val="1"/>
      <w:numFmt w:val="bullet"/>
      <w:lvlText w:val=""/>
      <w:lvlJc w:val="left"/>
      <w:pPr>
        <w:ind w:left="2596" w:hanging="360"/>
      </w:pPr>
      <w:rPr>
        <w:rFonts w:ascii="Wingdings" w:hAnsi="Wingdings" w:hint="default"/>
      </w:rPr>
    </w:lvl>
    <w:lvl w:ilvl="3" w:tplc="08090001" w:tentative="1">
      <w:start w:val="1"/>
      <w:numFmt w:val="bullet"/>
      <w:lvlText w:val=""/>
      <w:lvlJc w:val="left"/>
      <w:pPr>
        <w:ind w:left="3316" w:hanging="360"/>
      </w:pPr>
      <w:rPr>
        <w:rFonts w:ascii="Symbol" w:hAnsi="Symbol" w:hint="default"/>
      </w:rPr>
    </w:lvl>
    <w:lvl w:ilvl="4" w:tplc="08090003" w:tentative="1">
      <w:start w:val="1"/>
      <w:numFmt w:val="bullet"/>
      <w:lvlText w:val="o"/>
      <w:lvlJc w:val="left"/>
      <w:pPr>
        <w:ind w:left="4036" w:hanging="360"/>
      </w:pPr>
      <w:rPr>
        <w:rFonts w:ascii="Courier New" w:hAnsi="Courier New" w:cs="Courier New" w:hint="default"/>
      </w:rPr>
    </w:lvl>
    <w:lvl w:ilvl="5" w:tplc="08090005" w:tentative="1">
      <w:start w:val="1"/>
      <w:numFmt w:val="bullet"/>
      <w:lvlText w:val=""/>
      <w:lvlJc w:val="left"/>
      <w:pPr>
        <w:ind w:left="4756" w:hanging="360"/>
      </w:pPr>
      <w:rPr>
        <w:rFonts w:ascii="Wingdings" w:hAnsi="Wingdings" w:hint="default"/>
      </w:rPr>
    </w:lvl>
    <w:lvl w:ilvl="6" w:tplc="08090001" w:tentative="1">
      <w:start w:val="1"/>
      <w:numFmt w:val="bullet"/>
      <w:lvlText w:val=""/>
      <w:lvlJc w:val="left"/>
      <w:pPr>
        <w:ind w:left="5476" w:hanging="360"/>
      </w:pPr>
      <w:rPr>
        <w:rFonts w:ascii="Symbol" w:hAnsi="Symbol" w:hint="default"/>
      </w:rPr>
    </w:lvl>
    <w:lvl w:ilvl="7" w:tplc="08090003" w:tentative="1">
      <w:start w:val="1"/>
      <w:numFmt w:val="bullet"/>
      <w:lvlText w:val="o"/>
      <w:lvlJc w:val="left"/>
      <w:pPr>
        <w:ind w:left="6196" w:hanging="360"/>
      </w:pPr>
      <w:rPr>
        <w:rFonts w:ascii="Courier New" w:hAnsi="Courier New" w:cs="Courier New" w:hint="default"/>
      </w:rPr>
    </w:lvl>
    <w:lvl w:ilvl="8" w:tplc="08090005" w:tentative="1">
      <w:start w:val="1"/>
      <w:numFmt w:val="bullet"/>
      <w:lvlText w:val=""/>
      <w:lvlJc w:val="left"/>
      <w:pPr>
        <w:ind w:left="6916" w:hanging="360"/>
      </w:pPr>
      <w:rPr>
        <w:rFonts w:ascii="Wingdings" w:hAnsi="Wingdings" w:hint="default"/>
      </w:rPr>
    </w:lvl>
  </w:abstractNum>
  <w:abstractNum w:abstractNumId="5" w15:restartNumberingAfterBreak="0">
    <w:nsid w:val="1D0F719D"/>
    <w:multiLevelType w:val="hybridMultilevel"/>
    <w:tmpl w:val="B0DC9946"/>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6" w15:restartNumberingAfterBreak="0">
    <w:nsid w:val="22055F07"/>
    <w:multiLevelType w:val="hybridMultilevel"/>
    <w:tmpl w:val="BF3E5B44"/>
    <w:lvl w:ilvl="0" w:tplc="A4F2704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9111E5"/>
    <w:multiLevelType w:val="hybridMultilevel"/>
    <w:tmpl w:val="121E4590"/>
    <w:lvl w:ilvl="0" w:tplc="4C5CEA0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DBC3F1C"/>
    <w:multiLevelType w:val="hybridMultilevel"/>
    <w:tmpl w:val="84CAE32E"/>
    <w:lvl w:ilvl="0" w:tplc="08090001">
      <w:start w:val="1"/>
      <w:numFmt w:val="bullet"/>
      <w:lvlText w:val=""/>
      <w:lvlJc w:val="left"/>
      <w:pPr>
        <w:ind w:left="1004" w:hanging="360"/>
      </w:pPr>
      <w:rPr>
        <w:rFonts w:ascii="Symbol" w:hAnsi="Symbol" w:hint="default"/>
      </w:rPr>
    </w:lvl>
    <w:lvl w:ilvl="1" w:tplc="5DEE0BC6">
      <w:numFmt w:val="bullet"/>
      <w:lvlText w:val="•"/>
      <w:lvlJc w:val="left"/>
      <w:pPr>
        <w:ind w:left="1724" w:hanging="360"/>
      </w:pPr>
      <w:rPr>
        <w:rFonts w:ascii="Arial" w:eastAsiaTheme="minorEastAsia" w:hAnsi="Arial" w:cs="Arial"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623281D"/>
    <w:multiLevelType w:val="hybridMultilevel"/>
    <w:tmpl w:val="3280D26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7FA22C6"/>
    <w:multiLevelType w:val="hybridMultilevel"/>
    <w:tmpl w:val="938E3174"/>
    <w:lvl w:ilvl="0" w:tplc="E0583B18">
      <w:start w:val="5"/>
      <w:numFmt w:val="bullet"/>
      <w:lvlText w:val="-"/>
      <w:lvlJc w:val="left"/>
      <w:pPr>
        <w:ind w:left="1364" w:hanging="360"/>
      </w:pPr>
      <w:rPr>
        <w:rFonts w:ascii="Arial" w:eastAsiaTheme="minorEastAsia" w:hAnsi="Arial" w:cs="Aria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B700A12"/>
    <w:multiLevelType w:val="hybridMultilevel"/>
    <w:tmpl w:val="EB5CB412"/>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2" w15:restartNumberingAfterBreak="0">
    <w:nsid w:val="3C6231A7"/>
    <w:multiLevelType w:val="hybridMultilevel"/>
    <w:tmpl w:val="7A08F2B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3" w15:restartNumberingAfterBreak="0">
    <w:nsid w:val="40BA6258"/>
    <w:multiLevelType w:val="hybridMultilevel"/>
    <w:tmpl w:val="2D72D2F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15:restartNumberingAfterBreak="0">
    <w:nsid w:val="45FF0CF5"/>
    <w:multiLevelType w:val="hybridMultilevel"/>
    <w:tmpl w:val="9E22FF06"/>
    <w:lvl w:ilvl="0" w:tplc="04090001">
      <w:start w:val="1"/>
      <w:numFmt w:val="bullet"/>
      <w:lvlText w:val=""/>
      <w:lvlJc w:val="left"/>
      <w:pPr>
        <w:ind w:left="1008" w:hanging="360"/>
      </w:pPr>
      <w:rPr>
        <w:rFonts w:ascii="Symbol" w:hAnsi="Symbol" w:cs="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cs="Wingdings" w:hint="default"/>
      </w:rPr>
    </w:lvl>
    <w:lvl w:ilvl="3" w:tplc="04090001" w:tentative="1">
      <w:start w:val="1"/>
      <w:numFmt w:val="bullet"/>
      <w:lvlText w:val=""/>
      <w:lvlJc w:val="left"/>
      <w:pPr>
        <w:ind w:left="3168" w:hanging="360"/>
      </w:pPr>
      <w:rPr>
        <w:rFonts w:ascii="Symbol" w:hAnsi="Symbol" w:cs="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cs="Wingdings" w:hint="default"/>
      </w:rPr>
    </w:lvl>
    <w:lvl w:ilvl="6" w:tplc="04090001" w:tentative="1">
      <w:start w:val="1"/>
      <w:numFmt w:val="bullet"/>
      <w:lvlText w:val=""/>
      <w:lvlJc w:val="left"/>
      <w:pPr>
        <w:ind w:left="5328" w:hanging="360"/>
      </w:pPr>
      <w:rPr>
        <w:rFonts w:ascii="Symbol" w:hAnsi="Symbol" w:cs="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cs="Wingdings" w:hint="default"/>
      </w:rPr>
    </w:lvl>
  </w:abstractNum>
  <w:abstractNum w:abstractNumId="15" w15:restartNumberingAfterBreak="0">
    <w:nsid w:val="4B2C2A88"/>
    <w:multiLevelType w:val="hybridMultilevel"/>
    <w:tmpl w:val="A1AA808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EF67D94"/>
    <w:multiLevelType w:val="hybridMultilevel"/>
    <w:tmpl w:val="CFA8F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B0A3C"/>
    <w:multiLevelType w:val="hybridMultilevel"/>
    <w:tmpl w:val="A2BA4F68"/>
    <w:lvl w:ilvl="0" w:tplc="04090001">
      <w:start w:val="1"/>
      <w:numFmt w:val="bullet"/>
      <w:lvlText w:val=""/>
      <w:lvlJc w:val="left"/>
      <w:pPr>
        <w:ind w:left="1400" w:hanging="360"/>
      </w:pPr>
      <w:rPr>
        <w:rFonts w:ascii="Symbol" w:hAnsi="Symbol" w:cs="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cs="Wingdings" w:hint="default"/>
      </w:rPr>
    </w:lvl>
    <w:lvl w:ilvl="3" w:tplc="04090001" w:tentative="1">
      <w:start w:val="1"/>
      <w:numFmt w:val="bullet"/>
      <w:lvlText w:val=""/>
      <w:lvlJc w:val="left"/>
      <w:pPr>
        <w:ind w:left="3560" w:hanging="360"/>
      </w:pPr>
      <w:rPr>
        <w:rFonts w:ascii="Symbol" w:hAnsi="Symbol" w:cs="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cs="Wingdings" w:hint="default"/>
      </w:rPr>
    </w:lvl>
    <w:lvl w:ilvl="6" w:tplc="04090001" w:tentative="1">
      <w:start w:val="1"/>
      <w:numFmt w:val="bullet"/>
      <w:lvlText w:val=""/>
      <w:lvlJc w:val="left"/>
      <w:pPr>
        <w:ind w:left="5720" w:hanging="360"/>
      </w:pPr>
      <w:rPr>
        <w:rFonts w:ascii="Symbol" w:hAnsi="Symbol" w:cs="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cs="Wingdings" w:hint="default"/>
      </w:rPr>
    </w:lvl>
  </w:abstractNum>
  <w:abstractNum w:abstractNumId="18" w15:restartNumberingAfterBreak="0">
    <w:nsid w:val="57F10402"/>
    <w:multiLevelType w:val="hybridMultilevel"/>
    <w:tmpl w:val="E0605B98"/>
    <w:lvl w:ilvl="0" w:tplc="04090001">
      <w:start w:val="1"/>
      <w:numFmt w:val="bullet"/>
      <w:lvlText w:val=""/>
      <w:lvlJc w:val="left"/>
      <w:pPr>
        <w:ind w:left="1400" w:hanging="360"/>
      </w:pPr>
      <w:rPr>
        <w:rFonts w:ascii="Symbol" w:hAnsi="Symbol" w:cs="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cs="Wingdings" w:hint="default"/>
      </w:rPr>
    </w:lvl>
    <w:lvl w:ilvl="3" w:tplc="04090001" w:tentative="1">
      <w:start w:val="1"/>
      <w:numFmt w:val="bullet"/>
      <w:lvlText w:val=""/>
      <w:lvlJc w:val="left"/>
      <w:pPr>
        <w:ind w:left="3560" w:hanging="360"/>
      </w:pPr>
      <w:rPr>
        <w:rFonts w:ascii="Symbol" w:hAnsi="Symbol" w:cs="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cs="Wingdings" w:hint="default"/>
      </w:rPr>
    </w:lvl>
    <w:lvl w:ilvl="6" w:tplc="04090001" w:tentative="1">
      <w:start w:val="1"/>
      <w:numFmt w:val="bullet"/>
      <w:lvlText w:val=""/>
      <w:lvlJc w:val="left"/>
      <w:pPr>
        <w:ind w:left="5720" w:hanging="360"/>
      </w:pPr>
      <w:rPr>
        <w:rFonts w:ascii="Symbol" w:hAnsi="Symbol" w:cs="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cs="Wingdings" w:hint="default"/>
      </w:rPr>
    </w:lvl>
  </w:abstractNum>
  <w:abstractNum w:abstractNumId="19" w15:restartNumberingAfterBreak="0">
    <w:nsid w:val="62005452"/>
    <w:multiLevelType w:val="hybridMultilevel"/>
    <w:tmpl w:val="4320863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645B53DA"/>
    <w:multiLevelType w:val="hybridMultilevel"/>
    <w:tmpl w:val="DF6E282E"/>
    <w:lvl w:ilvl="0" w:tplc="379249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7230FE"/>
    <w:multiLevelType w:val="hybridMultilevel"/>
    <w:tmpl w:val="8EA26A4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65553417"/>
    <w:multiLevelType w:val="hybridMultilevel"/>
    <w:tmpl w:val="A9023B70"/>
    <w:lvl w:ilvl="0" w:tplc="CF7691FA">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3" w15:restartNumberingAfterBreak="0">
    <w:nsid w:val="66081CAF"/>
    <w:multiLevelType w:val="hybridMultilevel"/>
    <w:tmpl w:val="56CE7EBA"/>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cs="Wingdings" w:hint="default"/>
      </w:rPr>
    </w:lvl>
    <w:lvl w:ilvl="3" w:tplc="04090001" w:tentative="1">
      <w:start w:val="1"/>
      <w:numFmt w:val="bullet"/>
      <w:lvlText w:val=""/>
      <w:lvlJc w:val="left"/>
      <w:pPr>
        <w:ind w:left="2920" w:hanging="360"/>
      </w:pPr>
      <w:rPr>
        <w:rFonts w:ascii="Symbol" w:hAnsi="Symbol" w:cs="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cs="Wingdings" w:hint="default"/>
      </w:rPr>
    </w:lvl>
    <w:lvl w:ilvl="6" w:tplc="04090001" w:tentative="1">
      <w:start w:val="1"/>
      <w:numFmt w:val="bullet"/>
      <w:lvlText w:val=""/>
      <w:lvlJc w:val="left"/>
      <w:pPr>
        <w:ind w:left="5080" w:hanging="360"/>
      </w:pPr>
      <w:rPr>
        <w:rFonts w:ascii="Symbol" w:hAnsi="Symbol" w:cs="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cs="Wingdings" w:hint="default"/>
      </w:rPr>
    </w:lvl>
  </w:abstractNum>
  <w:abstractNum w:abstractNumId="24" w15:restartNumberingAfterBreak="0">
    <w:nsid w:val="66F21523"/>
    <w:multiLevelType w:val="hybridMultilevel"/>
    <w:tmpl w:val="E63C15A0"/>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6724215A"/>
    <w:multiLevelType w:val="hybridMultilevel"/>
    <w:tmpl w:val="4864A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68C11113"/>
    <w:multiLevelType w:val="hybridMultilevel"/>
    <w:tmpl w:val="519EA9E6"/>
    <w:lvl w:ilvl="0" w:tplc="04090001">
      <w:start w:val="1"/>
      <w:numFmt w:val="bullet"/>
      <w:lvlText w:val=""/>
      <w:lvlJc w:val="left"/>
      <w:pPr>
        <w:ind w:left="1008" w:hanging="360"/>
      </w:pPr>
      <w:rPr>
        <w:rFonts w:ascii="Symbol" w:hAnsi="Symbol" w:cs="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cs="Wingdings" w:hint="default"/>
      </w:rPr>
    </w:lvl>
    <w:lvl w:ilvl="3" w:tplc="04090001" w:tentative="1">
      <w:start w:val="1"/>
      <w:numFmt w:val="bullet"/>
      <w:lvlText w:val=""/>
      <w:lvlJc w:val="left"/>
      <w:pPr>
        <w:ind w:left="3168" w:hanging="360"/>
      </w:pPr>
      <w:rPr>
        <w:rFonts w:ascii="Symbol" w:hAnsi="Symbol" w:cs="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cs="Wingdings" w:hint="default"/>
      </w:rPr>
    </w:lvl>
    <w:lvl w:ilvl="6" w:tplc="04090001" w:tentative="1">
      <w:start w:val="1"/>
      <w:numFmt w:val="bullet"/>
      <w:lvlText w:val=""/>
      <w:lvlJc w:val="left"/>
      <w:pPr>
        <w:ind w:left="5328" w:hanging="360"/>
      </w:pPr>
      <w:rPr>
        <w:rFonts w:ascii="Symbol" w:hAnsi="Symbol" w:cs="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cs="Wingdings" w:hint="default"/>
      </w:rPr>
    </w:lvl>
  </w:abstractNum>
  <w:abstractNum w:abstractNumId="27" w15:restartNumberingAfterBreak="0">
    <w:nsid w:val="6BC06042"/>
    <w:multiLevelType w:val="hybridMultilevel"/>
    <w:tmpl w:val="873EF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1E05CC3"/>
    <w:multiLevelType w:val="hybridMultilevel"/>
    <w:tmpl w:val="E0CEE44A"/>
    <w:lvl w:ilvl="0" w:tplc="04090001">
      <w:start w:val="1"/>
      <w:numFmt w:val="bullet"/>
      <w:lvlText w:val=""/>
      <w:lvlJc w:val="left"/>
      <w:pPr>
        <w:ind w:left="1004" w:hanging="360"/>
      </w:pPr>
      <w:rPr>
        <w:rFonts w:ascii="Symbol" w:hAnsi="Symbol" w:cs="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cs="Wingdings" w:hint="default"/>
      </w:rPr>
    </w:lvl>
    <w:lvl w:ilvl="3" w:tplc="04090001" w:tentative="1">
      <w:start w:val="1"/>
      <w:numFmt w:val="bullet"/>
      <w:lvlText w:val=""/>
      <w:lvlJc w:val="left"/>
      <w:pPr>
        <w:ind w:left="3164" w:hanging="360"/>
      </w:pPr>
      <w:rPr>
        <w:rFonts w:ascii="Symbol" w:hAnsi="Symbol" w:cs="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cs="Wingdings" w:hint="default"/>
      </w:rPr>
    </w:lvl>
    <w:lvl w:ilvl="6" w:tplc="04090001" w:tentative="1">
      <w:start w:val="1"/>
      <w:numFmt w:val="bullet"/>
      <w:lvlText w:val=""/>
      <w:lvlJc w:val="left"/>
      <w:pPr>
        <w:ind w:left="5324" w:hanging="360"/>
      </w:pPr>
      <w:rPr>
        <w:rFonts w:ascii="Symbol" w:hAnsi="Symbol" w:cs="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cs="Wingdings" w:hint="default"/>
      </w:rPr>
    </w:lvl>
  </w:abstractNum>
  <w:abstractNum w:abstractNumId="29" w15:restartNumberingAfterBreak="0">
    <w:nsid w:val="73B65613"/>
    <w:multiLevelType w:val="hybridMultilevel"/>
    <w:tmpl w:val="DC5E7BD6"/>
    <w:lvl w:ilvl="0" w:tplc="D62CECD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8"/>
  </w:num>
  <w:num w:numId="4">
    <w:abstractNumId w:val="10"/>
  </w:num>
  <w:num w:numId="5">
    <w:abstractNumId w:val="4"/>
  </w:num>
  <w:num w:numId="6">
    <w:abstractNumId w:val="25"/>
  </w:num>
  <w:num w:numId="7">
    <w:abstractNumId w:val="19"/>
  </w:num>
  <w:num w:numId="8">
    <w:abstractNumId w:val="5"/>
  </w:num>
  <w:num w:numId="9">
    <w:abstractNumId w:val="3"/>
  </w:num>
  <w:num w:numId="10">
    <w:abstractNumId w:val="1"/>
  </w:num>
  <w:num w:numId="11">
    <w:abstractNumId w:val="7"/>
  </w:num>
  <w:num w:numId="12">
    <w:abstractNumId w:val="28"/>
  </w:num>
  <w:num w:numId="13">
    <w:abstractNumId w:val="18"/>
  </w:num>
  <w:num w:numId="14">
    <w:abstractNumId w:val="17"/>
  </w:num>
  <w:num w:numId="15">
    <w:abstractNumId w:val="23"/>
  </w:num>
  <w:num w:numId="16">
    <w:abstractNumId w:val="14"/>
  </w:num>
  <w:num w:numId="17">
    <w:abstractNumId w:val="20"/>
  </w:num>
  <w:num w:numId="18">
    <w:abstractNumId w:val="0"/>
  </w:num>
  <w:num w:numId="19">
    <w:abstractNumId w:val="9"/>
  </w:num>
  <w:num w:numId="20">
    <w:abstractNumId w:val="2"/>
  </w:num>
  <w:num w:numId="21">
    <w:abstractNumId w:val="21"/>
  </w:num>
  <w:num w:numId="22">
    <w:abstractNumId w:val="12"/>
  </w:num>
  <w:num w:numId="23">
    <w:abstractNumId w:val="15"/>
  </w:num>
  <w:num w:numId="24">
    <w:abstractNumId w:val="26"/>
  </w:num>
  <w:num w:numId="25">
    <w:abstractNumId w:val="24"/>
  </w:num>
  <w:num w:numId="26">
    <w:abstractNumId w:val="11"/>
  </w:num>
  <w:num w:numId="27">
    <w:abstractNumId w:val="13"/>
  </w:num>
  <w:num w:numId="28">
    <w:abstractNumId w:val="22"/>
  </w:num>
  <w:num w:numId="29">
    <w:abstractNumId w:val="27"/>
  </w:num>
  <w:num w:numId="30">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YwNTW2NLI0N7G0NDRR0lEKTi0uzszPAykwMqgFACUWn2ItAAAA"/>
  </w:docVars>
  <w:rsids>
    <w:rsidRoot w:val="006939B2"/>
    <w:rsid w:val="00001C98"/>
    <w:rsid w:val="00004704"/>
    <w:rsid w:val="00004CBA"/>
    <w:rsid w:val="000060AC"/>
    <w:rsid w:val="00007715"/>
    <w:rsid w:val="00011931"/>
    <w:rsid w:val="00012813"/>
    <w:rsid w:val="0001308A"/>
    <w:rsid w:val="00014635"/>
    <w:rsid w:val="000155EA"/>
    <w:rsid w:val="0001644C"/>
    <w:rsid w:val="00016AB6"/>
    <w:rsid w:val="00017002"/>
    <w:rsid w:val="00017168"/>
    <w:rsid w:val="000171DE"/>
    <w:rsid w:val="00020086"/>
    <w:rsid w:val="00025464"/>
    <w:rsid w:val="00025708"/>
    <w:rsid w:val="000260B7"/>
    <w:rsid w:val="00026B23"/>
    <w:rsid w:val="00031C02"/>
    <w:rsid w:val="0003731A"/>
    <w:rsid w:val="00040577"/>
    <w:rsid w:val="00041DE8"/>
    <w:rsid w:val="00042479"/>
    <w:rsid w:val="0004390A"/>
    <w:rsid w:val="000451AE"/>
    <w:rsid w:val="000478B4"/>
    <w:rsid w:val="0005069B"/>
    <w:rsid w:val="0005128F"/>
    <w:rsid w:val="000517BA"/>
    <w:rsid w:val="0005588E"/>
    <w:rsid w:val="000558A5"/>
    <w:rsid w:val="000558B4"/>
    <w:rsid w:val="00057CB5"/>
    <w:rsid w:val="00060D9E"/>
    <w:rsid w:val="00063879"/>
    <w:rsid w:val="00064FA1"/>
    <w:rsid w:val="00065C26"/>
    <w:rsid w:val="000660F1"/>
    <w:rsid w:val="0007057D"/>
    <w:rsid w:val="000714FD"/>
    <w:rsid w:val="0007256F"/>
    <w:rsid w:val="00073D36"/>
    <w:rsid w:val="000743C9"/>
    <w:rsid w:val="00074853"/>
    <w:rsid w:val="00075806"/>
    <w:rsid w:val="00077725"/>
    <w:rsid w:val="00077FAA"/>
    <w:rsid w:val="00080E42"/>
    <w:rsid w:val="000829AA"/>
    <w:rsid w:val="00084EF2"/>
    <w:rsid w:val="000930FA"/>
    <w:rsid w:val="000934F3"/>
    <w:rsid w:val="0009395E"/>
    <w:rsid w:val="00097271"/>
    <w:rsid w:val="000A0312"/>
    <w:rsid w:val="000A59E3"/>
    <w:rsid w:val="000B168E"/>
    <w:rsid w:val="000B1FDF"/>
    <w:rsid w:val="000B5A46"/>
    <w:rsid w:val="000C0913"/>
    <w:rsid w:val="000C0FE3"/>
    <w:rsid w:val="000C2325"/>
    <w:rsid w:val="000C25CA"/>
    <w:rsid w:val="000C62F8"/>
    <w:rsid w:val="000D060D"/>
    <w:rsid w:val="000D08D1"/>
    <w:rsid w:val="000D12E1"/>
    <w:rsid w:val="000D65CC"/>
    <w:rsid w:val="000D6612"/>
    <w:rsid w:val="000E0A28"/>
    <w:rsid w:val="000E4A22"/>
    <w:rsid w:val="000E53FE"/>
    <w:rsid w:val="000E577C"/>
    <w:rsid w:val="000E6D5E"/>
    <w:rsid w:val="000F1277"/>
    <w:rsid w:val="000F137D"/>
    <w:rsid w:val="000F16D4"/>
    <w:rsid w:val="000F20D6"/>
    <w:rsid w:val="000F22F5"/>
    <w:rsid w:val="000F2F92"/>
    <w:rsid w:val="000F2FE9"/>
    <w:rsid w:val="000F6B14"/>
    <w:rsid w:val="000F7CF8"/>
    <w:rsid w:val="0010068D"/>
    <w:rsid w:val="00101E47"/>
    <w:rsid w:val="00102054"/>
    <w:rsid w:val="001026E3"/>
    <w:rsid w:val="00104062"/>
    <w:rsid w:val="00104411"/>
    <w:rsid w:val="001054D3"/>
    <w:rsid w:val="001116C1"/>
    <w:rsid w:val="0011183D"/>
    <w:rsid w:val="00111B04"/>
    <w:rsid w:val="0011219B"/>
    <w:rsid w:val="001153A9"/>
    <w:rsid w:val="001154BA"/>
    <w:rsid w:val="001161DE"/>
    <w:rsid w:val="0011688C"/>
    <w:rsid w:val="001203C1"/>
    <w:rsid w:val="0012055A"/>
    <w:rsid w:val="001216C4"/>
    <w:rsid w:val="00123CA2"/>
    <w:rsid w:val="001300A7"/>
    <w:rsid w:val="001329A7"/>
    <w:rsid w:val="00133E86"/>
    <w:rsid w:val="0013433E"/>
    <w:rsid w:val="001346FC"/>
    <w:rsid w:val="00135168"/>
    <w:rsid w:val="001353F3"/>
    <w:rsid w:val="00135957"/>
    <w:rsid w:val="00137E47"/>
    <w:rsid w:val="00143462"/>
    <w:rsid w:val="001459BA"/>
    <w:rsid w:val="00146605"/>
    <w:rsid w:val="00155AF0"/>
    <w:rsid w:val="00156183"/>
    <w:rsid w:val="0016139B"/>
    <w:rsid w:val="001617E5"/>
    <w:rsid w:val="001630B5"/>
    <w:rsid w:val="00170A92"/>
    <w:rsid w:val="001717A3"/>
    <w:rsid w:val="00172CA6"/>
    <w:rsid w:val="00176682"/>
    <w:rsid w:val="0017704F"/>
    <w:rsid w:val="00177E7D"/>
    <w:rsid w:val="00183A9E"/>
    <w:rsid w:val="00186D2E"/>
    <w:rsid w:val="001926D9"/>
    <w:rsid w:val="0019789C"/>
    <w:rsid w:val="001A0346"/>
    <w:rsid w:val="001A42D7"/>
    <w:rsid w:val="001A5F2A"/>
    <w:rsid w:val="001A7646"/>
    <w:rsid w:val="001B1DC6"/>
    <w:rsid w:val="001B27BB"/>
    <w:rsid w:val="001B2B0B"/>
    <w:rsid w:val="001B5E66"/>
    <w:rsid w:val="001C0260"/>
    <w:rsid w:val="001C0394"/>
    <w:rsid w:val="001C0CE2"/>
    <w:rsid w:val="001C115B"/>
    <w:rsid w:val="001C2C4A"/>
    <w:rsid w:val="001C67FE"/>
    <w:rsid w:val="001D0EA8"/>
    <w:rsid w:val="001D4B30"/>
    <w:rsid w:val="001E2037"/>
    <w:rsid w:val="001E2942"/>
    <w:rsid w:val="001E32CC"/>
    <w:rsid w:val="001E3EBB"/>
    <w:rsid w:val="001E440E"/>
    <w:rsid w:val="001E4EAA"/>
    <w:rsid w:val="001E5E74"/>
    <w:rsid w:val="001E64E3"/>
    <w:rsid w:val="001E66AB"/>
    <w:rsid w:val="001F45F3"/>
    <w:rsid w:val="001F4C29"/>
    <w:rsid w:val="001F548C"/>
    <w:rsid w:val="0020132A"/>
    <w:rsid w:val="00202C12"/>
    <w:rsid w:val="00202D67"/>
    <w:rsid w:val="002040FE"/>
    <w:rsid w:val="0020480A"/>
    <w:rsid w:val="002052FE"/>
    <w:rsid w:val="00205CF2"/>
    <w:rsid w:val="002076F3"/>
    <w:rsid w:val="00211E49"/>
    <w:rsid w:val="00214E0D"/>
    <w:rsid w:val="00215D7C"/>
    <w:rsid w:val="00221DAC"/>
    <w:rsid w:val="00226416"/>
    <w:rsid w:val="00227510"/>
    <w:rsid w:val="00231B05"/>
    <w:rsid w:val="00231DC6"/>
    <w:rsid w:val="00235BED"/>
    <w:rsid w:val="00241F94"/>
    <w:rsid w:val="00242511"/>
    <w:rsid w:val="00242862"/>
    <w:rsid w:val="00243254"/>
    <w:rsid w:val="0024382B"/>
    <w:rsid w:val="00243A3D"/>
    <w:rsid w:val="0024455D"/>
    <w:rsid w:val="00245698"/>
    <w:rsid w:val="0025046B"/>
    <w:rsid w:val="0025135C"/>
    <w:rsid w:val="00253A57"/>
    <w:rsid w:val="00255A1F"/>
    <w:rsid w:val="00261FFE"/>
    <w:rsid w:val="00262703"/>
    <w:rsid w:val="0026534B"/>
    <w:rsid w:val="00265C4C"/>
    <w:rsid w:val="00270848"/>
    <w:rsid w:val="0027372F"/>
    <w:rsid w:val="00273CF1"/>
    <w:rsid w:val="002768E1"/>
    <w:rsid w:val="002776B2"/>
    <w:rsid w:val="00283D2C"/>
    <w:rsid w:val="00283DF6"/>
    <w:rsid w:val="00284216"/>
    <w:rsid w:val="002842F2"/>
    <w:rsid w:val="00284669"/>
    <w:rsid w:val="00284CD6"/>
    <w:rsid w:val="00284FE9"/>
    <w:rsid w:val="002870FC"/>
    <w:rsid w:val="00287513"/>
    <w:rsid w:val="00291305"/>
    <w:rsid w:val="00292BEC"/>
    <w:rsid w:val="0029429D"/>
    <w:rsid w:val="002942DA"/>
    <w:rsid w:val="00294BED"/>
    <w:rsid w:val="00294D76"/>
    <w:rsid w:val="00296567"/>
    <w:rsid w:val="002A3434"/>
    <w:rsid w:val="002A3AC4"/>
    <w:rsid w:val="002A4F70"/>
    <w:rsid w:val="002A4FB1"/>
    <w:rsid w:val="002A5CBB"/>
    <w:rsid w:val="002A65B0"/>
    <w:rsid w:val="002A6CB2"/>
    <w:rsid w:val="002A7762"/>
    <w:rsid w:val="002B19CC"/>
    <w:rsid w:val="002B34E9"/>
    <w:rsid w:val="002B624F"/>
    <w:rsid w:val="002B62F8"/>
    <w:rsid w:val="002B7ED1"/>
    <w:rsid w:val="002C3D2F"/>
    <w:rsid w:val="002C3D4E"/>
    <w:rsid w:val="002C3E44"/>
    <w:rsid w:val="002D3640"/>
    <w:rsid w:val="002D734E"/>
    <w:rsid w:val="002E0893"/>
    <w:rsid w:val="002E6A21"/>
    <w:rsid w:val="002E7646"/>
    <w:rsid w:val="002E77FC"/>
    <w:rsid w:val="002E78D7"/>
    <w:rsid w:val="002F096E"/>
    <w:rsid w:val="002F2B38"/>
    <w:rsid w:val="002F3B1F"/>
    <w:rsid w:val="002F5673"/>
    <w:rsid w:val="002F6368"/>
    <w:rsid w:val="00303679"/>
    <w:rsid w:val="00306731"/>
    <w:rsid w:val="00307F21"/>
    <w:rsid w:val="00311E29"/>
    <w:rsid w:val="003178E6"/>
    <w:rsid w:val="0032003C"/>
    <w:rsid w:val="00324110"/>
    <w:rsid w:val="003249A5"/>
    <w:rsid w:val="00324F97"/>
    <w:rsid w:val="00327FC2"/>
    <w:rsid w:val="003322F7"/>
    <w:rsid w:val="00332335"/>
    <w:rsid w:val="00333218"/>
    <w:rsid w:val="00343111"/>
    <w:rsid w:val="00343577"/>
    <w:rsid w:val="0034422D"/>
    <w:rsid w:val="00346042"/>
    <w:rsid w:val="00347118"/>
    <w:rsid w:val="003529A8"/>
    <w:rsid w:val="003534D6"/>
    <w:rsid w:val="00355098"/>
    <w:rsid w:val="00356F38"/>
    <w:rsid w:val="00357829"/>
    <w:rsid w:val="00361255"/>
    <w:rsid w:val="00364570"/>
    <w:rsid w:val="00364732"/>
    <w:rsid w:val="00364FD7"/>
    <w:rsid w:val="00365591"/>
    <w:rsid w:val="00371D17"/>
    <w:rsid w:val="0037462F"/>
    <w:rsid w:val="00375681"/>
    <w:rsid w:val="003756CE"/>
    <w:rsid w:val="00377E0F"/>
    <w:rsid w:val="00380F8A"/>
    <w:rsid w:val="0038144B"/>
    <w:rsid w:val="00384EF6"/>
    <w:rsid w:val="00385097"/>
    <w:rsid w:val="00394754"/>
    <w:rsid w:val="003956F6"/>
    <w:rsid w:val="00396537"/>
    <w:rsid w:val="00396AC8"/>
    <w:rsid w:val="00397E9B"/>
    <w:rsid w:val="003A03E2"/>
    <w:rsid w:val="003A0555"/>
    <w:rsid w:val="003A452C"/>
    <w:rsid w:val="003A6FDD"/>
    <w:rsid w:val="003B02F0"/>
    <w:rsid w:val="003B096D"/>
    <w:rsid w:val="003B4D05"/>
    <w:rsid w:val="003C20D5"/>
    <w:rsid w:val="003C49F7"/>
    <w:rsid w:val="003C6536"/>
    <w:rsid w:val="003C6FA4"/>
    <w:rsid w:val="003C732F"/>
    <w:rsid w:val="003D1812"/>
    <w:rsid w:val="003D2664"/>
    <w:rsid w:val="003D4D7D"/>
    <w:rsid w:val="003D7990"/>
    <w:rsid w:val="003E219A"/>
    <w:rsid w:val="003E4672"/>
    <w:rsid w:val="003E4CCC"/>
    <w:rsid w:val="003E7936"/>
    <w:rsid w:val="003F0C45"/>
    <w:rsid w:val="003F2B4A"/>
    <w:rsid w:val="003F4351"/>
    <w:rsid w:val="003F4584"/>
    <w:rsid w:val="00400EAC"/>
    <w:rsid w:val="0040135A"/>
    <w:rsid w:val="00404687"/>
    <w:rsid w:val="004056A8"/>
    <w:rsid w:val="00406484"/>
    <w:rsid w:val="00406878"/>
    <w:rsid w:val="004078DF"/>
    <w:rsid w:val="00412F42"/>
    <w:rsid w:val="00415FDA"/>
    <w:rsid w:val="00416A2B"/>
    <w:rsid w:val="00416EBF"/>
    <w:rsid w:val="00417410"/>
    <w:rsid w:val="00417F08"/>
    <w:rsid w:val="004215A6"/>
    <w:rsid w:val="0042181A"/>
    <w:rsid w:val="00422402"/>
    <w:rsid w:val="004230E1"/>
    <w:rsid w:val="004263E1"/>
    <w:rsid w:val="00426ED7"/>
    <w:rsid w:val="00427643"/>
    <w:rsid w:val="00431EBC"/>
    <w:rsid w:val="0043227F"/>
    <w:rsid w:val="004330C3"/>
    <w:rsid w:val="004336F6"/>
    <w:rsid w:val="00434AB8"/>
    <w:rsid w:val="00434C96"/>
    <w:rsid w:val="004428EE"/>
    <w:rsid w:val="00446559"/>
    <w:rsid w:val="00450684"/>
    <w:rsid w:val="00451F67"/>
    <w:rsid w:val="00455CDF"/>
    <w:rsid w:val="00455F7C"/>
    <w:rsid w:val="0045659C"/>
    <w:rsid w:val="0045718B"/>
    <w:rsid w:val="00457A04"/>
    <w:rsid w:val="00457E53"/>
    <w:rsid w:val="00461649"/>
    <w:rsid w:val="00463ADB"/>
    <w:rsid w:val="0046429E"/>
    <w:rsid w:val="00464FA4"/>
    <w:rsid w:val="004742C5"/>
    <w:rsid w:val="004744A2"/>
    <w:rsid w:val="0047588E"/>
    <w:rsid w:val="004768DB"/>
    <w:rsid w:val="0048087C"/>
    <w:rsid w:val="00480AF0"/>
    <w:rsid w:val="00481642"/>
    <w:rsid w:val="00482702"/>
    <w:rsid w:val="00482EB6"/>
    <w:rsid w:val="00484C86"/>
    <w:rsid w:val="00491355"/>
    <w:rsid w:val="00492FD3"/>
    <w:rsid w:val="00494023"/>
    <w:rsid w:val="0049446E"/>
    <w:rsid w:val="004951B7"/>
    <w:rsid w:val="00495576"/>
    <w:rsid w:val="004956B8"/>
    <w:rsid w:val="004969E4"/>
    <w:rsid w:val="004A230F"/>
    <w:rsid w:val="004A4661"/>
    <w:rsid w:val="004A5D4D"/>
    <w:rsid w:val="004B4425"/>
    <w:rsid w:val="004B4C65"/>
    <w:rsid w:val="004B5E28"/>
    <w:rsid w:val="004B6F9F"/>
    <w:rsid w:val="004C035E"/>
    <w:rsid w:val="004C0FF4"/>
    <w:rsid w:val="004C178B"/>
    <w:rsid w:val="004C3F7E"/>
    <w:rsid w:val="004C5029"/>
    <w:rsid w:val="004C7B6E"/>
    <w:rsid w:val="004D1B84"/>
    <w:rsid w:val="004D32B0"/>
    <w:rsid w:val="004D344C"/>
    <w:rsid w:val="004D3AB0"/>
    <w:rsid w:val="004D4799"/>
    <w:rsid w:val="004D48B0"/>
    <w:rsid w:val="004D73A5"/>
    <w:rsid w:val="004E2F48"/>
    <w:rsid w:val="004E6439"/>
    <w:rsid w:val="004E7209"/>
    <w:rsid w:val="004F0D3E"/>
    <w:rsid w:val="004F209D"/>
    <w:rsid w:val="004F4690"/>
    <w:rsid w:val="004F6F06"/>
    <w:rsid w:val="004F7068"/>
    <w:rsid w:val="005007B6"/>
    <w:rsid w:val="00501AAF"/>
    <w:rsid w:val="00505696"/>
    <w:rsid w:val="00507A30"/>
    <w:rsid w:val="0051161D"/>
    <w:rsid w:val="00511748"/>
    <w:rsid w:val="00511DBE"/>
    <w:rsid w:val="005172EA"/>
    <w:rsid w:val="0052082C"/>
    <w:rsid w:val="00522ADE"/>
    <w:rsid w:val="00524E23"/>
    <w:rsid w:val="00524F73"/>
    <w:rsid w:val="00525EC3"/>
    <w:rsid w:val="005302FC"/>
    <w:rsid w:val="005319CE"/>
    <w:rsid w:val="00531BEF"/>
    <w:rsid w:val="00532A3B"/>
    <w:rsid w:val="00534F08"/>
    <w:rsid w:val="00535C87"/>
    <w:rsid w:val="00535CDC"/>
    <w:rsid w:val="0054059D"/>
    <w:rsid w:val="00540A1E"/>
    <w:rsid w:val="005418C1"/>
    <w:rsid w:val="00542AB9"/>
    <w:rsid w:val="00543AA7"/>
    <w:rsid w:val="00543D99"/>
    <w:rsid w:val="00544D34"/>
    <w:rsid w:val="00547515"/>
    <w:rsid w:val="005506D3"/>
    <w:rsid w:val="0055080A"/>
    <w:rsid w:val="00550D1F"/>
    <w:rsid w:val="00551045"/>
    <w:rsid w:val="005555BA"/>
    <w:rsid w:val="0055590A"/>
    <w:rsid w:val="005673D7"/>
    <w:rsid w:val="0057014E"/>
    <w:rsid w:val="00572BF3"/>
    <w:rsid w:val="00575E6D"/>
    <w:rsid w:val="00580386"/>
    <w:rsid w:val="00582483"/>
    <w:rsid w:val="00586057"/>
    <w:rsid w:val="00590E0A"/>
    <w:rsid w:val="00591AE9"/>
    <w:rsid w:val="005934EB"/>
    <w:rsid w:val="0059494E"/>
    <w:rsid w:val="00595063"/>
    <w:rsid w:val="00596105"/>
    <w:rsid w:val="005968D0"/>
    <w:rsid w:val="00597A6B"/>
    <w:rsid w:val="005A0DB0"/>
    <w:rsid w:val="005A1300"/>
    <w:rsid w:val="005A41A5"/>
    <w:rsid w:val="005A5B44"/>
    <w:rsid w:val="005A5D13"/>
    <w:rsid w:val="005A5DF3"/>
    <w:rsid w:val="005A77A4"/>
    <w:rsid w:val="005B1E1B"/>
    <w:rsid w:val="005B7C5A"/>
    <w:rsid w:val="005C2F16"/>
    <w:rsid w:val="005C4FDF"/>
    <w:rsid w:val="005D0E89"/>
    <w:rsid w:val="005D7EC7"/>
    <w:rsid w:val="005E11FC"/>
    <w:rsid w:val="005E1A5B"/>
    <w:rsid w:val="005E3841"/>
    <w:rsid w:val="005E47E5"/>
    <w:rsid w:val="005E6508"/>
    <w:rsid w:val="005F3CA8"/>
    <w:rsid w:val="005F6266"/>
    <w:rsid w:val="006008E0"/>
    <w:rsid w:val="00602071"/>
    <w:rsid w:val="006029E2"/>
    <w:rsid w:val="00602CB1"/>
    <w:rsid w:val="00604C9C"/>
    <w:rsid w:val="0060581D"/>
    <w:rsid w:val="00610F0B"/>
    <w:rsid w:val="0061303F"/>
    <w:rsid w:val="006136BE"/>
    <w:rsid w:val="006164B4"/>
    <w:rsid w:val="006212E2"/>
    <w:rsid w:val="006245F8"/>
    <w:rsid w:val="00624F5A"/>
    <w:rsid w:val="00625AAE"/>
    <w:rsid w:val="00644E59"/>
    <w:rsid w:val="00645A9B"/>
    <w:rsid w:val="00646972"/>
    <w:rsid w:val="00646F81"/>
    <w:rsid w:val="00647D34"/>
    <w:rsid w:val="00653C45"/>
    <w:rsid w:val="00660A16"/>
    <w:rsid w:val="00662DC7"/>
    <w:rsid w:val="006633A0"/>
    <w:rsid w:val="006645F3"/>
    <w:rsid w:val="00665E75"/>
    <w:rsid w:val="00665F0F"/>
    <w:rsid w:val="00666E93"/>
    <w:rsid w:val="006673DC"/>
    <w:rsid w:val="00667B28"/>
    <w:rsid w:val="00667F02"/>
    <w:rsid w:val="00671B72"/>
    <w:rsid w:val="0067435B"/>
    <w:rsid w:val="00674E58"/>
    <w:rsid w:val="006823A5"/>
    <w:rsid w:val="00683C8B"/>
    <w:rsid w:val="00683CF7"/>
    <w:rsid w:val="00684F61"/>
    <w:rsid w:val="00685509"/>
    <w:rsid w:val="00686DDA"/>
    <w:rsid w:val="0069015E"/>
    <w:rsid w:val="00691361"/>
    <w:rsid w:val="00693479"/>
    <w:rsid w:val="006939B2"/>
    <w:rsid w:val="006A0D3B"/>
    <w:rsid w:val="006A1664"/>
    <w:rsid w:val="006A5642"/>
    <w:rsid w:val="006A6B00"/>
    <w:rsid w:val="006B1021"/>
    <w:rsid w:val="006B19EB"/>
    <w:rsid w:val="006B2547"/>
    <w:rsid w:val="006B532A"/>
    <w:rsid w:val="006B62A5"/>
    <w:rsid w:val="006B733C"/>
    <w:rsid w:val="006C0829"/>
    <w:rsid w:val="006C2A56"/>
    <w:rsid w:val="006C2F03"/>
    <w:rsid w:val="006C42D0"/>
    <w:rsid w:val="006C4C69"/>
    <w:rsid w:val="006C65B4"/>
    <w:rsid w:val="006C7C72"/>
    <w:rsid w:val="006D2C7D"/>
    <w:rsid w:val="006D3C26"/>
    <w:rsid w:val="006D5AD9"/>
    <w:rsid w:val="006D5F09"/>
    <w:rsid w:val="006D6AB0"/>
    <w:rsid w:val="006E5A49"/>
    <w:rsid w:val="006F0A1E"/>
    <w:rsid w:val="006F1727"/>
    <w:rsid w:val="006F28B9"/>
    <w:rsid w:val="006F2DD9"/>
    <w:rsid w:val="006F31DA"/>
    <w:rsid w:val="0070005D"/>
    <w:rsid w:val="00700AD5"/>
    <w:rsid w:val="00700AD6"/>
    <w:rsid w:val="00700D51"/>
    <w:rsid w:val="00702F28"/>
    <w:rsid w:val="00705696"/>
    <w:rsid w:val="00705797"/>
    <w:rsid w:val="00707CFA"/>
    <w:rsid w:val="00717270"/>
    <w:rsid w:val="00717C6C"/>
    <w:rsid w:val="0072048E"/>
    <w:rsid w:val="00723976"/>
    <w:rsid w:val="00734FD3"/>
    <w:rsid w:val="00735650"/>
    <w:rsid w:val="00736F25"/>
    <w:rsid w:val="00737350"/>
    <w:rsid w:val="007378B4"/>
    <w:rsid w:val="007411B7"/>
    <w:rsid w:val="007411F9"/>
    <w:rsid w:val="0074181B"/>
    <w:rsid w:val="0074251A"/>
    <w:rsid w:val="00742AD3"/>
    <w:rsid w:val="007457BB"/>
    <w:rsid w:val="0074648A"/>
    <w:rsid w:val="00750724"/>
    <w:rsid w:val="00750C8E"/>
    <w:rsid w:val="0075126A"/>
    <w:rsid w:val="00751D07"/>
    <w:rsid w:val="00752368"/>
    <w:rsid w:val="00756134"/>
    <w:rsid w:val="0075701C"/>
    <w:rsid w:val="00757A43"/>
    <w:rsid w:val="00760E93"/>
    <w:rsid w:val="007610DD"/>
    <w:rsid w:val="007625B2"/>
    <w:rsid w:val="0076362B"/>
    <w:rsid w:val="007705CC"/>
    <w:rsid w:val="0077260B"/>
    <w:rsid w:val="007749D9"/>
    <w:rsid w:val="00774E87"/>
    <w:rsid w:val="00775F53"/>
    <w:rsid w:val="007806A8"/>
    <w:rsid w:val="007810A5"/>
    <w:rsid w:val="007812AC"/>
    <w:rsid w:val="00781BA0"/>
    <w:rsid w:val="00783838"/>
    <w:rsid w:val="00790E2A"/>
    <w:rsid w:val="00791E91"/>
    <w:rsid w:val="00792FC4"/>
    <w:rsid w:val="00793990"/>
    <w:rsid w:val="00793C0B"/>
    <w:rsid w:val="00795437"/>
    <w:rsid w:val="007A43D1"/>
    <w:rsid w:val="007A7920"/>
    <w:rsid w:val="007B347B"/>
    <w:rsid w:val="007B4266"/>
    <w:rsid w:val="007B6F8B"/>
    <w:rsid w:val="007B7493"/>
    <w:rsid w:val="007C72D9"/>
    <w:rsid w:val="007C7673"/>
    <w:rsid w:val="007D04E2"/>
    <w:rsid w:val="007D43E6"/>
    <w:rsid w:val="007D6437"/>
    <w:rsid w:val="007E338E"/>
    <w:rsid w:val="007E4E40"/>
    <w:rsid w:val="007E5C6B"/>
    <w:rsid w:val="007F2C91"/>
    <w:rsid w:val="007F30EF"/>
    <w:rsid w:val="007F3567"/>
    <w:rsid w:val="007F367E"/>
    <w:rsid w:val="007F55D8"/>
    <w:rsid w:val="007F635C"/>
    <w:rsid w:val="007F6552"/>
    <w:rsid w:val="007F69B7"/>
    <w:rsid w:val="0080041A"/>
    <w:rsid w:val="008064C5"/>
    <w:rsid w:val="0080669E"/>
    <w:rsid w:val="00806FED"/>
    <w:rsid w:val="0081080F"/>
    <w:rsid w:val="00810D9F"/>
    <w:rsid w:val="00820E98"/>
    <w:rsid w:val="0082159F"/>
    <w:rsid w:val="00825B4D"/>
    <w:rsid w:val="00825B96"/>
    <w:rsid w:val="008267E4"/>
    <w:rsid w:val="00826F64"/>
    <w:rsid w:val="00834766"/>
    <w:rsid w:val="0083588A"/>
    <w:rsid w:val="00835963"/>
    <w:rsid w:val="00835E14"/>
    <w:rsid w:val="00846CF2"/>
    <w:rsid w:val="00846E22"/>
    <w:rsid w:val="008536CF"/>
    <w:rsid w:val="0085757E"/>
    <w:rsid w:val="0086226A"/>
    <w:rsid w:val="0086533C"/>
    <w:rsid w:val="00867C94"/>
    <w:rsid w:val="00872C3B"/>
    <w:rsid w:val="008743DD"/>
    <w:rsid w:val="00876731"/>
    <w:rsid w:val="00876953"/>
    <w:rsid w:val="00876F93"/>
    <w:rsid w:val="0087742F"/>
    <w:rsid w:val="008818D5"/>
    <w:rsid w:val="00882360"/>
    <w:rsid w:val="00882843"/>
    <w:rsid w:val="008860A7"/>
    <w:rsid w:val="008914A3"/>
    <w:rsid w:val="0089293E"/>
    <w:rsid w:val="00892C29"/>
    <w:rsid w:val="008935EC"/>
    <w:rsid w:val="00894758"/>
    <w:rsid w:val="0089562D"/>
    <w:rsid w:val="008A0E05"/>
    <w:rsid w:val="008A1439"/>
    <w:rsid w:val="008A1E0D"/>
    <w:rsid w:val="008A352A"/>
    <w:rsid w:val="008A3A48"/>
    <w:rsid w:val="008A43A3"/>
    <w:rsid w:val="008A5B47"/>
    <w:rsid w:val="008A6F90"/>
    <w:rsid w:val="008B008D"/>
    <w:rsid w:val="008B12C6"/>
    <w:rsid w:val="008B2EF1"/>
    <w:rsid w:val="008B2FDC"/>
    <w:rsid w:val="008B5E06"/>
    <w:rsid w:val="008B736B"/>
    <w:rsid w:val="008B7BF4"/>
    <w:rsid w:val="008C256B"/>
    <w:rsid w:val="008C4632"/>
    <w:rsid w:val="008C49D7"/>
    <w:rsid w:val="008C7E37"/>
    <w:rsid w:val="008D0148"/>
    <w:rsid w:val="008E17F9"/>
    <w:rsid w:val="008E31FD"/>
    <w:rsid w:val="008E33A7"/>
    <w:rsid w:val="008E35F0"/>
    <w:rsid w:val="008E5F47"/>
    <w:rsid w:val="008E6792"/>
    <w:rsid w:val="008F0C08"/>
    <w:rsid w:val="008F2C78"/>
    <w:rsid w:val="008F50CF"/>
    <w:rsid w:val="008F70AF"/>
    <w:rsid w:val="0090025A"/>
    <w:rsid w:val="00900CAA"/>
    <w:rsid w:val="009021E7"/>
    <w:rsid w:val="009027AB"/>
    <w:rsid w:val="009028BC"/>
    <w:rsid w:val="00902CE1"/>
    <w:rsid w:val="00903AA5"/>
    <w:rsid w:val="00903E12"/>
    <w:rsid w:val="00912074"/>
    <w:rsid w:val="0091221D"/>
    <w:rsid w:val="0091399C"/>
    <w:rsid w:val="00914080"/>
    <w:rsid w:val="0092075E"/>
    <w:rsid w:val="00922DBD"/>
    <w:rsid w:val="009238DD"/>
    <w:rsid w:val="00924813"/>
    <w:rsid w:val="00927B59"/>
    <w:rsid w:val="00932D7A"/>
    <w:rsid w:val="00934230"/>
    <w:rsid w:val="00936D29"/>
    <w:rsid w:val="00937232"/>
    <w:rsid w:val="00937570"/>
    <w:rsid w:val="00941E7D"/>
    <w:rsid w:val="00942E81"/>
    <w:rsid w:val="00946D49"/>
    <w:rsid w:val="00950C98"/>
    <w:rsid w:val="009527D9"/>
    <w:rsid w:val="00952C0C"/>
    <w:rsid w:val="00954CF6"/>
    <w:rsid w:val="00956C6C"/>
    <w:rsid w:val="00961B1D"/>
    <w:rsid w:val="009621E9"/>
    <w:rsid w:val="00962775"/>
    <w:rsid w:val="00963186"/>
    <w:rsid w:val="00963AEE"/>
    <w:rsid w:val="00964BAC"/>
    <w:rsid w:val="00965EEC"/>
    <w:rsid w:val="0096765F"/>
    <w:rsid w:val="0097057D"/>
    <w:rsid w:val="009710EA"/>
    <w:rsid w:val="00972046"/>
    <w:rsid w:val="00972189"/>
    <w:rsid w:val="0097417B"/>
    <w:rsid w:val="00974A49"/>
    <w:rsid w:val="00976644"/>
    <w:rsid w:val="00982E36"/>
    <w:rsid w:val="00982EFC"/>
    <w:rsid w:val="009847F1"/>
    <w:rsid w:val="00984C33"/>
    <w:rsid w:val="0098650C"/>
    <w:rsid w:val="009879B7"/>
    <w:rsid w:val="00992850"/>
    <w:rsid w:val="00994BF4"/>
    <w:rsid w:val="0099679D"/>
    <w:rsid w:val="00996BEF"/>
    <w:rsid w:val="0099715A"/>
    <w:rsid w:val="00997775"/>
    <w:rsid w:val="009A1564"/>
    <w:rsid w:val="009A17B5"/>
    <w:rsid w:val="009A328D"/>
    <w:rsid w:val="009A5705"/>
    <w:rsid w:val="009A65DC"/>
    <w:rsid w:val="009A74C3"/>
    <w:rsid w:val="009A7C63"/>
    <w:rsid w:val="009B0A92"/>
    <w:rsid w:val="009B24B4"/>
    <w:rsid w:val="009B4375"/>
    <w:rsid w:val="009B573A"/>
    <w:rsid w:val="009B5B13"/>
    <w:rsid w:val="009B6B10"/>
    <w:rsid w:val="009C27DE"/>
    <w:rsid w:val="009C3568"/>
    <w:rsid w:val="009C5904"/>
    <w:rsid w:val="009D15FF"/>
    <w:rsid w:val="009D240C"/>
    <w:rsid w:val="009D53D4"/>
    <w:rsid w:val="009E02A2"/>
    <w:rsid w:val="009E09DA"/>
    <w:rsid w:val="009E2E0B"/>
    <w:rsid w:val="009E4621"/>
    <w:rsid w:val="009E4D88"/>
    <w:rsid w:val="009E7FD6"/>
    <w:rsid w:val="009F56FA"/>
    <w:rsid w:val="009F66C3"/>
    <w:rsid w:val="009F6819"/>
    <w:rsid w:val="009F6EB7"/>
    <w:rsid w:val="009F7494"/>
    <w:rsid w:val="00A00C67"/>
    <w:rsid w:val="00A00CBE"/>
    <w:rsid w:val="00A044F7"/>
    <w:rsid w:val="00A05AB5"/>
    <w:rsid w:val="00A05B26"/>
    <w:rsid w:val="00A07B2E"/>
    <w:rsid w:val="00A10C2D"/>
    <w:rsid w:val="00A134E9"/>
    <w:rsid w:val="00A1379C"/>
    <w:rsid w:val="00A16D00"/>
    <w:rsid w:val="00A236FB"/>
    <w:rsid w:val="00A24C44"/>
    <w:rsid w:val="00A26923"/>
    <w:rsid w:val="00A275B5"/>
    <w:rsid w:val="00A30198"/>
    <w:rsid w:val="00A3109C"/>
    <w:rsid w:val="00A32850"/>
    <w:rsid w:val="00A3594D"/>
    <w:rsid w:val="00A35F08"/>
    <w:rsid w:val="00A36714"/>
    <w:rsid w:val="00A36D10"/>
    <w:rsid w:val="00A36E10"/>
    <w:rsid w:val="00A40D87"/>
    <w:rsid w:val="00A42776"/>
    <w:rsid w:val="00A47831"/>
    <w:rsid w:val="00A538CD"/>
    <w:rsid w:val="00A54723"/>
    <w:rsid w:val="00A547B7"/>
    <w:rsid w:val="00A572D4"/>
    <w:rsid w:val="00A57B7D"/>
    <w:rsid w:val="00A63A6A"/>
    <w:rsid w:val="00A66E00"/>
    <w:rsid w:val="00A67372"/>
    <w:rsid w:val="00A70262"/>
    <w:rsid w:val="00A73AC6"/>
    <w:rsid w:val="00A773E3"/>
    <w:rsid w:val="00A8026B"/>
    <w:rsid w:val="00A83680"/>
    <w:rsid w:val="00A84698"/>
    <w:rsid w:val="00A8524D"/>
    <w:rsid w:val="00A86577"/>
    <w:rsid w:val="00A90DAE"/>
    <w:rsid w:val="00A93519"/>
    <w:rsid w:val="00A94EDE"/>
    <w:rsid w:val="00A94F72"/>
    <w:rsid w:val="00AA0B75"/>
    <w:rsid w:val="00AA49BD"/>
    <w:rsid w:val="00AA512E"/>
    <w:rsid w:val="00AB0B17"/>
    <w:rsid w:val="00AB2283"/>
    <w:rsid w:val="00AB44EB"/>
    <w:rsid w:val="00AB5565"/>
    <w:rsid w:val="00AB6905"/>
    <w:rsid w:val="00AC3010"/>
    <w:rsid w:val="00AC4BB0"/>
    <w:rsid w:val="00AC5188"/>
    <w:rsid w:val="00AC5F55"/>
    <w:rsid w:val="00AC6B8C"/>
    <w:rsid w:val="00AC7BFA"/>
    <w:rsid w:val="00AD070C"/>
    <w:rsid w:val="00AD20A5"/>
    <w:rsid w:val="00AD35CD"/>
    <w:rsid w:val="00AD46EC"/>
    <w:rsid w:val="00AD5B3F"/>
    <w:rsid w:val="00AD6373"/>
    <w:rsid w:val="00AD6EB9"/>
    <w:rsid w:val="00AD7FB5"/>
    <w:rsid w:val="00AE2A5F"/>
    <w:rsid w:val="00AE3A75"/>
    <w:rsid w:val="00AE3F79"/>
    <w:rsid w:val="00AF12BD"/>
    <w:rsid w:val="00AF1C0E"/>
    <w:rsid w:val="00AF38B6"/>
    <w:rsid w:val="00AF4DC6"/>
    <w:rsid w:val="00AF4E2F"/>
    <w:rsid w:val="00AF50CC"/>
    <w:rsid w:val="00AF5535"/>
    <w:rsid w:val="00AF6A51"/>
    <w:rsid w:val="00AF7E47"/>
    <w:rsid w:val="00B00EAA"/>
    <w:rsid w:val="00B01D5F"/>
    <w:rsid w:val="00B023E0"/>
    <w:rsid w:val="00B06CCA"/>
    <w:rsid w:val="00B13181"/>
    <w:rsid w:val="00B14500"/>
    <w:rsid w:val="00B16E84"/>
    <w:rsid w:val="00B17025"/>
    <w:rsid w:val="00B20266"/>
    <w:rsid w:val="00B2250D"/>
    <w:rsid w:val="00B2293E"/>
    <w:rsid w:val="00B2340B"/>
    <w:rsid w:val="00B234FD"/>
    <w:rsid w:val="00B2407E"/>
    <w:rsid w:val="00B26881"/>
    <w:rsid w:val="00B32C0E"/>
    <w:rsid w:val="00B345B7"/>
    <w:rsid w:val="00B34AD7"/>
    <w:rsid w:val="00B34CFB"/>
    <w:rsid w:val="00B35574"/>
    <w:rsid w:val="00B3636E"/>
    <w:rsid w:val="00B379DA"/>
    <w:rsid w:val="00B42F47"/>
    <w:rsid w:val="00B44401"/>
    <w:rsid w:val="00B47E50"/>
    <w:rsid w:val="00B50A6D"/>
    <w:rsid w:val="00B51398"/>
    <w:rsid w:val="00B60675"/>
    <w:rsid w:val="00B706AE"/>
    <w:rsid w:val="00B709D0"/>
    <w:rsid w:val="00B71292"/>
    <w:rsid w:val="00B731EE"/>
    <w:rsid w:val="00B7562D"/>
    <w:rsid w:val="00B77714"/>
    <w:rsid w:val="00B77780"/>
    <w:rsid w:val="00B77DBB"/>
    <w:rsid w:val="00B8072E"/>
    <w:rsid w:val="00B80735"/>
    <w:rsid w:val="00B80DB9"/>
    <w:rsid w:val="00B82BC9"/>
    <w:rsid w:val="00B83406"/>
    <w:rsid w:val="00B83946"/>
    <w:rsid w:val="00B84031"/>
    <w:rsid w:val="00B864C6"/>
    <w:rsid w:val="00B86641"/>
    <w:rsid w:val="00B90354"/>
    <w:rsid w:val="00B92A60"/>
    <w:rsid w:val="00B92B39"/>
    <w:rsid w:val="00B93E9F"/>
    <w:rsid w:val="00B95802"/>
    <w:rsid w:val="00BA3E00"/>
    <w:rsid w:val="00BA6305"/>
    <w:rsid w:val="00BA6E44"/>
    <w:rsid w:val="00BB2BC8"/>
    <w:rsid w:val="00BB2C59"/>
    <w:rsid w:val="00BB2EDE"/>
    <w:rsid w:val="00BB5786"/>
    <w:rsid w:val="00BB770B"/>
    <w:rsid w:val="00BC0060"/>
    <w:rsid w:val="00BC0482"/>
    <w:rsid w:val="00BC1E06"/>
    <w:rsid w:val="00BC63CF"/>
    <w:rsid w:val="00BD3D29"/>
    <w:rsid w:val="00BD5034"/>
    <w:rsid w:val="00BD5449"/>
    <w:rsid w:val="00BE2F37"/>
    <w:rsid w:val="00BE397E"/>
    <w:rsid w:val="00BE75AE"/>
    <w:rsid w:val="00BE7E4C"/>
    <w:rsid w:val="00BF0144"/>
    <w:rsid w:val="00BF16BB"/>
    <w:rsid w:val="00BF20DA"/>
    <w:rsid w:val="00BF6C3D"/>
    <w:rsid w:val="00BF70F3"/>
    <w:rsid w:val="00BF799A"/>
    <w:rsid w:val="00C0404A"/>
    <w:rsid w:val="00C06C64"/>
    <w:rsid w:val="00C07EBF"/>
    <w:rsid w:val="00C11F6C"/>
    <w:rsid w:val="00C13147"/>
    <w:rsid w:val="00C14F58"/>
    <w:rsid w:val="00C157DA"/>
    <w:rsid w:val="00C1696D"/>
    <w:rsid w:val="00C17BD2"/>
    <w:rsid w:val="00C17D0E"/>
    <w:rsid w:val="00C17E59"/>
    <w:rsid w:val="00C209D5"/>
    <w:rsid w:val="00C21C1A"/>
    <w:rsid w:val="00C229AC"/>
    <w:rsid w:val="00C23E1E"/>
    <w:rsid w:val="00C25857"/>
    <w:rsid w:val="00C25B5B"/>
    <w:rsid w:val="00C25ED6"/>
    <w:rsid w:val="00C263FA"/>
    <w:rsid w:val="00C31888"/>
    <w:rsid w:val="00C31D3D"/>
    <w:rsid w:val="00C34221"/>
    <w:rsid w:val="00C407BA"/>
    <w:rsid w:val="00C418CC"/>
    <w:rsid w:val="00C44FC1"/>
    <w:rsid w:val="00C50849"/>
    <w:rsid w:val="00C50921"/>
    <w:rsid w:val="00C51991"/>
    <w:rsid w:val="00C51E0A"/>
    <w:rsid w:val="00C5429E"/>
    <w:rsid w:val="00C54693"/>
    <w:rsid w:val="00C56659"/>
    <w:rsid w:val="00C6023C"/>
    <w:rsid w:val="00C61ACA"/>
    <w:rsid w:val="00C63892"/>
    <w:rsid w:val="00C7061A"/>
    <w:rsid w:val="00C712EA"/>
    <w:rsid w:val="00C718C0"/>
    <w:rsid w:val="00C73E64"/>
    <w:rsid w:val="00C778C1"/>
    <w:rsid w:val="00C80CBB"/>
    <w:rsid w:val="00C84ABE"/>
    <w:rsid w:val="00C91E78"/>
    <w:rsid w:val="00C94B67"/>
    <w:rsid w:val="00C94EEE"/>
    <w:rsid w:val="00C96201"/>
    <w:rsid w:val="00C96F4A"/>
    <w:rsid w:val="00C97E78"/>
    <w:rsid w:val="00CA170B"/>
    <w:rsid w:val="00CA2156"/>
    <w:rsid w:val="00CA226A"/>
    <w:rsid w:val="00CA3671"/>
    <w:rsid w:val="00CA584A"/>
    <w:rsid w:val="00CA5FB7"/>
    <w:rsid w:val="00CA69FB"/>
    <w:rsid w:val="00CB01AE"/>
    <w:rsid w:val="00CB1298"/>
    <w:rsid w:val="00CB1610"/>
    <w:rsid w:val="00CB26E7"/>
    <w:rsid w:val="00CB427E"/>
    <w:rsid w:val="00CB4C29"/>
    <w:rsid w:val="00CC049D"/>
    <w:rsid w:val="00CC1723"/>
    <w:rsid w:val="00CC5A6E"/>
    <w:rsid w:val="00CC6139"/>
    <w:rsid w:val="00CC6FE9"/>
    <w:rsid w:val="00CD0097"/>
    <w:rsid w:val="00CD438A"/>
    <w:rsid w:val="00CD5347"/>
    <w:rsid w:val="00CD7C00"/>
    <w:rsid w:val="00CF2B4C"/>
    <w:rsid w:val="00CF4EC8"/>
    <w:rsid w:val="00CF5287"/>
    <w:rsid w:val="00CF5BA0"/>
    <w:rsid w:val="00CF6216"/>
    <w:rsid w:val="00CF6F01"/>
    <w:rsid w:val="00CF77FC"/>
    <w:rsid w:val="00CF78DC"/>
    <w:rsid w:val="00D005BD"/>
    <w:rsid w:val="00D01E1E"/>
    <w:rsid w:val="00D0426B"/>
    <w:rsid w:val="00D0628F"/>
    <w:rsid w:val="00D10CCE"/>
    <w:rsid w:val="00D116B8"/>
    <w:rsid w:val="00D1245A"/>
    <w:rsid w:val="00D1288A"/>
    <w:rsid w:val="00D13BD5"/>
    <w:rsid w:val="00D1457C"/>
    <w:rsid w:val="00D15A4B"/>
    <w:rsid w:val="00D15FB9"/>
    <w:rsid w:val="00D16B0C"/>
    <w:rsid w:val="00D17AD1"/>
    <w:rsid w:val="00D2194F"/>
    <w:rsid w:val="00D242A4"/>
    <w:rsid w:val="00D25C5B"/>
    <w:rsid w:val="00D25E2B"/>
    <w:rsid w:val="00D30090"/>
    <w:rsid w:val="00D33CDF"/>
    <w:rsid w:val="00D35B68"/>
    <w:rsid w:val="00D36737"/>
    <w:rsid w:val="00D4016E"/>
    <w:rsid w:val="00D40E9A"/>
    <w:rsid w:val="00D41B92"/>
    <w:rsid w:val="00D41E5B"/>
    <w:rsid w:val="00D43CD2"/>
    <w:rsid w:val="00D448DF"/>
    <w:rsid w:val="00D4563B"/>
    <w:rsid w:val="00D501A5"/>
    <w:rsid w:val="00D509A5"/>
    <w:rsid w:val="00D5249D"/>
    <w:rsid w:val="00D52785"/>
    <w:rsid w:val="00D52A6F"/>
    <w:rsid w:val="00D54404"/>
    <w:rsid w:val="00D5519C"/>
    <w:rsid w:val="00D5597C"/>
    <w:rsid w:val="00D56614"/>
    <w:rsid w:val="00D568A6"/>
    <w:rsid w:val="00D57963"/>
    <w:rsid w:val="00D60035"/>
    <w:rsid w:val="00D6375D"/>
    <w:rsid w:val="00D65B12"/>
    <w:rsid w:val="00D65F7E"/>
    <w:rsid w:val="00D70302"/>
    <w:rsid w:val="00D71E3E"/>
    <w:rsid w:val="00D80B91"/>
    <w:rsid w:val="00D878D7"/>
    <w:rsid w:val="00D90FF3"/>
    <w:rsid w:val="00D936F1"/>
    <w:rsid w:val="00D93941"/>
    <w:rsid w:val="00D94BD9"/>
    <w:rsid w:val="00D96F72"/>
    <w:rsid w:val="00DA2FF9"/>
    <w:rsid w:val="00DA5635"/>
    <w:rsid w:val="00DB01B0"/>
    <w:rsid w:val="00DB0498"/>
    <w:rsid w:val="00DB083C"/>
    <w:rsid w:val="00DB0BEF"/>
    <w:rsid w:val="00DB0FC3"/>
    <w:rsid w:val="00DB3EAC"/>
    <w:rsid w:val="00DB424C"/>
    <w:rsid w:val="00DC2A71"/>
    <w:rsid w:val="00DC789D"/>
    <w:rsid w:val="00DD15B7"/>
    <w:rsid w:val="00DD18B0"/>
    <w:rsid w:val="00DE201F"/>
    <w:rsid w:val="00DE2B43"/>
    <w:rsid w:val="00DE3333"/>
    <w:rsid w:val="00DE3948"/>
    <w:rsid w:val="00DE3D20"/>
    <w:rsid w:val="00DE4929"/>
    <w:rsid w:val="00DE4B4F"/>
    <w:rsid w:val="00DE562D"/>
    <w:rsid w:val="00DE5974"/>
    <w:rsid w:val="00DE6B2B"/>
    <w:rsid w:val="00DF1FF7"/>
    <w:rsid w:val="00DF2B44"/>
    <w:rsid w:val="00DF2CFC"/>
    <w:rsid w:val="00DF3FA9"/>
    <w:rsid w:val="00DF5CA4"/>
    <w:rsid w:val="00DF67F1"/>
    <w:rsid w:val="00DF7D2B"/>
    <w:rsid w:val="00E0018A"/>
    <w:rsid w:val="00E057FC"/>
    <w:rsid w:val="00E060DC"/>
    <w:rsid w:val="00E106B5"/>
    <w:rsid w:val="00E14590"/>
    <w:rsid w:val="00E15422"/>
    <w:rsid w:val="00E1594D"/>
    <w:rsid w:val="00E22C15"/>
    <w:rsid w:val="00E26A0E"/>
    <w:rsid w:val="00E33A6F"/>
    <w:rsid w:val="00E34960"/>
    <w:rsid w:val="00E34DDA"/>
    <w:rsid w:val="00E41902"/>
    <w:rsid w:val="00E447CF"/>
    <w:rsid w:val="00E45E1F"/>
    <w:rsid w:val="00E46097"/>
    <w:rsid w:val="00E46E5E"/>
    <w:rsid w:val="00E534D0"/>
    <w:rsid w:val="00E53C9A"/>
    <w:rsid w:val="00E5558B"/>
    <w:rsid w:val="00E562B9"/>
    <w:rsid w:val="00E56836"/>
    <w:rsid w:val="00E60CE8"/>
    <w:rsid w:val="00E6180C"/>
    <w:rsid w:val="00E63BA8"/>
    <w:rsid w:val="00E63C9D"/>
    <w:rsid w:val="00E646B0"/>
    <w:rsid w:val="00E64F44"/>
    <w:rsid w:val="00E6598C"/>
    <w:rsid w:val="00E7063C"/>
    <w:rsid w:val="00E86402"/>
    <w:rsid w:val="00E92670"/>
    <w:rsid w:val="00E94233"/>
    <w:rsid w:val="00E961D8"/>
    <w:rsid w:val="00E97923"/>
    <w:rsid w:val="00EA0C5F"/>
    <w:rsid w:val="00EA1D7D"/>
    <w:rsid w:val="00EA4B93"/>
    <w:rsid w:val="00EA5F94"/>
    <w:rsid w:val="00EA61A8"/>
    <w:rsid w:val="00EA6474"/>
    <w:rsid w:val="00EA78C9"/>
    <w:rsid w:val="00EB309F"/>
    <w:rsid w:val="00EB472E"/>
    <w:rsid w:val="00EB5053"/>
    <w:rsid w:val="00EB7917"/>
    <w:rsid w:val="00EB7C72"/>
    <w:rsid w:val="00EC37BA"/>
    <w:rsid w:val="00EC3B28"/>
    <w:rsid w:val="00EC3E06"/>
    <w:rsid w:val="00EC4EE1"/>
    <w:rsid w:val="00EC4FB8"/>
    <w:rsid w:val="00EC71C8"/>
    <w:rsid w:val="00ED3048"/>
    <w:rsid w:val="00ED450E"/>
    <w:rsid w:val="00ED4739"/>
    <w:rsid w:val="00ED54A7"/>
    <w:rsid w:val="00ED71FE"/>
    <w:rsid w:val="00EE1C32"/>
    <w:rsid w:val="00EE28F0"/>
    <w:rsid w:val="00EE3E11"/>
    <w:rsid w:val="00EE49C8"/>
    <w:rsid w:val="00EE527B"/>
    <w:rsid w:val="00EE739D"/>
    <w:rsid w:val="00EE7417"/>
    <w:rsid w:val="00EF1B87"/>
    <w:rsid w:val="00EF3FAA"/>
    <w:rsid w:val="00EF643E"/>
    <w:rsid w:val="00F0064C"/>
    <w:rsid w:val="00F03B31"/>
    <w:rsid w:val="00F0563D"/>
    <w:rsid w:val="00F10011"/>
    <w:rsid w:val="00F112E1"/>
    <w:rsid w:val="00F1158F"/>
    <w:rsid w:val="00F12DFD"/>
    <w:rsid w:val="00F13E4B"/>
    <w:rsid w:val="00F13FCA"/>
    <w:rsid w:val="00F14229"/>
    <w:rsid w:val="00F15E74"/>
    <w:rsid w:val="00F2152A"/>
    <w:rsid w:val="00F21F37"/>
    <w:rsid w:val="00F225F8"/>
    <w:rsid w:val="00F24447"/>
    <w:rsid w:val="00F25EF9"/>
    <w:rsid w:val="00F32F14"/>
    <w:rsid w:val="00F34CE2"/>
    <w:rsid w:val="00F36FD5"/>
    <w:rsid w:val="00F400A9"/>
    <w:rsid w:val="00F41949"/>
    <w:rsid w:val="00F42B31"/>
    <w:rsid w:val="00F42DE0"/>
    <w:rsid w:val="00F430A8"/>
    <w:rsid w:val="00F51213"/>
    <w:rsid w:val="00F51790"/>
    <w:rsid w:val="00F52160"/>
    <w:rsid w:val="00F524A9"/>
    <w:rsid w:val="00F57714"/>
    <w:rsid w:val="00F6294D"/>
    <w:rsid w:val="00F70F0B"/>
    <w:rsid w:val="00F71652"/>
    <w:rsid w:val="00F759FF"/>
    <w:rsid w:val="00F818F6"/>
    <w:rsid w:val="00F81DAD"/>
    <w:rsid w:val="00F82060"/>
    <w:rsid w:val="00F82BD6"/>
    <w:rsid w:val="00F8464C"/>
    <w:rsid w:val="00F849CD"/>
    <w:rsid w:val="00F84A0C"/>
    <w:rsid w:val="00F85F5B"/>
    <w:rsid w:val="00F92655"/>
    <w:rsid w:val="00F92988"/>
    <w:rsid w:val="00F969F2"/>
    <w:rsid w:val="00FA094B"/>
    <w:rsid w:val="00FA0A9E"/>
    <w:rsid w:val="00FA1576"/>
    <w:rsid w:val="00FA21ED"/>
    <w:rsid w:val="00FA2EE6"/>
    <w:rsid w:val="00FA4511"/>
    <w:rsid w:val="00FA53A8"/>
    <w:rsid w:val="00FA5BE9"/>
    <w:rsid w:val="00FA655D"/>
    <w:rsid w:val="00FA70B8"/>
    <w:rsid w:val="00FB10E9"/>
    <w:rsid w:val="00FB18F5"/>
    <w:rsid w:val="00FB2476"/>
    <w:rsid w:val="00FB4DE1"/>
    <w:rsid w:val="00FB635E"/>
    <w:rsid w:val="00FB7EAE"/>
    <w:rsid w:val="00FC30DE"/>
    <w:rsid w:val="00FC4364"/>
    <w:rsid w:val="00FC4604"/>
    <w:rsid w:val="00FC4D5B"/>
    <w:rsid w:val="00FC57F7"/>
    <w:rsid w:val="00FC7F85"/>
    <w:rsid w:val="00FD01F5"/>
    <w:rsid w:val="00FD1863"/>
    <w:rsid w:val="00FD476F"/>
    <w:rsid w:val="00FD56CC"/>
    <w:rsid w:val="00FD7818"/>
    <w:rsid w:val="00FE0295"/>
    <w:rsid w:val="00FE0DC7"/>
    <w:rsid w:val="00FE241C"/>
    <w:rsid w:val="00FE2866"/>
    <w:rsid w:val="00FE2C64"/>
    <w:rsid w:val="00FE2DF7"/>
    <w:rsid w:val="00FE33CF"/>
    <w:rsid w:val="00FE7827"/>
    <w:rsid w:val="00FF41B2"/>
    <w:rsid w:val="00FF6E20"/>
    <w:rsid w:val="15DA6B5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42F47"/>
  <w15:docId w15:val="{78A07FEF-256C-C24A-8443-D3EA90794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0CC"/>
    <w:pPr>
      <w:spacing w:after="0" w:line="360" w:lineRule="auto"/>
      <w:ind w:firstLine="288"/>
      <w:jc w:val="both"/>
    </w:pPr>
    <w:rPr>
      <w:rFonts w:ascii="Arial" w:eastAsiaTheme="minorEastAsia" w:hAnsi="Arial"/>
      <w:color w:val="000000" w:themeColor="text1"/>
      <w:sz w:val="24"/>
      <w:lang w:eastAsia="zh-CN"/>
    </w:rPr>
  </w:style>
  <w:style w:type="paragraph" w:styleId="Heading1">
    <w:name w:val="heading 1"/>
    <w:basedOn w:val="Normal"/>
    <w:next w:val="Normal"/>
    <w:link w:val="Heading1Char"/>
    <w:uiPriority w:val="9"/>
    <w:qFormat/>
    <w:rsid w:val="00C25ED6"/>
    <w:pPr>
      <w:keepNext/>
      <w:keepLines/>
      <w:spacing w:after="120"/>
      <w:ind w:left="284" w:hanging="284"/>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4C178B"/>
    <w:pPr>
      <w:keepNext/>
      <w:keepLines/>
      <w:spacing w:after="120"/>
      <w:ind w:left="562" w:hanging="562"/>
      <w:outlineLvl w:val="1"/>
    </w:pPr>
    <w:rPr>
      <w:rFonts w:eastAsiaTheme="majorEastAsia" w:cstheme="majorBidi"/>
      <w:b/>
      <w:sz w:val="26"/>
      <w:szCs w:val="26"/>
    </w:rPr>
  </w:style>
  <w:style w:type="paragraph" w:styleId="Heading3">
    <w:name w:val="heading 3"/>
    <w:basedOn w:val="Normal"/>
    <w:next w:val="Normal"/>
    <w:link w:val="Heading3Char"/>
    <w:uiPriority w:val="9"/>
    <w:unhideWhenUsed/>
    <w:qFormat/>
    <w:rsid w:val="004C178B"/>
    <w:pPr>
      <w:spacing w:after="120"/>
      <w:ind w:left="850" w:hanging="562"/>
      <w:jc w:val="left"/>
      <w:outlineLvl w:val="2"/>
    </w:pPr>
    <w:rPr>
      <w:rFonts w:eastAsiaTheme="majorEastAsia" w:cstheme="majorBidi"/>
      <w:b/>
      <w:bCs/>
      <w:szCs w:val="24"/>
      <w:lang w:bidi="en-US"/>
    </w:rPr>
  </w:style>
  <w:style w:type="paragraph" w:styleId="Heading4">
    <w:name w:val="heading 4"/>
    <w:basedOn w:val="Normal"/>
    <w:next w:val="Normal"/>
    <w:link w:val="Heading4Char"/>
    <w:uiPriority w:val="9"/>
    <w:qFormat/>
    <w:rsid w:val="004C178B"/>
    <w:pPr>
      <w:spacing w:before="240" w:after="240"/>
      <w:ind w:left="562"/>
      <w:jc w:val="left"/>
      <w:outlineLvl w:val="3"/>
    </w:pPr>
    <w:rPr>
      <w:rFonts w:eastAsiaTheme="majorEastAsia" w:cstheme="majorBidi"/>
      <w:b/>
      <w:bCs/>
      <w:i/>
      <w:iCs/>
      <w:lang w:bidi="en-US"/>
    </w:rPr>
  </w:style>
  <w:style w:type="paragraph" w:styleId="Heading5">
    <w:name w:val="heading 5"/>
    <w:basedOn w:val="Normal"/>
    <w:next w:val="Normal"/>
    <w:link w:val="Heading5Char"/>
    <w:uiPriority w:val="9"/>
    <w:unhideWhenUsed/>
    <w:qFormat/>
    <w:rsid w:val="001E440E"/>
    <w:pPr>
      <w:spacing w:before="120" w:after="240"/>
      <w:ind w:left="1138" w:firstLine="0"/>
      <w:outlineLvl w:val="4"/>
    </w:pPr>
    <w:rPr>
      <w:rFonts w:eastAsiaTheme="majorEastAsia" w:cstheme="majorBidi"/>
      <w:bCs/>
      <w:u w:val="single"/>
      <w:lang w:bidi="en-US"/>
    </w:rPr>
  </w:style>
  <w:style w:type="paragraph" w:styleId="Heading6">
    <w:name w:val="heading 6"/>
    <w:basedOn w:val="Normal"/>
    <w:next w:val="Normal"/>
    <w:link w:val="Heading6Char"/>
    <w:uiPriority w:val="9"/>
    <w:unhideWhenUsed/>
    <w:qFormat/>
    <w:rsid w:val="001C2C4A"/>
    <w:pPr>
      <w:spacing w:line="271" w:lineRule="auto"/>
      <w:outlineLvl w:val="5"/>
    </w:pPr>
    <w:rPr>
      <w:rFonts w:asciiTheme="majorHAnsi" w:eastAsiaTheme="majorEastAsia" w:hAnsiTheme="majorHAnsi"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1C2C4A"/>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
    <w:semiHidden/>
    <w:unhideWhenUsed/>
    <w:qFormat/>
    <w:rsid w:val="001C2C4A"/>
    <w:pPr>
      <w:outlineLvl w:val="7"/>
    </w:pPr>
    <w:rPr>
      <w:rFonts w:asciiTheme="majorHAnsi" w:eastAsiaTheme="majorEastAsia" w:hAnsiTheme="majorHAnsi" w:cstheme="majorBidi"/>
      <w:sz w:val="20"/>
      <w:lang w:bidi="en-US"/>
    </w:rPr>
  </w:style>
  <w:style w:type="paragraph" w:styleId="Heading9">
    <w:name w:val="heading 9"/>
    <w:basedOn w:val="Normal"/>
    <w:next w:val="Normal"/>
    <w:link w:val="Heading9Char"/>
    <w:uiPriority w:val="9"/>
    <w:semiHidden/>
    <w:unhideWhenUsed/>
    <w:qFormat/>
    <w:rsid w:val="001C2C4A"/>
    <w:pPr>
      <w:outlineLvl w:val="8"/>
    </w:pPr>
    <w:rPr>
      <w:rFonts w:asciiTheme="majorHAnsi" w:eastAsiaTheme="majorEastAsia" w:hAnsiTheme="majorHAnsi" w:cstheme="majorBidi"/>
      <w:i/>
      <w:iCs/>
      <w:spacing w:val="5"/>
      <w:sz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ED6"/>
    <w:rPr>
      <w:rFonts w:ascii="Arial" w:eastAsiaTheme="majorEastAsia" w:hAnsi="Arial" w:cstheme="majorBidi"/>
      <w:b/>
      <w:color w:val="000000" w:themeColor="text1"/>
      <w:sz w:val="28"/>
      <w:szCs w:val="32"/>
      <w:lang w:eastAsia="zh-CN"/>
    </w:rPr>
  </w:style>
  <w:style w:type="character" w:customStyle="1" w:styleId="Heading2Char">
    <w:name w:val="Heading 2 Char"/>
    <w:basedOn w:val="DefaultParagraphFont"/>
    <w:link w:val="Heading2"/>
    <w:uiPriority w:val="9"/>
    <w:rsid w:val="004C178B"/>
    <w:rPr>
      <w:rFonts w:ascii="Arial" w:eastAsiaTheme="majorEastAsia" w:hAnsi="Arial" w:cstheme="majorBidi"/>
      <w:b/>
      <w:color w:val="000000" w:themeColor="text1"/>
      <w:sz w:val="26"/>
      <w:szCs w:val="26"/>
      <w:lang w:eastAsia="zh-CN"/>
    </w:rPr>
  </w:style>
  <w:style w:type="character" w:customStyle="1" w:styleId="Heading3Char">
    <w:name w:val="Heading 3 Char"/>
    <w:basedOn w:val="DefaultParagraphFont"/>
    <w:link w:val="Heading3"/>
    <w:uiPriority w:val="9"/>
    <w:rsid w:val="004C178B"/>
    <w:rPr>
      <w:rFonts w:ascii="Arial" w:eastAsiaTheme="majorEastAsia" w:hAnsi="Arial" w:cstheme="majorBidi"/>
      <w:b/>
      <w:bCs/>
      <w:color w:val="000000" w:themeColor="text1"/>
      <w:sz w:val="24"/>
      <w:szCs w:val="24"/>
      <w:lang w:eastAsia="zh-CN" w:bidi="en-US"/>
    </w:rPr>
  </w:style>
  <w:style w:type="character" w:customStyle="1" w:styleId="Heading4Char">
    <w:name w:val="Heading 4 Char"/>
    <w:basedOn w:val="DefaultParagraphFont"/>
    <w:link w:val="Heading4"/>
    <w:uiPriority w:val="9"/>
    <w:rsid w:val="004C178B"/>
    <w:rPr>
      <w:rFonts w:ascii="Arial" w:eastAsiaTheme="majorEastAsia" w:hAnsi="Arial" w:cstheme="majorBidi"/>
      <w:b/>
      <w:bCs/>
      <w:i/>
      <w:iCs/>
      <w:color w:val="000000" w:themeColor="text1"/>
      <w:sz w:val="24"/>
      <w:lang w:eastAsia="zh-CN" w:bidi="en-US"/>
    </w:rPr>
  </w:style>
  <w:style w:type="character" w:customStyle="1" w:styleId="Heading5Char">
    <w:name w:val="Heading 5 Char"/>
    <w:basedOn w:val="DefaultParagraphFont"/>
    <w:link w:val="Heading5"/>
    <w:uiPriority w:val="9"/>
    <w:rsid w:val="001E440E"/>
    <w:rPr>
      <w:rFonts w:ascii="Arial" w:eastAsiaTheme="majorEastAsia" w:hAnsi="Arial" w:cstheme="majorBidi"/>
      <w:bCs/>
      <w:color w:val="000000" w:themeColor="text1"/>
      <w:sz w:val="24"/>
      <w:u w:val="single"/>
      <w:lang w:eastAsia="zh-CN" w:bidi="en-US"/>
    </w:rPr>
  </w:style>
  <w:style w:type="character" w:customStyle="1" w:styleId="Heading6Char">
    <w:name w:val="Heading 6 Char"/>
    <w:basedOn w:val="DefaultParagraphFont"/>
    <w:link w:val="Heading6"/>
    <w:uiPriority w:val="9"/>
    <w:rsid w:val="001C2C4A"/>
    <w:rPr>
      <w:rFonts w:asciiTheme="majorHAnsi" w:eastAsiaTheme="majorEastAsia" w:hAnsiTheme="majorHAnsi" w:cstheme="majorBidi"/>
      <w:b/>
      <w:bCs/>
      <w:i/>
      <w:iCs/>
      <w:color w:val="7F7F7F" w:themeColor="text1" w:themeTint="80"/>
      <w:lang w:eastAsia="zh-CN" w:bidi="en-US"/>
    </w:rPr>
  </w:style>
  <w:style w:type="character" w:customStyle="1" w:styleId="Heading7Char">
    <w:name w:val="Heading 7 Char"/>
    <w:basedOn w:val="DefaultParagraphFont"/>
    <w:link w:val="Heading7"/>
    <w:uiPriority w:val="9"/>
    <w:semiHidden/>
    <w:rsid w:val="001C2C4A"/>
    <w:rPr>
      <w:rFonts w:asciiTheme="majorHAnsi" w:eastAsiaTheme="majorEastAsia" w:hAnsiTheme="majorHAnsi" w:cstheme="majorBidi"/>
      <w:i/>
      <w:iCs/>
      <w:lang w:eastAsia="zh-CN" w:bidi="en-US"/>
    </w:rPr>
  </w:style>
  <w:style w:type="character" w:customStyle="1" w:styleId="Heading8Char">
    <w:name w:val="Heading 8 Char"/>
    <w:basedOn w:val="DefaultParagraphFont"/>
    <w:link w:val="Heading8"/>
    <w:uiPriority w:val="9"/>
    <w:semiHidden/>
    <w:rsid w:val="001C2C4A"/>
    <w:rPr>
      <w:rFonts w:asciiTheme="majorHAnsi" w:eastAsiaTheme="majorEastAsia" w:hAnsiTheme="majorHAnsi" w:cstheme="majorBidi"/>
      <w:sz w:val="20"/>
      <w:lang w:eastAsia="zh-CN" w:bidi="en-US"/>
    </w:rPr>
  </w:style>
  <w:style w:type="character" w:customStyle="1" w:styleId="Heading9Char">
    <w:name w:val="Heading 9 Char"/>
    <w:basedOn w:val="DefaultParagraphFont"/>
    <w:link w:val="Heading9"/>
    <w:uiPriority w:val="9"/>
    <w:semiHidden/>
    <w:rsid w:val="001C2C4A"/>
    <w:rPr>
      <w:rFonts w:asciiTheme="majorHAnsi" w:eastAsiaTheme="majorEastAsia" w:hAnsiTheme="majorHAnsi" w:cstheme="majorBidi"/>
      <w:i/>
      <w:iCs/>
      <w:spacing w:val="5"/>
      <w:sz w:val="20"/>
      <w:lang w:eastAsia="zh-CN" w:bidi="en-US"/>
    </w:rPr>
  </w:style>
  <w:style w:type="paragraph" w:styleId="Title">
    <w:name w:val="Title"/>
    <w:basedOn w:val="Normal"/>
    <w:next w:val="Normal"/>
    <w:link w:val="TitleChar"/>
    <w:uiPriority w:val="10"/>
    <w:qFormat/>
    <w:rsid w:val="002B34E9"/>
    <w:pPr>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2B34E9"/>
    <w:rPr>
      <w:rFonts w:ascii="Arial" w:eastAsiaTheme="majorEastAsia" w:hAnsi="Arial" w:cstheme="majorBidi"/>
      <w:b/>
      <w:spacing w:val="-10"/>
      <w:kern w:val="28"/>
      <w:sz w:val="32"/>
      <w:szCs w:val="56"/>
    </w:rPr>
  </w:style>
  <w:style w:type="paragraph" w:styleId="Quote">
    <w:name w:val="Quote"/>
    <w:basedOn w:val="Normal"/>
    <w:next w:val="Normal"/>
    <w:link w:val="QuoteChar"/>
    <w:uiPriority w:val="29"/>
    <w:qFormat/>
    <w:rsid w:val="00CB427E"/>
    <w:pPr>
      <w:spacing w:before="160" w:after="160"/>
      <w:ind w:left="862" w:firstLine="0"/>
    </w:pPr>
    <w:rPr>
      <w:iCs/>
    </w:rPr>
  </w:style>
  <w:style w:type="character" w:customStyle="1" w:styleId="QuoteChar">
    <w:name w:val="Quote Char"/>
    <w:basedOn w:val="DefaultParagraphFont"/>
    <w:link w:val="Quote"/>
    <w:uiPriority w:val="29"/>
    <w:rsid w:val="00CB427E"/>
    <w:rPr>
      <w:rFonts w:ascii="Arial" w:eastAsiaTheme="minorEastAsia" w:hAnsi="Arial"/>
      <w:iCs/>
      <w:color w:val="000000" w:themeColor="text1"/>
      <w:sz w:val="24"/>
      <w:lang w:eastAsia="zh-CN"/>
    </w:rPr>
  </w:style>
  <w:style w:type="character" w:styleId="BookTitle">
    <w:name w:val="Book Title"/>
    <w:basedOn w:val="DefaultParagraphFont"/>
    <w:uiPriority w:val="33"/>
    <w:rsid w:val="002B34E9"/>
    <w:rPr>
      <w:rFonts w:ascii="Arial" w:hAnsi="Arial"/>
      <w:b w:val="0"/>
      <w:bCs/>
      <w:i/>
      <w:iCs/>
      <w:spacing w:val="0"/>
    </w:rPr>
  </w:style>
  <w:style w:type="character" w:customStyle="1" w:styleId="case">
    <w:name w:val="case"/>
    <w:basedOn w:val="DefaultParagraphFont"/>
    <w:qFormat/>
    <w:rsid w:val="00001C98"/>
    <w:rPr>
      <w:rFonts w:ascii="Arial" w:hAnsi="Arial"/>
      <w:i/>
      <w:sz w:val="24"/>
    </w:rPr>
  </w:style>
  <w:style w:type="paragraph" w:customStyle="1" w:styleId="fncase">
    <w:name w:val="fn case"/>
    <w:basedOn w:val="FootnoteText"/>
    <w:next w:val="FootnoteText"/>
    <w:link w:val="fncaseChar"/>
    <w:qFormat/>
    <w:rsid w:val="002B34E9"/>
    <w:rPr>
      <w:i/>
    </w:rPr>
  </w:style>
  <w:style w:type="paragraph" w:styleId="FootnoteText">
    <w:name w:val="footnote text"/>
    <w:aliases w:val="Footnote Quote,Footnote Quote1,Footnote Quote2,Footnote Quote3,Footnote Quote4,Footnote Quote5,Footnote Quote6,Footnote Quote7,Footnote Quote8,Footnote Quote9,Footnote Quote10,Footnote Quote11,Footnote Quote12,Footnote Quote13,Texto,Tex,ft"/>
    <w:basedOn w:val="Normal"/>
    <w:link w:val="FootnoteTextChar"/>
    <w:uiPriority w:val="99"/>
    <w:unhideWhenUsed/>
    <w:qFormat/>
    <w:rsid w:val="00AF50CC"/>
    <w:pPr>
      <w:spacing w:before="40" w:after="40" w:line="312" w:lineRule="auto"/>
      <w:ind w:left="173" w:hanging="173"/>
      <w:jc w:val="left"/>
    </w:pPr>
    <w:rPr>
      <w:sz w:val="20"/>
      <w:szCs w:val="20"/>
    </w:rPr>
  </w:style>
  <w:style w:type="character" w:customStyle="1" w:styleId="FootnoteTextChar">
    <w:name w:val="Footnote Text Char"/>
    <w:aliases w:val="Footnote Quote Char,Footnote Quote1 Char,Footnote Quote2 Char,Footnote Quote3 Char,Footnote Quote4 Char,Footnote Quote5 Char,Footnote Quote6 Char,Footnote Quote7 Char,Footnote Quote8 Char,Footnote Quote9 Char,Footnote Quote10 Char"/>
    <w:basedOn w:val="DefaultParagraphFont"/>
    <w:link w:val="FootnoteText"/>
    <w:uiPriority w:val="99"/>
    <w:rsid w:val="00AF50CC"/>
    <w:rPr>
      <w:rFonts w:ascii="Arial" w:eastAsiaTheme="minorEastAsia" w:hAnsi="Arial"/>
      <w:color w:val="000000" w:themeColor="text1"/>
      <w:sz w:val="20"/>
      <w:szCs w:val="20"/>
      <w:lang w:eastAsia="zh-CN"/>
    </w:rPr>
  </w:style>
  <w:style w:type="character" w:customStyle="1" w:styleId="fncaseChar">
    <w:name w:val="fn case Char"/>
    <w:basedOn w:val="FootnoteTextChar"/>
    <w:link w:val="fncase"/>
    <w:rsid w:val="002B34E9"/>
    <w:rPr>
      <w:rFonts w:ascii="Arial" w:eastAsiaTheme="minorEastAsia" w:hAnsi="Arial"/>
      <w:i/>
      <w:color w:val="000000" w:themeColor="text1"/>
      <w:sz w:val="20"/>
      <w:szCs w:val="20"/>
      <w:lang w:eastAsia="zh-CN"/>
    </w:rPr>
  </w:style>
  <w:style w:type="paragraph" w:styleId="ListParagraph">
    <w:name w:val="List Paragraph"/>
    <w:basedOn w:val="Normal"/>
    <w:link w:val="ListParagraphChar"/>
    <w:uiPriority w:val="34"/>
    <w:qFormat/>
    <w:rsid w:val="001C2C4A"/>
    <w:pPr>
      <w:ind w:left="720"/>
      <w:contextualSpacing/>
    </w:pPr>
    <w:rPr>
      <w:lang w:eastAsia="en-GB"/>
    </w:rPr>
  </w:style>
  <w:style w:type="character" w:customStyle="1" w:styleId="ListParagraphChar">
    <w:name w:val="List Paragraph Char"/>
    <w:basedOn w:val="DefaultParagraphFont"/>
    <w:link w:val="ListParagraph"/>
    <w:uiPriority w:val="34"/>
    <w:rsid w:val="007F635C"/>
    <w:rPr>
      <w:rFonts w:ascii="Arial" w:eastAsiaTheme="minorEastAsia" w:hAnsi="Arial"/>
      <w:sz w:val="24"/>
      <w:lang w:eastAsia="en-GB"/>
    </w:rPr>
  </w:style>
  <w:style w:type="paragraph" w:customStyle="1" w:styleId="inset">
    <w:name w:val="inset"/>
    <w:basedOn w:val="Normal"/>
    <w:link w:val="insetChar"/>
    <w:qFormat/>
    <w:rsid w:val="001C2C4A"/>
    <w:pPr>
      <w:ind w:left="709"/>
    </w:pPr>
  </w:style>
  <w:style w:type="character" w:customStyle="1" w:styleId="insetChar">
    <w:name w:val="inset Char"/>
    <w:basedOn w:val="DefaultParagraphFont"/>
    <w:link w:val="inset"/>
    <w:rsid w:val="001C2C4A"/>
    <w:rPr>
      <w:rFonts w:ascii="Arial" w:eastAsiaTheme="minorEastAsia" w:hAnsi="Arial"/>
      <w:sz w:val="24"/>
      <w:lang w:eastAsia="zh-CN"/>
    </w:rPr>
  </w:style>
  <w:style w:type="character" w:styleId="FootnoteReference">
    <w:name w:val="footnote reference"/>
    <w:aliases w:val="Fn Ref,4_G,4_G Char Char Char Char,Footnotes refss Char Char Char Char,ftref Char Char Char Char,BVI fnr Char Char Char Char,BVI fnr Car Car Char Char Char Char,BVI fnr Car Char Char Char Char,[0],Footnote Refernece,callout,BVI fnr"/>
    <w:basedOn w:val="DefaultParagraphFont"/>
    <w:uiPriority w:val="99"/>
    <w:qFormat/>
    <w:rsid w:val="001C2C4A"/>
    <w:rPr>
      <w:rFonts w:ascii="Arial" w:hAnsi="Arial"/>
      <w:sz w:val="20"/>
      <w:vertAlign w:val="superscript"/>
    </w:rPr>
  </w:style>
  <w:style w:type="paragraph" w:customStyle="1" w:styleId="fntxt">
    <w:name w:val="fn txt"/>
    <w:basedOn w:val="FootnoteText"/>
    <w:link w:val="fntxtChar"/>
    <w:qFormat/>
    <w:rsid w:val="002C3E44"/>
    <w:rPr>
      <w:color w:val="000000"/>
    </w:rPr>
  </w:style>
  <w:style w:type="character" w:customStyle="1" w:styleId="fntxtChar">
    <w:name w:val="fn txt Char"/>
    <w:basedOn w:val="FootnoteTextChar"/>
    <w:link w:val="fntxt"/>
    <w:rsid w:val="002C3E44"/>
    <w:rPr>
      <w:rFonts w:ascii="Arial" w:eastAsiaTheme="minorEastAsia" w:hAnsi="Arial"/>
      <w:color w:val="000000"/>
      <w:sz w:val="20"/>
      <w:szCs w:val="20"/>
      <w:lang w:eastAsia="zh-CN"/>
    </w:rPr>
  </w:style>
  <w:style w:type="paragraph" w:styleId="Subtitle">
    <w:name w:val="Subtitle"/>
    <w:basedOn w:val="Normal"/>
    <w:next w:val="Normal"/>
    <w:link w:val="SubtitleChar"/>
    <w:uiPriority w:val="11"/>
    <w:qFormat/>
    <w:rsid w:val="001C2C4A"/>
    <w:pPr>
      <w:spacing w:after="600"/>
    </w:pPr>
    <w:rPr>
      <w:rFonts w:asciiTheme="majorHAnsi" w:eastAsiaTheme="majorEastAsia" w:hAnsiTheme="majorHAnsi" w:cstheme="majorBidi"/>
      <w:i/>
      <w:iCs/>
      <w:spacing w:val="13"/>
      <w:lang w:bidi="en-US"/>
    </w:rPr>
  </w:style>
  <w:style w:type="character" w:customStyle="1" w:styleId="SubtitleChar">
    <w:name w:val="Subtitle Char"/>
    <w:basedOn w:val="DefaultParagraphFont"/>
    <w:link w:val="Subtitle"/>
    <w:uiPriority w:val="11"/>
    <w:rsid w:val="001C2C4A"/>
    <w:rPr>
      <w:rFonts w:asciiTheme="majorHAnsi" w:eastAsiaTheme="majorEastAsia" w:hAnsiTheme="majorHAnsi" w:cstheme="majorBidi"/>
      <w:i/>
      <w:iCs/>
      <w:spacing w:val="13"/>
      <w:sz w:val="24"/>
      <w:lang w:eastAsia="zh-CN" w:bidi="en-US"/>
    </w:rPr>
  </w:style>
  <w:style w:type="paragraph" w:styleId="TOC1">
    <w:name w:val="toc 1"/>
    <w:basedOn w:val="Normal"/>
    <w:next w:val="Normal"/>
    <w:uiPriority w:val="39"/>
    <w:unhideWhenUsed/>
    <w:rsid w:val="001C2C4A"/>
    <w:pPr>
      <w:spacing w:before="120"/>
    </w:pPr>
  </w:style>
  <w:style w:type="paragraph" w:styleId="TOC2">
    <w:name w:val="toc 2"/>
    <w:basedOn w:val="Normal"/>
    <w:next w:val="Normal"/>
    <w:uiPriority w:val="39"/>
    <w:unhideWhenUsed/>
    <w:rsid w:val="001C2C4A"/>
    <w:pPr>
      <w:ind w:left="238"/>
    </w:pPr>
  </w:style>
  <w:style w:type="paragraph" w:styleId="TOC3">
    <w:name w:val="toc 3"/>
    <w:basedOn w:val="Normal"/>
    <w:next w:val="Normal"/>
    <w:uiPriority w:val="39"/>
    <w:semiHidden/>
    <w:unhideWhenUsed/>
    <w:rsid w:val="001C2C4A"/>
    <w:pPr>
      <w:ind w:left="482"/>
    </w:pPr>
  </w:style>
  <w:style w:type="character" w:styleId="Hyperlink">
    <w:name w:val="Hyperlink"/>
    <w:basedOn w:val="DefaultParagraphFont"/>
    <w:uiPriority w:val="99"/>
    <w:unhideWhenUsed/>
    <w:rsid w:val="001C2C4A"/>
    <w:rPr>
      <w:rFonts w:ascii="Arial" w:hAnsi="Arial" w:cs="Times New Roman" w:hint="default"/>
      <w:color w:val="0000FF"/>
      <w:u w:val="none"/>
    </w:rPr>
  </w:style>
  <w:style w:type="paragraph" w:styleId="PlainText">
    <w:name w:val="Plain Text"/>
    <w:basedOn w:val="Normal"/>
    <w:link w:val="PlainTextChar"/>
    <w:unhideWhenUsed/>
    <w:rsid w:val="001C2C4A"/>
    <w:rPr>
      <w:rFonts w:ascii="Consolas" w:hAnsi="Consolas"/>
      <w:sz w:val="21"/>
      <w:szCs w:val="21"/>
    </w:rPr>
  </w:style>
  <w:style w:type="character" w:customStyle="1" w:styleId="PlainTextChar">
    <w:name w:val="Plain Text Char"/>
    <w:basedOn w:val="DefaultParagraphFont"/>
    <w:link w:val="PlainText"/>
    <w:rsid w:val="001C2C4A"/>
    <w:rPr>
      <w:rFonts w:ascii="Consolas" w:eastAsiaTheme="minorEastAsia" w:hAnsi="Consolas"/>
      <w:sz w:val="21"/>
      <w:szCs w:val="21"/>
      <w:lang w:eastAsia="zh-CN"/>
    </w:rPr>
  </w:style>
  <w:style w:type="paragraph" w:customStyle="1" w:styleId="QuoteList">
    <w:name w:val="QuoteList"/>
    <w:basedOn w:val="Quote"/>
    <w:link w:val="QuoteListChar"/>
    <w:qFormat/>
    <w:rsid w:val="004E7209"/>
    <w:pPr>
      <w:spacing w:before="120" w:after="120"/>
      <w:ind w:left="1134" w:right="567" w:hanging="454"/>
      <w:contextualSpacing/>
    </w:pPr>
    <w:rPr>
      <w:lang w:bidi="en-US"/>
    </w:rPr>
  </w:style>
  <w:style w:type="character" w:customStyle="1" w:styleId="QuoteListChar">
    <w:name w:val="QuoteList Char"/>
    <w:basedOn w:val="QuoteChar"/>
    <w:link w:val="QuoteList"/>
    <w:rsid w:val="004E7209"/>
    <w:rPr>
      <w:rFonts w:ascii="Arial" w:eastAsiaTheme="minorEastAsia" w:hAnsi="Arial"/>
      <w:iCs/>
      <w:color w:val="000000" w:themeColor="text1"/>
      <w:sz w:val="24"/>
      <w:lang w:eastAsia="zh-CN" w:bidi="en-US"/>
    </w:rPr>
  </w:style>
  <w:style w:type="character" w:customStyle="1" w:styleId="EndnoteTextChar">
    <w:name w:val="Endnote Text Char"/>
    <w:basedOn w:val="DefaultParagraphFont"/>
    <w:link w:val="EndnoteText"/>
    <w:uiPriority w:val="99"/>
    <w:rsid w:val="001C2C4A"/>
    <w:rPr>
      <w:rFonts w:ascii="Arial" w:eastAsiaTheme="minorEastAsia" w:hAnsi="Arial"/>
      <w:sz w:val="20"/>
      <w:szCs w:val="20"/>
      <w:lang w:eastAsia="zh-CN"/>
    </w:rPr>
  </w:style>
  <w:style w:type="paragraph" w:styleId="EndnoteText">
    <w:name w:val="endnote text"/>
    <w:basedOn w:val="Normal"/>
    <w:link w:val="EndnoteTextChar"/>
    <w:uiPriority w:val="99"/>
    <w:unhideWhenUsed/>
    <w:rsid w:val="001C2C4A"/>
    <w:rPr>
      <w:sz w:val="20"/>
      <w:szCs w:val="20"/>
    </w:rPr>
  </w:style>
  <w:style w:type="paragraph" w:customStyle="1" w:styleId="fnbook">
    <w:name w:val="fn book"/>
    <w:basedOn w:val="FootnoteText"/>
    <w:link w:val="fnbookChar"/>
    <w:qFormat/>
    <w:rsid w:val="001C2C4A"/>
    <w:rPr>
      <w:i/>
    </w:rPr>
  </w:style>
  <w:style w:type="character" w:customStyle="1" w:styleId="fnbookChar">
    <w:name w:val="fn book Char"/>
    <w:basedOn w:val="FootnoteTextChar"/>
    <w:link w:val="fnbook"/>
    <w:rsid w:val="001C2C4A"/>
    <w:rPr>
      <w:rFonts w:ascii="Arial" w:eastAsiaTheme="minorEastAsia" w:hAnsi="Arial"/>
      <w:i/>
      <w:color w:val="000000" w:themeColor="text1"/>
      <w:sz w:val="20"/>
      <w:szCs w:val="20"/>
      <w:lang w:eastAsia="zh-CN"/>
    </w:rPr>
  </w:style>
  <w:style w:type="paragraph" w:customStyle="1" w:styleId="Footnote">
    <w:name w:val="Footnote"/>
    <w:basedOn w:val="Normal"/>
    <w:rsid w:val="001C2C4A"/>
    <w:pPr>
      <w:spacing w:before="40" w:after="40" w:line="240" w:lineRule="auto"/>
      <w:jc w:val="left"/>
    </w:pPr>
    <w:rPr>
      <w:sz w:val="16"/>
      <w:lang w:val="en-US" w:eastAsia="ja-JP"/>
    </w:rPr>
  </w:style>
  <w:style w:type="paragraph" w:customStyle="1" w:styleId="casequote">
    <w:name w:val="case quote"/>
    <w:basedOn w:val="Normal"/>
    <w:link w:val="casequoteChar"/>
    <w:qFormat/>
    <w:rsid w:val="00001C98"/>
    <w:rPr>
      <w:i/>
      <w:lang w:bidi="en-US"/>
    </w:rPr>
  </w:style>
  <w:style w:type="character" w:customStyle="1" w:styleId="casequoteChar">
    <w:name w:val="case quote Char"/>
    <w:basedOn w:val="DefaultParagraphFont"/>
    <w:link w:val="casequote"/>
    <w:rsid w:val="00001C98"/>
    <w:rPr>
      <w:rFonts w:ascii="Arial" w:eastAsiaTheme="minorEastAsia" w:hAnsi="Arial"/>
      <w:i/>
      <w:sz w:val="24"/>
      <w:lang w:eastAsia="zh-CN" w:bidi="en-US"/>
    </w:rPr>
  </w:style>
  <w:style w:type="character" w:customStyle="1" w:styleId="CommentTextChar">
    <w:name w:val="Comment Text Char"/>
    <w:basedOn w:val="DefaultParagraphFont"/>
    <w:link w:val="CommentText"/>
    <w:uiPriority w:val="99"/>
    <w:semiHidden/>
    <w:rsid w:val="001C2C4A"/>
    <w:rPr>
      <w:rFonts w:ascii="Arial" w:eastAsiaTheme="minorEastAsia" w:hAnsi="Arial"/>
      <w:sz w:val="20"/>
      <w:szCs w:val="20"/>
      <w:lang w:eastAsia="zh-CN"/>
    </w:rPr>
  </w:style>
  <w:style w:type="paragraph" w:styleId="CommentText">
    <w:name w:val="annotation text"/>
    <w:basedOn w:val="Normal"/>
    <w:link w:val="CommentTextChar"/>
    <w:uiPriority w:val="99"/>
    <w:semiHidden/>
    <w:unhideWhenUsed/>
    <w:rsid w:val="001C2C4A"/>
    <w:pPr>
      <w:spacing w:line="240" w:lineRule="auto"/>
    </w:pPr>
    <w:rPr>
      <w:sz w:val="20"/>
      <w:szCs w:val="20"/>
    </w:rPr>
  </w:style>
  <w:style w:type="character" w:customStyle="1" w:styleId="CommentSubjectChar">
    <w:name w:val="Comment Subject Char"/>
    <w:basedOn w:val="CommentTextChar"/>
    <w:link w:val="CommentSubject"/>
    <w:uiPriority w:val="99"/>
    <w:semiHidden/>
    <w:rsid w:val="001C2C4A"/>
    <w:rPr>
      <w:rFonts w:ascii="Arial" w:eastAsiaTheme="minorEastAsia" w:hAnsi="Arial"/>
      <w:b/>
      <w:bCs/>
      <w:sz w:val="20"/>
      <w:szCs w:val="20"/>
      <w:lang w:eastAsia="zh-CN"/>
    </w:rPr>
  </w:style>
  <w:style w:type="paragraph" w:styleId="CommentSubject">
    <w:name w:val="annotation subject"/>
    <w:basedOn w:val="CommentText"/>
    <w:next w:val="CommentText"/>
    <w:link w:val="CommentSubjectChar"/>
    <w:uiPriority w:val="99"/>
    <w:semiHidden/>
    <w:unhideWhenUsed/>
    <w:rsid w:val="001C2C4A"/>
    <w:rPr>
      <w:b/>
      <w:bCs/>
    </w:rPr>
  </w:style>
  <w:style w:type="character" w:customStyle="1" w:styleId="BalloonTextChar">
    <w:name w:val="Balloon Text Char"/>
    <w:basedOn w:val="DefaultParagraphFont"/>
    <w:link w:val="BalloonText"/>
    <w:uiPriority w:val="99"/>
    <w:semiHidden/>
    <w:rsid w:val="001C2C4A"/>
    <w:rPr>
      <w:rFonts w:ascii="Segoe UI" w:eastAsiaTheme="minorEastAsia" w:hAnsi="Segoe UI" w:cs="Segoe UI"/>
      <w:sz w:val="18"/>
      <w:szCs w:val="18"/>
      <w:lang w:eastAsia="zh-CN"/>
    </w:rPr>
  </w:style>
  <w:style w:type="paragraph" w:styleId="BalloonText">
    <w:name w:val="Balloon Text"/>
    <w:basedOn w:val="Normal"/>
    <w:link w:val="BalloonTextChar"/>
    <w:uiPriority w:val="99"/>
    <w:semiHidden/>
    <w:unhideWhenUsed/>
    <w:rsid w:val="001C2C4A"/>
    <w:pPr>
      <w:spacing w:line="240" w:lineRule="auto"/>
    </w:pPr>
    <w:rPr>
      <w:rFonts w:ascii="Segoe UI" w:hAnsi="Segoe UI" w:cs="Segoe UI"/>
      <w:sz w:val="18"/>
      <w:szCs w:val="18"/>
    </w:rPr>
  </w:style>
  <w:style w:type="character" w:styleId="SubtleEmphasis">
    <w:name w:val="Subtle Emphasis"/>
    <w:uiPriority w:val="19"/>
    <w:qFormat/>
    <w:rsid w:val="001C2C4A"/>
    <w:rPr>
      <w:i/>
      <w:color w:val="5A5A5A" w:themeColor="text1" w:themeTint="A5"/>
    </w:rPr>
  </w:style>
  <w:style w:type="paragraph" w:customStyle="1" w:styleId="footnote0">
    <w:name w:val="footnote"/>
    <w:basedOn w:val="Normal"/>
    <w:link w:val="footnoteChar"/>
    <w:qFormat/>
    <w:rsid w:val="001C2C4A"/>
    <w:pPr>
      <w:tabs>
        <w:tab w:val="left" w:pos="284"/>
      </w:tabs>
      <w:spacing w:after="60" w:line="240" w:lineRule="auto"/>
      <w:ind w:firstLine="0"/>
      <w:jc w:val="left"/>
    </w:pPr>
    <w:rPr>
      <w:rFonts w:ascii="Times New Roman" w:hAnsi="Times New Roman" w:cs="Times New Roman"/>
      <w:sz w:val="17"/>
      <w:szCs w:val="24"/>
      <w:lang w:eastAsia="en-US"/>
    </w:rPr>
  </w:style>
  <w:style w:type="character" w:customStyle="1" w:styleId="footnoteChar">
    <w:name w:val="footnote Char"/>
    <w:basedOn w:val="DefaultParagraphFont"/>
    <w:link w:val="footnote0"/>
    <w:rsid w:val="001C2C4A"/>
    <w:rPr>
      <w:rFonts w:ascii="Times New Roman" w:eastAsiaTheme="minorEastAsia" w:hAnsi="Times New Roman" w:cs="Times New Roman"/>
      <w:sz w:val="17"/>
      <w:szCs w:val="24"/>
    </w:rPr>
  </w:style>
  <w:style w:type="paragraph" w:customStyle="1" w:styleId="legclearfix">
    <w:name w:val="legclearfix"/>
    <w:basedOn w:val="Normal"/>
    <w:rsid w:val="001C2C4A"/>
    <w:pPr>
      <w:spacing w:before="100" w:beforeAutospacing="1" w:after="100" w:afterAutospacing="1" w:line="240" w:lineRule="auto"/>
      <w:ind w:firstLine="0"/>
      <w:jc w:val="left"/>
    </w:pPr>
    <w:rPr>
      <w:rFonts w:ascii="Times New Roman" w:eastAsia="Times New Roman" w:hAnsi="Times New Roman" w:cs="Times New Roman"/>
      <w:szCs w:val="24"/>
      <w:lang w:val="en-US" w:eastAsia="en-US"/>
    </w:rPr>
  </w:style>
  <w:style w:type="character" w:customStyle="1" w:styleId="UnresolvedMention1">
    <w:name w:val="Unresolved Mention1"/>
    <w:basedOn w:val="DefaultParagraphFont"/>
    <w:uiPriority w:val="99"/>
    <w:semiHidden/>
    <w:unhideWhenUsed/>
    <w:rsid w:val="00E34960"/>
    <w:rPr>
      <w:color w:val="605E5C"/>
      <w:shd w:val="clear" w:color="auto" w:fill="E1DFDD"/>
    </w:rPr>
  </w:style>
  <w:style w:type="character" w:styleId="EndnoteReference">
    <w:name w:val="endnote reference"/>
    <w:basedOn w:val="DefaultParagraphFont"/>
    <w:uiPriority w:val="99"/>
    <w:semiHidden/>
    <w:unhideWhenUsed/>
    <w:rsid w:val="00F0064C"/>
    <w:rPr>
      <w:vertAlign w:val="superscript"/>
    </w:rPr>
  </w:style>
  <w:style w:type="paragraph" w:customStyle="1" w:styleId="0Style">
    <w:name w:val="0 Style"/>
    <w:basedOn w:val="Normal"/>
    <w:next w:val="Normal"/>
    <w:uiPriority w:val="99"/>
    <w:rsid w:val="00CC5A6E"/>
    <w:pPr>
      <w:widowControl w:val="0"/>
      <w:autoSpaceDE w:val="0"/>
      <w:autoSpaceDN w:val="0"/>
      <w:adjustRightInd w:val="0"/>
      <w:spacing w:line="264" w:lineRule="atLeast"/>
      <w:ind w:right="15" w:firstLine="0"/>
      <w:jc w:val="left"/>
    </w:pPr>
    <w:rPr>
      <w:rFonts w:ascii="Courier New" w:hAnsi="Courier New" w:cs="Courier New"/>
      <w:szCs w:val="24"/>
      <w:lang w:eastAsia="en-GB"/>
    </w:rPr>
  </w:style>
  <w:style w:type="paragraph" w:customStyle="1" w:styleId="ContinCol">
    <w:name w:val="Contin Col"/>
    <w:basedOn w:val="Normal"/>
    <w:next w:val="Normal"/>
    <w:uiPriority w:val="99"/>
    <w:rsid w:val="00CA170B"/>
    <w:pPr>
      <w:widowControl w:val="0"/>
      <w:autoSpaceDE w:val="0"/>
      <w:autoSpaceDN w:val="0"/>
      <w:adjustRightInd w:val="0"/>
      <w:spacing w:line="528" w:lineRule="atLeast"/>
      <w:ind w:left="576" w:right="15" w:hanging="576"/>
      <w:jc w:val="left"/>
    </w:pPr>
    <w:rPr>
      <w:rFonts w:ascii="Courier New" w:hAnsi="Courier New" w:cs="Courier New"/>
      <w:szCs w:val="24"/>
      <w:lang w:eastAsia="en-GB"/>
    </w:rPr>
  </w:style>
  <w:style w:type="paragraph" w:styleId="Header">
    <w:name w:val="header"/>
    <w:basedOn w:val="Normal"/>
    <w:link w:val="HeaderChar"/>
    <w:uiPriority w:val="99"/>
    <w:unhideWhenUsed/>
    <w:rsid w:val="00737350"/>
    <w:pPr>
      <w:tabs>
        <w:tab w:val="center" w:pos="4513"/>
        <w:tab w:val="right" w:pos="9026"/>
      </w:tabs>
      <w:spacing w:line="240" w:lineRule="auto"/>
    </w:pPr>
  </w:style>
  <w:style w:type="character" w:customStyle="1" w:styleId="HeaderChar">
    <w:name w:val="Header Char"/>
    <w:basedOn w:val="DefaultParagraphFont"/>
    <w:link w:val="Header"/>
    <w:uiPriority w:val="99"/>
    <w:rsid w:val="00737350"/>
    <w:rPr>
      <w:rFonts w:ascii="Arial" w:eastAsiaTheme="minorEastAsia" w:hAnsi="Arial"/>
      <w:color w:val="000000" w:themeColor="text1"/>
      <w:sz w:val="24"/>
      <w:lang w:eastAsia="zh-CN"/>
    </w:rPr>
  </w:style>
  <w:style w:type="paragraph" w:styleId="Footer">
    <w:name w:val="footer"/>
    <w:basedOn w:val="Normal"/>
    <w:link w:val="FooterChar"/>
    <w:uiPriority w:val="99"/>
    <w:unhideWhenUsed/>
    <w:rsid w:val="00737350"/>
    <w:pPr>
      <w:tabs>
        <w:tab w:val="center" w:pos="4513"/>
        <w:tab w:val="right" w:pos="9026"/>
      </w:tabs>
      <w:spacing w:line="240" w:lineRule="auto"/>
    </w:pPr>
  </w:style>
  <w:style w:type="character" w:customStyle="1" w:styleId="FooterChar">
    <w:name w:val="Footer Char"/>
    <w:basedOn w:val="DefaultParagraphFont"/>
    <w:link w:val="Footer"/>
    <w:uiPriority w:val="99"/>
    <w:rsid w:val="00737350"/>
    <w:rPr>
      <w:rFonts w:ascii="Arial" w:eastAsiaTheme="minorEastAsia" w:hAnsi="Arial"/>
      <w:color w:val="000000" w:themeColor="text1"/>
      <w:sz w:val="24"/>
      <w:lang w:eastAsia="zh-CN"/>
    </w:rPr>
  </w:style>
  <w:style w:type="character" w:styleId="FollowedHyperlink">
    <w:name w:val="FollowedHyperlink"/>
    <w:basedOn w:val="DefaultParagraphFont"/>
    <w:uiPriority w:val="99"/>
    <w:semiHidden/>
    <w:unhideWhenUsed/>
    <w:rsid w:val="00A32850"/>
    <w:rPr>
      <w:color w:val="954F72" w:themeColor="followedHyperlink"/>
      <w:u w:val="single"/>
    </w:rPr>
  </w:style>
  <w:style w:type="paragraph" w:styleId="BlockText">
    <w:name w:val="Block Text"/>
    <w:basedOn w:val="Normal"/>
    <w:autoRedefine/>
    <w:uiPriority w:val="99"/>
    <w:unhideWhenUsed/>
    <w:qFormat/>
    <w:rsid w:val="007A43D1"/>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before="120" w:after="120"/>
      <w:ind w:left="1134" w:right="1134" w:firstLine="0"/>
    </w:pPr>
    <w:rPr>
      <w:iCs/>
      <w:color w:val="auto"/>
      <w:sz w:val="20"/>
      <w:lang w:eastAsia="en-US"/>
    </w:rPr>
  </w:style>
  <w:style w:type="character" w:customStyle="1" w:styleId="apple-converted-space">
    <w:name w:val="apple-converted-space"/>
    <w:basedOn w:val="DefaultParagraphFont"/>
    <w:rsid w:val="00707CFA"/>
  </w:style>
  <w:style w:type="paragraph" w:styleId="NormalWeb">
    <w:name w:val="Normal (Web)"/>
    <w:basedOn w:val="Normal"/>
    <w:uiPriority w:val="99"/>
    <w:unhideWhenUsed/>
    <w:rsid w:val="00270848"/>
    <w:pPr>
      <w:spacing w:before="480" w:after="480" w:line="240" w:lineRule="auto"/>
      <w:ind w:firstLine="0"/>
      <w:jc w:val="left"/>
    </w:pPr>
    <w:rPr>
      <w:rFonts w:ascii="Times New Roman" w:eastAsia="Times New Roman" w:hAnsi="Times New Roman" w:cs="Times New Roman"/>
      <w:color w:val="auto"/>
      <w:szCs w:val="24"/>
      <w:lang w:eastAsia="en-GB"/>
    </w:rPr>
  </w:style>
  <w:style w:type="character" w:styleId="CommentReference">
    <w:name w:val="annotation reference"/>
    <w:basedOn w:val="DefaultParagraphFont"/>
    <w:uiPriority w:val="99"/>
    <w:semiHidden/>
    <w:unhideWhenUsed/>
    <w:rsid w:val="001203C1"/>
    <w:rPr>
      <w:sz w:val="16"/>
      <w:szCs w:val="16"/>
    </w:rPr>
  </w:style>
  <w:style w:type="character" w:customStyle="1" w:styleId="UnresolvedMention2">
    <w:name w:val="Unresolved Mention2"/>
    <w:basedOn w:val="DefaultParagraphFont"/>
    <w:uiPriority w:val="99"/>
    <w:semiHidden/>
    <w:unhideWhenUsed/>
    <w:rsid w:val="00EB309F"/>
    <w:rPr>
      <w:color w:val="605E5C"/>
      <w:shd w:val="clear" w:color="auto" w:fill="E1DFDD"/>
    </w:rPr>
  </w:style>
  <w:style w:type="character" w:styleId="Strong">
    <w:name w:val="Strong"/>
    <w:basedOn w:val="DefaultParagraphFont"/>
    <w:uiPriority w:val="22"/>
    <w:qFormat/>
    <w:rsid w:val="008A3A48"/>
    <w:rPr>
      <w:b/>
      <w:bCs/>
    </w:rPr>
  </w:style>
  <w:style w:type="character" w:styleId="HTMLAcronym">
    <w:name w:val="HTML Acronym"/>
    <w:basedOn w:val="DefaultParagraphFont"/>
    <w:uiPriority w:val="99"/>
    <w:semiHidden/>
    <w:unhideWhenUsed/>
    <w:rsid w:val="004F4690"/>
  </w:style>
  <w:style w:type="character" w:customStyle="1" w:styleId="normaltextrun">
    <w:name w:val="normaltextrun"/>
    <w:basedOn w:val="DefaultParagraphFont"/>
    <w:rsid w:val="00BA3E00"/>
  </w:style>
  <w:style w:type="character" w:customStyle="1" w:styleId="eop">
    <w:name w:val="eop"/>
    <w:basedOn w:val="DefaultParagraphFont"/>
    <w:rsid w:val="00BA3E00"/>
  </w:style>
  <w:style w:type="paragraph" w:customStyle="1" w:styleId="pdf">
    <w:name w:val="pdf"/>
    <w:basedOn w:val="Normal"/>
    <w:rsid w:val="00017002"/>
    <w:pPr>
      <w:spacing w:before="100" w:beforeAutospacing="1" w:after="100" w:afterAutospacing="1" w:line="240" w:lineRule="auto"/>
      <w:ind w:firstLine="0"/>
      <w:jc w:val="left"/>
    </w:pPr>
    <w:rPr>
      <w:rFonts w:ascii="Times New Roman" w:eastAsia="Times New Roman" w:hAnsi="Times New Roman" w:cs="Times New Roman"/>
      <w:color w:val="auto"/>
      <w:szCs w:val="24"/>
      <w:lang w:eastAsia="en-GB"/>
    </w:rPr>
  </w:style>
  <w:style w:type="character" w:customStyle="1" w:styleId="info">
    <w:name w:val="info"/>
    <w:basedOn w:val="DefaultParagraphFont"/>
    <w:rsid w:val="00017002"/>
  </w:style>
  <w:style w:type="character" w:customStyle="1" w:styleId="thirdinfo">
    <w:name w:val="thirdinfo"/>
    <w:basedOn w:val="DefaultParagraphFont"/>
    <w:rsid w:val="00017002"/>
  </w:style>
  <w:style w:type="character" w:customStyle="1" w:styleId="UnresolvedMention3">
    <w:name w:val="Unresolved Mention3"/>
    <w:basedOn w:val="DefaultParagraphFont"/>
    <w:uiPriority w:val="99"/>
    <w:rsid w:val="00FD476F"/>
    <w:rPr>
      <w:color w:val="605E5C"/>
      <w:shd w:val="clear" w:color="auto" w:fill="E1DFDD"/>
    </w:rPr>
  </w:style>
  <w:style w:type="paragraph" w:customStyle="1" w:styleId="paragraph">
    <w:name w:val="paragraph"/>
    <w:basedOn w:val="Normal"/>
    <w:rsid w:val="002A65B0"/>
    <w:pPr>
      <w:spacing w:line="240" w:lineRule="auto"/>
      <w:ind w:firstLine="0"/>
      <w:jc w:val="left"/>
    </w:pPr>
    <w:rPr>
      <w:rFonts w:ascii="Times New Roman" w:eastAsia="Times New Roman" w:hAnsi="Times New Roman" w:cs="Times New Roman"/>
      <w:color w:val="auto"/>
      <w:szCs w:val="24"/>
      <w:lang w:eastAsia="en-GB"/>
    </w:rPr>
  </w:style>
  <w:style w:type="character" w:styleId="Emphasis">
    <w:name w:val="Emphasis"/>
    <w:basedOn w:val="DefaultParagraphFont"/>
    <w:uiPriority w:val="20"/>
    <w:qFormat/>
    <w:rsid w:val="00375681"/>
    <w:rPr>
      <w:i/>
      <w:iCs/>
    </w:rPr>
  </w:style>
  <w:style w:type="character" w:customStyle="1" w:styleId="costatustext">
    <w:name w:val="co_statustext"/>
    <w:basedOn w:val="DefaultParagraphFont"/>
    <w:rsid w:val="00375681"/>
  </w:style>
  <w:style w:type="character" w:customStyle="1" w:styleId="coukcasespdficonsadded">
    <w:name w:val="co_ukcasespdficonsadded"/>
    <w:basedOn w:val="DefaultParagraphFont"/>
    <w:rsid w:val="00375681"/>
  </w:style>
  <w:style w:type="character" w:customStyle="1" w:styleId="cofloatleft">
    <w:name w:val="co_floatleft"/>
    <w:basedOn w:val="DefaultParagraphFont"/>
    <w:rsid w:val="00375681"/>
  </w:style>
  <w:style w:type="paragraph" w:customStyle="1" w:styleId="ng-scope">
    <w:name w:val="ng-scope"/>
    <w:basedOn w:val="Normal"/>
    <w:rsid w:val="00375681"/>
    <w:pPr>
      <w:spacing w:before="100" w:beforeAutospacing="1" w:after="100" w:afterAutospacing="1" w:line="240" w:lineRule="auto"/>
      <w:ind w:firstLine="0"/>
      <w:jc w:val="left"/>
    </w:pPr>
    <w:rPr>
      <w:rFonts w:ascii="Times New Roman" w:eastAsia="Times New Roman" w:hAnsi="Times New Roman" w:cs="Times New Roman"/>
      <w:color w:val="auto"/>
      <w:szCs w:val="24"/>
      <w:lang w:val="en-US" w:eastAsia="en-US"/>
    </w:rPr>
  </w:style>
  <w:style w:type="character" w:customStyle="1" w:styleId="ng-scope1">
    <w:name w:val="ng-scope1"/>
    <w:basedOn w:val="DefaultParagraphFont"/>
    <w:rsid w:val="00375681"/>
  </w:style>
  <w:style w:type="paragraph" w:styleId="NoSpacing">
    <w:name w:val="No Spacing"/>
    <w:uiPriority w:val="1"/>
    <w:rsid w:val="00375681"/>
    <w:pPr>
      <w:spacing w:after="0" w:line="240" w:lineRule="auto"/>
      <w:ind w:firstLine="284"/>
      <w:jc w:val="both"/>
    </w:pPr>
    <w:rPr>
      <w:rFonts w:ascii="Arial" w:eastAsiaTheme="minorEastAsia" w:hAnsi="Arial"/>
      <w:color w:val="000000" w:themeColor="text1"/>
      <w:sz w:val="24"/>
      <w:lang w:eastAsia="zh-CN"/>
    </w:rPr>
  </w:style>
  <w:style w:type="character" w:customStyle="1" w:styleId="cofootnotenode">
    <w:name w:val="co_footnotenode"/>
    <w:basedOn w:val="DefaultParagraphFont"/>
    <w:rsid w:val="00375681"/>
  </w:style>
  <w:style w:type="paragraph" w:customStyle="1" w:styleId="Default">
    <w:name w:val="Default"/>
    <w:rsid w:val="00375681"/>
    <w:pPr>
      <w:autoSpaceDE w:val="0"/>
      <w:autoSpaceDN w:val="0"/>
      <w:adjustRightInd w:val="0"/>
      <w:spacing w:after="0" w:line="240" w:lineRule="auto"/>
    </w:pPr>
    <w:rPr>
      <w:rFonts w:ascii="Calibri" w:hAnsi="Calibri" w:cs="Calibri"/>
      <w:color w:val="000000"/>
      <w:sz w:val="24"/>
      <w:szCs w:val="24"/>
      <w:lang w:val="en-US"/>
    </w:rPr>
  </w:style>
  <w:style w:type="character" w:customStyle="1" w:styleId="coukcasereferencescontrols">
    <w:name w:val="co_ukcasereferencescontrols"/>
    <w:basedOn w:val="DefaultParagraphFont"/>
    <w:rsid w:val="00375681"/>
  </w:style>
  <w:style w:type="character" w:customStyle="1" w:styleId="coitalic">
    <w:name w:val="co_italic"/>
    <w:basedOn w:val="DefaultParagraphFont"/>
    <w:rsid w:val="00375681"/>
  </w:style>
  <w:style w:type="character" w:customStyle="1" w:styleId="costarpage">
    <w:name w:val="co_starpage"/>
    <w:basedOn w:val="DefaultParagraphFont"/>
    <w:rsid w:val="00375681"/>
  </w:style>
  <w:style w:type="character" w:customStyle="1" w:styleId="cohidesearchterm">
    <w:name w:val="co_hidesearchterm"/>
    <w:basedOn w:val="DefaultParagraphFont"/>
    <w:rsid w:val="00375681"/>
  </w:style>
  <w:style w:type="character" w:customStyle="1" w:styleId="legds">
    <w:name w:val="legds"/>
    <w:basedOn w:val="DefaultParagraphFont"/>
    <w:rsid w:val="00375681"/>
  </w:style>
  <w:style w:type="paragraph" w:customStyle="1" w:styleId="leglisttextstandard">
    <w:name w:val="leglisttextstandard"/>
    <w:basedOn w:val="Normal"/>
    <w:rsid w:val="00375681"/>
    <w:pPr>
      <w:spacing w:before="100" w:beforeAutospacing="1" w:after="100" w:afterAutospacing="1" w:line="240" w:lineRule="auto"/>
      <w:ind w:firstLine="0"/>
      <w:jc w:val="left"/>
    </w:pPr>
    <w:rPr>
      <w:rFonts w:ascii="Times New Roman" w:eastAsia="Times New Roman" w:hAnsi="Times New Roman" w:cs="Times New Roman"/>
      <w:color w:val="auto"/>
      <w:szCs w:val="24"/>
      <w:lang w:val="en-US" w:eastAsia="en-US"/>
    </w:rPr>
  </w:style>
  <w:style w:type="paragraph" w:customStyle="1" w:styleId="active">
    <w:name w:val="active"/>
    <w:basedOn w:val="Normal"/>
    <w:rsid w:val="00375681"/>
    <w:pPr>
      <w:spacing w:before="100" w:beforeAutospacing="1" w:after="100" w:afterAutospacing="1" w:line="240" w:lineRule="auto"/>
      <w:ind w:firstLine="0"/>
      <w:jc w:val="left"/>
    </w:pPr>
    <w:rPr>
      <w:rFonts w:ascii="Times New Roman" w:eastAsia="Times New Roman" w:hAnsi="Times New Roman" w:cs="Times New Roman"/>
      <w:color w:val="auto"/>
      <w:szCs w:val="24"/>
      <w:lang w:val="en-US" w:eastAsia="en-US"/>
    </w:rPr>
  </w:style>
  <w:style w:type="character" w:customStyle="1" w:styleId="para1span">
    <w:name w:val="para1span"/>
    <w:basedOn w:val="DefaultParagraphFont"/>
    <w:rsid w:val="00375681"/>
  </w:style>
  <w:style w:type="character" w:customStyle="1" w:styleId="recommendation">
    <w:name w:val="recommendation"/>
    <w:basedOn w:val="DefaultParagraphFont"/>
    <w:rsid w:val="00375681"/>
  </w:style>
  <w:style w:type="character" w:customStyle="1" w:styleId="caseChar">
    <w:name w:val="case Char"/>
    <w:basedOn w:val="DefaultParagraphFont"/>
    <w:rsid w:val="00683CF7"/>
    <w:rPr>
      <w:rFonts w:ascii="Arial" w:hAnsi="Arial" w:cs="Times New Roman"/>
      <w:i/>
      <w:sz w:val="24"/>
      <w:szCs w:val="24"/>
      <w:lang w:eastAsia="en-GB"/>
    </w:rPr>
  </w:style>
  <w:style w:type="character" w:customStyle="1" w:styleId="UnresolvedMention4">
    <w:name w:val="Unresolved Mention4"/>
    <w:basedOn w:val="DefaultParagraphFont"/>
    <w:uiPriority w:val="99"/>
    <w:semiHidden/>
    <w:unhideWhenUsed/>
    <w:rsid w:val="004F7068"/>
    <w:rPr>
      <w:color w:val="605E5C"/>
      <w:shd w:val="clear" w:color="auto" w:fill="E1DFDD"/>
    </w:rPr>
  </w:style>
  <w:style w:type="paragraph" w:customStyle="1" w:styleId="legrhs">
    <w:name w:val="legrhs"/>
    <w:basedOn w:val="Normal"/>
    <w:rsid w:val="006B733C"/>
    <w:pPr>
      <w:spacing w:before="100" w:beforeAutospacing="1" w:after="100" w:afterAutospacing="1" w:line="240" w:lineRule="auto"/>
      <w:ind w:firstLine="0"/>
      <w:jc w:val="left"/>
    </w:pPr>
    <w:rPr>
      <w:rFonts w:ascii="Times New Roman" w:eastAsia="Times New Roman" w:hAnsi="Times New Roman" w:cs="Times New Roman"/>
      <w:color w:val="auto"/>
      <w:szCs w:val="24"/>
      <w:lang w:val="en-US" w:eastAsia="en-US"/>
    </w:rPr>
  </w:style>
  <w:style w:type="paragraph" w:customStyle="1" w:styleId="updated">
    <w:name w:val="updated"/>
    <w:basedOn w:val="Normal"/>
    <w:rsid w:val="001300A7"/>
    <w:pPr>
      <w:spacing w:before="100" w:beforeAutospacing="1" w:after="100" w:afterAutospacing="1" w:line="240" w:lineRule="auto"/>
      <w:ind w:firstLine="0"/>
      <w:jc w:val="left"/>
    </w:pPr>
    <w:rPr>
      <w:rFonts w:ascii="Times New Roman" w:eastAsia="Times New Roman" w:hAnsi="Times New Roman" w:cs="Times New Roman"/>
      <w:color w:val="auto"/>
      <w:szCs w:val="24"/>
      <w:lang w:val="en-US" w:eastAsia="en-US"/>
    </w:rPr>
  </w:style>
  <w:style w:type="paragraph" w:customStyle="1" w:styleId="byline">
    <w:name w:val="byline"/>
    <w:basedOn w:val="Normal"/>
    <w:rsid w:val="001300A7"/>
    <w:pPr>
      <w:spacing w:before="100" w:beforeAutospacing="1" w:after="100" w:afterAutospacing="1" w:line="240" w:lineRule="auto"/>
      <w:ind w:firstLine="0"/>
      <w:jc w:val="left"/>
    </w:pPr>
    <w:rPr>
      <w:rFonts w:ascii="Times New Roman" w:eastAsia="Times New Roman" w:hAnsi="Times New Roman" w:cs="Times New Roman"/>
      <w:color w:val="auto"/>
      <w:szCs w:val="24"/>
      <w:lang w:val="en-US" w:eastAsia="en-US"/>
    </w:rPr>
  </w:style>
  <w:style w:type="character" w:customStyle="1" w:styleId="UnresolvedMention">
    <w:name w:val="Unresolved Mention"/>
    <w:basedOn w:val="DefaultParagraphFont"/>
    <w:uiPriority w:val="99"/>
    <w:semiHidden/>
    <w:unhideWhenUsed/>
    <w:rsid w:val="0004390A"/>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306">
      <w:bodyDiv w:val="1"/>
      <w:marLeft w:val="0"/>
      <w:marRight w:val="0"/>
      <w:marTop w:val="0"/>
      <w:marBottom w:val="0"/>
      <w:divBdr>
        <w:top w:val="none" w:sz="0" w:space="0" w:color="auto"/>
        <w:left w:val="none" w:sz="0" w:space="0" w:color="auto"/>
        <w:bottom w:val="none" w:sz="0" w:space="0" w:color="auto"/>
        <w:right w:val="none" w:sz="0" w:space="0" w:color="auto"/>
      </w:divBdr>
    </w:div>
    <w:div w:id="42826244">
      <w:bodyDiv w:val="1"/>
      <w:marLeft w:val="0"/>
      <w:marRight w:val="0"/>
      <w:marTop w:val="0"/>
      <w:marBottom w:val="0"/>
      <w:divBdr>
        <w:top w:val="none" w:sz="0" w:space="0" w:color="auto"/>
        <w:left w:val="none" w:sz="0" w:space="0" w:color="auto"/>
        <w:bottom w:val="none" w:sz="0" w:space="0" w:color="auto"/>
        <w:right w:val="none" w:sz="0" w:space="0" w:color="auto"/>
      </w:divBdr>
    </w:div>
    <w:div w:id="140847388">
      <w:bodyDiv w:val="1"/>
      <w:marLeft w:val="0"/>
      <w:marRight w:val="0"/>
      <w:marTop w:val="0"/>
      <w:marBottom w:val="0"/>
      <w:divBdr>
        <w:top w:val="none" w:sz="0" w:space="0" w:color="auto"/>
        <w:left w:val="none" w:sz="0" w:space="0" w:color="auto"/>
        <w:bottom w:val="none" w:sz="0" w:space="0" w:color="auto"/>
        <w:right w:val="none" w:sz="0" w:space="0" w:color="auto"/>
      </w:divBdr>
      <w:divsChild>
        <w:div w:id="1926449374">
          <w:marLeft w:val="0"/>
          <w:marRight w:val="0"/>
          <w:marTop w:val="0"/>
          <w:marBottom w:val="0"/>
          <w:divBdr>
            <w:top w:val="none" w:sz="0" w:space="0" w:color="auto"/>
            <w:left w:val="none" w:sz="0" w:space="0" w:color="auto"/>
            <w:bottom w:val="none" w:sz="0" w:space="0" w:color="auto"/>
            <w:right w:val="none" w:sz="0" w:space="0" w:color="auto"/>
          </w:divBdr>
          <w:divsChild>
            <w:div w:id="2003969693">
              <w:marLeft w:val="0"/>
              <w:marRight w:val="0"/>
              <w:marTop w:val="0"/>
              <w:marBottom w:val="0"/>
              <w:divBdr>
                <w:top w:val="none" w:sz="0" w:space="0" w:color="auto"/>
                <w:left w:val="none" w:sz="0" w:space="0" w:color="auto"/>
                <w:bottom w:val="none" w:sz="0" w:space="0" w:color="auto"/>
                <w:right w:val="none" w:sz="0" w:space="0" w:color="auto"/>
              </w:divBdr>
              <w:divsChild>
                <w:div w:id="1154839199">
                  <w:marLeft w:val="0"/>
                  <w:marRight w:val="0"/>
                  <w:marTop w:val="0"/>
                  <w:marBottom w:val="0"/>
                  <w:divBdr>
                    <w:top w:val="none" w:sz="0" w:space="0" w:color="auto"/>
                    <w:left w:val="none" w:sz="0" w:space="0" w:color="auto"/>
                    <w:bottom w:val="none" w:sz="0" w:space="0" w:color="auto"/>
                    <w:right w:val="none" w:sz="0" w:space="0" w:color="auto"/>
                  </w:divBdr>
                  <w:divsChild>
                    <w:div w:id="53026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2720">
      <w:bodyDiv w:val="1"/>
      <w:marLeft w:val="0"/>
      <w:marRight w:val="0"/>
      <w:marTop w:val="0"/>
      <w:marBottom w:val="0"/>
      <w:divBdr>
        <w:top w:val="none" w:sz="0" w:space="0" w:color="auto"/>
        <w:left w:val="none" w:sz="0" w:space="0" w:color="auto"/>
        <w:bottom w:val="none" w:sz="0" w:space="0" w:color="auto"/>
        <w:right w:val="none" w:sz="0" w:space="0" w:color="auto"/>
      </w:divBdr>
    </w:div>
    <w:div w:id="195898467">
      <w:bodyDiv w:val="1"/>
      <w:marLeft w:val="0"/>
      <w:marRight w:val="0"/>
      <w:marTop w:val="0"/>
      <w:marBottom w:val="0"/>
      <w:divBdr>
        <w:top w:val="none" w:sz="0" w:space="0" w:color="auto"/>
        <w:left w:val="none" w:sz="0" w:space="0" w:color="auto"/>
        <w:bottom w:val="none" w:sz="0" w:space="0" w:color="auto"/>
        <w:right w:val="none" w:sz="0" w:space="0" w:color="auto"/>
      </w:divBdr>
    </w:div>
    <w:div w:id="221839857">
      <w:bodyDiv w:val="1"/>
      <w:marLeft w:val="0"/>
      <w:marRight w:val="0"/>
      <w:marTop w:val="0"/>
      <w:marBottom w:val="0"/>
      <w:divBdr>
        <w:top w:val="none" w:sz="0" w:space="0" w:color="auto"/>
        <w:left w:val="none" w:sz="0" w:space="0" w:color="auto"/>
        <w:bottom w:val="none" w:sz="0" w:space="0" w:color="auto"/>
        <w:right w:val="none" w:sz="0" w:space="0" w:color="auto"/>
      </w:divBdr>
      <w:divsChild>
        <w:div w:id="1301308820">
          <w:marLeft w:val="0"/>
          <w:marRight w:val="0"/>
          <w:marTop w:val="0"/>
          <w:marBottom w:val="0"/>
          <w:divBdr>
            <w:top w:val="none" w:sz="0" w:space="0" w:color="auto"/>
            <w:left w:val="none" w:sz="0" w:space="0" w:color="auto"/>
            <w:bottom w:val="none" w:sz="0" w:space="0" w:color="auto"/>
            <w:right w:val="none" w:sz="0" w:space="0" w:color="auto"/>
          </w:divBdr>
          <w:divsChild>
            <w:div w:id="334186640">
              <w:marLeft w:val="-180"/>
              <w:marRight w:val="-180"/>
              <w:marTop w:val="0"/>
              <w:marBottom w:val="0"/>
              <w:divBdr>
                <w:top w:val="none" w:sz="0" w:space="0" w:color="auto"/>
                <w:left w:val="none" w:sz="0" w:space="0" w:color="auto"/>
                <w:bottom w:val="none" w:sz="0" w:space="0" w:color="auto"/>
                <w:right w:val="none" w:sz="0" w:space="0" w:color="auto"/>
              </w:divBdr>
              <w:divsChild>
                <w:div w:id="2119794654">
                  <w:marLeft w:val="0"/>
                  <w:marRight w:val="0"/>
                  <w:marTop w:val="0"/>
                  <w:marBottom w:val="0"/>
                  <w:divBdr>
                    <w:top w:val="none" w:sz="0" w:space="0" w:color="auto"/>
                    <w:left w:val="none" w:sz="0" w:space="0" w:color="auto"/>
                    <w:bottom w:val="none" w:sz="0" w:space="0" w:color="auto"/>
                    <w:right w:val="none" w:sz="0" w:space="0" w:color="auto"/>
                  </w:divBdr>
                  <w:divsChild>
                    <w:div w:id="2035763522">
                      <w:marLeft w:val="0"/>
                      <w:marRight w:val="0"/>
                      <w:marTop w:val="0"/>
                      <w:marBottom w:val="0"/>
                      <w:divBdr>
                        <w:top w:val="none" w:sz="0" w:space="0" w:color="auto"/>
                        <w:left w:val="none" w:sz="0" w:space="0" w:color="auto"/>
                        <w:bottom w:val="none" w:sz="0" w:space="0" w:color="auto"/>
                        <w:right w:val="none" w:sz="0" w:space="0" w:color="auto"/>
                      </w:divBdr>
                      <w:divsChild>
                        <w:div w:id="1676420722">
                          <w:marLeft w:val="0"/>
                          <w:marRight w:val="0"/>
                          <w:marTop w:val="0"/>
                          <w:marBottom w:val="0"/>
                          <w:divBdr>
                            <w:top w:val="none" w:sz="0" w:space="0" w:color="auto"/>
                            <w:left w:val="none" w:sz="0" w:space="0" w:color="auto"/>
                            <w:bottom w:val="none" w:sz="0" w:space="0" w:color="auto"/>
                            <w:right w:val="none" w:sz="0" w:space="0" w:color="auto"/>
                          </w:divBdr>
                          <w:divsChild>
                            <w:div w:id="22371133">
                              <w:marLeft w:val="0"/>
                              <w:marRight w:val="0"/>
                              <w:marTop w:val="0"/>
                              <w:marBottom w:val="0"/>
                              <w:divBdr>
                                <w:top w:val="none" w:sz="0" w:space="0" w:color="auto"/>
                                <w:left w:val="none" w:sz="0" w:space="0" w:color="auto"/>
                                <w:bottom w:val="none" w:sz="0" w:space="0" w:color="auto"/>
                                <w:right w:val="none" w:sz="0" w:space="0" w:color="auto"/>
                              </w:divBdr>
                              <w:divsChild>
                                <w:div w:id="1707754661">
                                  <w:marLeft w:val="0"/>
                                  <w:marRight w:val="0"/>
                                  <w:marTop w:val="0"/>
                                  <w:marBottom w:val="0"/>
                                  <w:divBdr>
                                    <w:top w:val="none" w:sz="0" w:space="0" w:color="auto"/>
                                    <w:left w:val="none" w:sz="0" w:space="0" w:color="auto"/>
                                    <w:bottom w:val="none" w:sz="0" w:space="0" w:color="auto"/>
                                    <w:right w:val="none" w:sz="0" w:space="0" w:color="auto"/>
                                  </w:divBdr>
                                  <w:divsChild>
                                    <w:div w:id="1666318859">
                                      <w:marLeft w:val="0"/>
                                      <w:marRight w:val="0"/>
                                      <w:marTop w:val="0"/>
                                      <w:marBottom w:val="0"/>
                                      <w:divBdr>
                                        <w:top w:val="none" w:sz="0" w:space="0" w:color="auto"/>
                                        <w:left w:val="none" w:sz="0" w:space="0" w:color="auto"/>
                                        <w:bottom w:val="none" w:sz="0" w:space="0" w:color="auto"/>
                                        <w:right w:val="none" w:sz="0" w:space="0" w:color="auto"/>
                                      </w:divBdr>
                                      <w:divsChild>
                                        <w:div w:id="60877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97026">
      <w:bodyDiv w:val="1"/>
      <w:marLeft w:val="0"/>
      <w:marRight w:val="0"/>
      <w:marTop w:val="0"/>
      <w:marBottom w:val="0"/>
      <w:divBdr>
        <w:top w:val="none" w:sz="0" w:space="0" w:color="auto"/>
        <w:left w:val="none" w:sz="0" w:space="0" w:color="auto"/>
        <w:bottom w:val="none" w:sz="0" w:space="0" w:color="auto"/>
        <w:right w:val="none" w:sz="0" w:space="0" w:color="auto"/>
      </w:divBdr>
      <w:divsChild>
        <w:div w:id="1167866217">
          <w:marLeft w:val="0"/>
          <w:marRight w:val="0"/>
          <w:marTop w:val="0"/>
          <w:marBottom w:val="0"/>
          <w:divBdr>
            <w:top w:val="none" w:sz="0" w:space="0" w:color="auto"/>
            <w:left w:val="none" w:sz="0" w:space="0" w:color="auto"/>
            <w:bottom w:val="none" w:sz="0" w:space="0" w:color="auto"/>
            <w:right w:val="none" w:sz="0" w:space="0" w:color="auto"/>
          </w:divBdr>
          <w:divsChild>
            <w:div w:id="1228302442">
              <w:marLeft w:val="0"/>
              <w:marRight w:val="0"/>
              <w:marTop w:val="0"/>
              <w:marBottom w:val="0"/>
              <w:divBdr>
                <w:top w:val="none" w:sz="0" w:space="0" w:color="auto"/>
                <w:left w:val="none" w:sz="0" w:space="0" w:color="auto"/>
                <w:bottom w:val="none" w:sz="0" w:space="0" w:color="auto"/>
                <w:right w:val="none" w:sz="0" w:space="0" w:color="auto"/>
              </w:divBdr>
              <w:divsChild>
                <w:div w:id="968164951">
                  <w:marLeft w:val="0"/>
                  <w:marRight w:val="0"/>
                  <w:marTop w:val="0"/>
                  <w:marBottom w:val="0"/>
                  <w:divBdr>
                    <w:top w:val="none" w:sz="0" w:space="0" w:color="auto"/>
                    <w:left w:val="none" w:sz="0" w:space="0" w:color="auto"/>
                    <w:bottom w:val="none" w:sz="0" w:space="0" w:color="auto"/>
                    <w:right w:val="none" w:sz="0" w:space="0" w:color="auto"/>
                  </w:divBdr>
                  <w:divsChild>
                    <w:div w:id="171226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952532">
      <w:bodyDiv w:val="1"/>
      <w:marLeft w:val="0"/>
      <w:marRight w:val="0"/>
      <w:marTop w:val="0"/>
      <w:marBottom w:val="0"/>
      <w:divBdr>
        <w:top w:val="none" w:sz="0" w:space="0" w:color="auto"/>
        <w:left w:val="none" w:sz="0" w:space="0" w:color="auto"/>
        <w:bottom w:val="none" w:sz="0" w:space="0" w:color="auto"/>
        <w:right w:val="none" w:sz="0" w:space="0" w:color="auto"/>
      </w:divBdr>
      <w:divsChild>
        <w:div w:id="2045208660">
          <w:marLeft w:val="0"/>
          <w:marRight w:val="0"/>
          <w:marTop w:val="0"/>
          <w:marBottom w:val="0"/>
          <w:divBdr>
            <w:top w:val="none" w:sz="0" w:space="0" w:color="auto"/>
            <w:left w:val="none" w:sz="0" w:space="0" w:color="auto"/>
            <w:bottom w:val="none" w:sz="0" w:space="0" w:color="auto"/>
            <w:right w:val="none" w:sz="0" w:space="0" w:color="auto"/>
          </w:divBdr>
          <w:divsChild>
            <w:div w:id="1436483897">
              <w:marLeft w:val="0"/>
              <w:marRight w:val="0"/>
              <w:marTop w:val="0"/>
              <w:marBottom w:val="0"/>
              <w:divBdr>
                <w:top w:val="none" w:sz="0" w:space="0" w:color="auto"/>
                <w:left w:val="none" w:sz="0" w:space="0" w:color="auto"/>
                <w:bottom w:val="none" w:sz="0" w:space="0" w:color="auto"/>
                <w:right w:val="none" w:sz="0" w:space="0" w:color="auto"/>
              </w:divBdr>
              <w:divsChild>
                <w:div w:id="1830557309">
                  <w:marLeft w:val="0"/>
                  <w:marRight w:val="0"/>
                  <w:marTop w:val="0"/>
                  <w:marBottom w:val="0"/>
                  <w:divBdr>
                    <w:top w:val="none" w:sz="0" w:space="0" w:color="auto"/>
                    <w:left w:val="none" w:sz="0" w:space="0" w:color="auto"/>
                    <w:bottom w:val="none" w:sz="0" w:space="0" w:color="auto"/>
                    <w:right w:val="none" w:sz="0" w:space="0" w:color="auto"/>
                  </w:divBdr>
                  <w:divsChild>
                    <w:div w:id="198273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888631">
      <w:bodyDiv w:val="1"/>
      <w:marLeft w:val="0"/>
      <w:marRight w:val="0"/>
      <w:marTop w:val="0"/>
      <w:marBottom w:val="0"/>
      <w:divBdr>
        <w:top w:val="none" w:sz="0" w:space="0" w:color="auto"/>
        <w:left w:val="none" w:sz="0" w:space="0" w:color="auto"/>
        <w:bottom w:val="none" w:sz="0" w:space="0" w:color="auto"/>
        <w:right w:val="none" w:sz="0" w:space="0" w:color="auto"/>
      </w:divBdr>
    </w:div>
    <w:div w:id="266811664">
      <w:bodyDiv w:val="1"/>
      <w:marLeft w:val="0"/>
      <w:marRight w:val="0"/>
      <w:marTop w:val="0"/>
      <w:marBottom w:val="0"/>
      <w:divBdr>
        <w:top w:val="none" w:sz="0" w:space="0" w:color="auto"/>
        <w:left w:val="none" w:sz="0" w:space="0" w:color="auto"/>
        <w:bottom w:val="none" w:sz="0" w:space="0" w:color="auto"/>
        <w:right w:val="none" w:sz="0" w:space="0" w:color="auto"/>
      </w:divBdr>
    </w:div>
    <w:div w:id="281107960">
      <w:bodyDiv w:val="1"/>
      <w:marLeft w:val="0"/>
      <w:marRight w:val="0"/>
      <w:marTop w:val="0"/>
      <w:marBottom w:val="0"/>
      <w:divBdr>
        <w:top w:val="none" w:sz="0" w:space="0" w:color="auto"/>
        <w:left w:val="none" w:sz="0" w:space="0" w:color="auto"/>
        <w:bottom w:val="none" w:sz="0" w:space="0" w:color="auto"/>
        <w:right w:val="none" w:sz="0" w:space="0" w:color="auto"/>
      </w:divBdr>
      <w:divsChild>
        <w:div w:id="697513675">
          <w:marLeft w:val="0"/>
          <w:marRight w:val="0"/>
          <w:marTop w:val="0"/>
          <w:marBottom w:val="0"/>
          <w:divBdr>
            <w:top w:val="none" w:sz="0" w:space="0" w:color="auto"/>
            <w:left w:val="none" w:sz="0" w:space="0" w:color="auto"/>
            <w:bottom w:val="none" w:sz="0" w:space="0" w:color="auto"/>
            <w:right w:val="none" w:sz="0" w:space="0" w:color="auto"/>
          </w:divBdr>
          <w:divsChild>
            <w:div w:id="1406679786">
              <w:marLeft w:val="0"/>
              <w:marRight w:val="0"/>
              <w:marTop w:val="0"/>
              <w:marBottom w:val="0"/>
              <w:divBdr>
                <w:top w:val="none" w:sz="0" w:space="0" w:color="auto"/>
                <w:left w:val="none" w:sz="0" w:space="0" w:color="auto"/>
                <w:bottom w:val="none" w:sz="0" w:space="0" w:color="auto"/>
                <w:right w:val="none" w:sz="0" w:space="0" w:color="auto"/>
              </w:divBdr>
              <w:divsChild>
                <w:div w:id="17001982">
                  <w:marLeft w:val="0"/>
                  <w:marRight w:val="0"/>
                  <w:marTop w:val="0"/>
                  <w:marBottom w:val="0"/>
                  <w:divBdr>
                    <w:top w:val="none" w:sz="0" w:space="0" w:color="auto"/>
                    <w:left w:val="none" w:sz="0" w:space="0" w:color="auto"/>
                    <w:bottom w:val="none" w:sz="0" w:space="0" w:color="auto"/>
                    <w:right w:val="none" w:sz="0" w:space="0" w:color="auto"/>
                  </w:divBdr>
                  <w:divsChild>
                    <w:div w:id="30547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241120">
      <w:bodyDiv w:val="1"/>
      <w:marLeft w:val="0"/>
      <w:marRight w:val="0"/>
      <w:marTop w:val="0"/>
      <w:marBottom w:val="0"/>
      <w:divBdr>
        <w:top w:val="none" w:sz="0" w:space="0" w:color="auto"/>
        <w:left w:val="none" w:sz="0" w:space="0" w:color="auto"/>
        <w:bottom w:val="none" w:sz="0" w:space="0" w:color="auto"/>
        <w:right w:val="none" w:sz="0" w:space="0" w:color="auto"/>
      </w:divBdr>
      <w:divsChild>
        <w:div w:id="1812555423">
          <w:marLeft w:val="0"/>
          <w:marRight w:val="0"/>
          <w:marTop w:val="0"/>
          <w:marBottom w:val="0"/>
          <w:divBdr>
            <w:top w:val="none" w:sz="0" w:space="0" w:color="auto"/>
            <w:left w:val="none" w:sz="0" w:space="0" w:color="auto"/>
            <w:bottom w:val="none" w:sz="0" w:space="0" w:color="auto"/>
            <w:right w:val="none" w:sz="0" w:space="0" w:color="auto"/>
          </w:divBdr>
          <w:divsChild>
            <w:div w:id="1081096532">
              <w:marLeft w:val="0"/>
              <w:marRight w:val="0"/>
              <w:marTop w:val="0"/>
              <w:marBottom w:val="0"/>
              <w:divBdr>
                <w:top w:val="none" w:sz="0" w:space="0" w:color="auto"/>
                <w:left w:val="none" w:sz="0" w:space="0" w:color="auto"/>
                <w:bottom w:val="none" w:sz="0" w:space="0" w:color="auto"/>
                <w:right w:val="none" w:sz="0" w:space="0" w:color="auto"/>
              </w:divBdr>
              <w:divsChild>
                <w:div w:id="1787193146">
                  <w:marLeft w:val="0"/>
                  <w:marRight w:val="0"/>
                  <w:marTop w:val="0"/>
                  <w:marBottom w:val="0"/>
                  <w:divBdr>
                    <w:top w:val="none" w:sz="0" w:space="0" w:color="auto"/>
                    <w:left w:val="none" w:sz="0" w:space="0" w:color="auto"/>
                    <w:bottom w:val="none" w:sz="0" w:space="0" w:color="auto"/>
                    <w:right w:val="none" w:sz="0" w:space="0" w:color="auto"/>
                  </w:divBdr>
                  <w:divsChild>
                    <w:div w:id="123269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620007">
      <w:bodyDiv w:val="1"/>
      <w:marLeft w:val="0"/>
      <w:marRight w:val="0"/>
      <w:marTop w:val="0"/>
      <w:marBottom w:val="0"/>
      <w:divBdr>
        <w:top w:val="none" w:sz="0" w:space="0" w:color="auto"/>
        <w:left w:val="none" w:sz="0" w:space="0" w:color="auto"/>
        <w:bottom w:val="none" w:sz="0" w:space="0" w:color="auto"/>
        <w:right w:val="none" w:sz="0" w:space="0" w:color="auto"/>
      </w:divBdr>
      <w:divsChild>
        <w:div w:id="1990279596">
          <w:marLeft w:val="0"/>
          <w:marRight w:val="0"/>
          <w:marTop w:val="0"/>
          <w:marBottom w:val="0"/>
          <w:divBdr>
            <w:top w:val="none" w:sz="0" w:space="0" w:color="auto"/>
            <w:left w:val="none" w:sz="0" w:space="0" w:color="auto"/>
            <w:bottom w:val="none" w:sz="0" w:space="0" w:color="auto"/>
            <w:right w:val="none" w:sz="0" w:space="0" w:color="auto"/>
          </w:divBdr>
          <w:divsChild>
            <w:div w:id="224681657">
              <w:marLeft w:val="0"/>
              <w:marRight w:val="0"/>
              <w:marTop w:val="0"/>
              <w:marBottom w:val="0"/>
              <w:divBdr>
                <w:top w:val="none" w:sz="0" w:space="0" w:color="auto"/>
                <w:left w:val="none" w:sz="0" w:space="0" w:color="auto"/>
                <w:bottom w:val="none" w:sz="0" w:space="0" w:color="auto"/>
                <w:right w:val="none" w:sz="0" w:space="0" w:color="auto"/>
              </w:divBdr>
              <w:divsChild>
                <w:div w:id="1318848128">
                  <w:marLeft w:val="0"/>
                  <w:marRight w:val="0"/>
                  <w:marTop w:val="0"/>
                  <w:marBottom w:val="0"/>
                  <w:divBdr>
                    <w:top w:val="none" w:sz="0" w:space="0" w:color="auto"/>
                    <w:left w:val="none" w:sz="0" w:space="0" w:color="auto"/>
                    <w:bottom w:val="none" w:sz="0" w:space="0" w:color="auto"/>
                    <w:right w:val="none" w:sz="0" w:space="0" w:color="auto"/>
                  </w:divBdr>
                  <w:divsChild>
                    <w:div w:id="1094477106">
                      <w:marLeft w:val="0"/>
                      <w:marRight w:val="0"/>
                      <w:marTop w:val="0"/>
                      <w:marBottom w:val="0"/>
                      <w:divBdr>
                        <w:top w:val="none" w:sz="0" w:space="0" w:color="auto"/>
                        <w:left w:val="none" w:sz="0" w:space="0" w:color="auto"/>
                        <w:bottom w:val="none" w:sz="0" w:space="0" w:color="auto"/>
                        <w:right w:val="none" w:sz="0" w:space="0" w:color="auto"/>
                      </w:divBdr>
                    </w:div>
                  </w:divsChild>
                </w:div>
                <w:div w:id="1857693375">
                  <w:marLeft w:val="0"/>
                  <w:marRight w:val="0"/>
                  <w:marTop w:val="0"/>
                  <w:marBottom w:val="0"/>
                  <w:divBdr>
                    <w:top w:val="none" w:sz="0" w:space="0" w:color="auto"/>
                    <w:left w:val="none" w:sz="0" w:space="0" w:color="auto"/>
                    <w:bottom w:val="none" w:sz="0" w:space="0" w:color="auto"/>
                    <w:right w:val="none" w:sz="0" w:space="0" w:color="auto"/>
                  </w:divBdr>
                  <w:divsChild>
                    <w:div w:id="192113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656320">
      <w:bodyDiv w:val="1"/>
      <w:marLeft w:val="0"/>
      <w:marRight w:val="0"/>
      <w:marTop w:val="0"/>
      <w:marBottom w:val="0"/>
      <w:divBdr>
        <w:top w:val="none" w:sz="0" w:space="0" w:color="auto"/>
        <w:left w:val="none" w:sz="0" w:space="0" w:color="auto"/>
        <w:bottom w:val="none" w:sz="0" w:space="0" w:color="auto"/>
        <w:right w:val="none" w:sz="0" w:space="0" w:color="auto"/>
      </w:divBdr>
      <w:divsChild>
        <w:div w:id="1801728367">
          <w:marLeft w:val="0"/>
          <w:marRight w:val="0"/>
          <w:marTop w:val="0"/>
          <w:marBottom w:val="0"/>
          <w:divBdr>
            <w:top w:val="none" w:sz="0" w:space="0" w:color="auto"/>
            <w:left w:val="none" w:sz="0" w:space="0" w:color="auto"/>
            <w:bottom w:val="none" w:sz="0" w:space="0" w:color="auto"/>
            <w:right w:val="none" w:sz="0" w:space="0" w:color="auto"/>
          </w:divBdr>
          <w:divsChild>
            <w:div w:id="90396938">
              <w:marLeft w:val="0"/>
              <w:marRight w:val="0"/>
              <w:marTop w:val="0"/>
              <w:marBottom w:val="0"/>
              <w:divBdr>
                <w:top w:val="none" w:sz="0" w:space="0" w:color="auto"/>
                <w:left w:val="none" w:sz="0" w:space="0" w:color="auto"/>
                <w:bottom w:val="none" w:sz="0" w:space="0" w:color="auto"/>
                <w:right w:val="none" w:sz="0" w:space="0" w:color="auto"/>
              </w:divBdr>
              <w:divsChild>
                <w:div w:id="143552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622466">
      <w:bodyDiv w:val="1"/>
      <w:marLeft w:val="0"/>
      <w:marRight w:val="0"/>
      <w:marTop w:val="0"/>
      <w:marBottom w:val="0"/>
      <w:divBdr>
        <w:top w:val="none" w:sz="0" w:space="0" w:color="auto"/>
        <w:left w:val="none" w:sz="0" w:space="0" w:color="auto"/>
        <w:bottom w:val="none" w:sz="0" w:space="0" w:color="auto"/>
        <w:right w:val="none" w:sz="0" w:space="0" w:color="auto"/>
      </w:divBdr>
      <w:divsChild>
        <w:div w:id="1918249871">
          <w:marLeft w:val="0"/>
          <w:marRight w:val="0"/>
          <w:marTop w:val="0"/>
          <w:marBottom w:val="0"/>
          <w:divBdr>
            <w:top w:val="none" w:sz="0" w:space="0" w:color="auto"/>
            <w:left w:val="none" w:sz="0" w:space="0" w:color="auto"/>
            <w:bottom w:val="none" w:sz="0" w:space="0" w:color="auto"/>
            <w:right w:val="none" w:sz="0" w:space="0" w:color="auto"/>
          </w:divBdr>
          <w:divsChild>
            <w:div w:id="897203127">
              <w:marLeft w:val="0"/>
              <w:marRight w:val="0"/>
              <w:marTop w:val="0"/>
              <w:marBottom w:val="0"/>
              <w:divBdr>
                <w:top w:val="none" w:sz="0" w:space="0" w:color="auto"/>
                <w:left w:val="none" w:sz="0" w:space="0" w:color="auto"/>
                <w:bottom w:val="none" w:sz="0" w:space="0" w:color="auto"/>
                <w:right w:val="none" w:sz="0" w:space="0" w:color="auto"/>
              </w:divBdr>
              <w:divsChild>
                <w:div w:id="127817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51042">
      <w:bodyDiv w:val="1"/>
      <w:marLeft w:val="0"/>
      <w:marRight w:val="0"/>
      <w:marTop w:val="0"/>
      <w:marBottom w:val="0"/>
      <w:divBdr>
        <w:top w:val="none" w:sz="0" w:space="0" w:color="auto"/>
        <w:left w:val="none" w:sz="0" w:space="0" w:color="auto"/>
        <w:bottom w:val="none" w:sz="0" w:space="0" w:color="auto"/>
        <w:right w:val="none" w:sz="0" w:space="0" w:color="auto"/>
      </w:divBdr>
    </w:div>
    <w:div w:id="338168144">
      <w:bodyDiv w:val="1"/>
      <w:marLeft w:val="0"/>
      <w:marRight w:val="0"/>
      <w:marTop w:val="0"/>
      <w:marBottom w:val="0"/>
      <w:divBdr>
        <w:top w:val="none" w:sz="0" w:space="0" w:color="auto"/>
        <w:left w:val="none" w:sz="0" w:space="0" w:color="auto"/>
        <w:bottom w:val="none" w:sz="0" w:space="0" w:color="auto"/>
        <w:right w:val="none" w:sz="0" w:space="0" w:color="auto"/>
      </w:divBdr>
      <w:divsChild>
        <w:div w:id="1315451041">
          <w:marLeft w:val="0"/>
          <w:marRight w:val="0"/>
          <w:marTop w:val="0"/>
          <w:marBottom w:val="0"/>
          <w:divBdr>
            <w:top w:val="none" w:sz="0" w:space="0" w:color="auto"/>
            <w:left w:val="none" w:sz="0" w:space="0" w:color="auto"/>
            <w:bottom w:val="none" w:sz="0" w:space="0" w:color="auto"/>
            <w:right w:val="none" w:sz="0" w:space="0" w:color="auto"/>
          </w:divBdr>
          <w:divsChild>
            <w:div w:id="1880821269">
              <w:marLeft w:val="0"/>
              <w:marRight w:val="0"/>
              <w:marTop w:val="0"/>
              <w:marBottom w:val="0"/>
              <w:divBdr>
                <w:top w:val="none" w:sz="0" w:space="0" w:color="auto"/>
                <w:left w:val="none" w:sz="0" w:space="0" w:color="auto"/>
                <w:bottom w:val="none" w:sz="0" w:space="0" w:color="auto"/>
                <w:right w:val="none" w:sz="0" w:space="0" w:color="auto"/>
              </w:divBdr>
              <w:divsChild>
                <w:div w:id="9582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715628">
      <w:bodyDiv w:val="1"/>
      <w:marLeft w:val="0"/>
      <w:marRight w:val="0"/>
      <w:marTop w:val="0"/>
      <w:marBottom w:val="0"/>
      <w:divBdr>
        <w:top w:val="none" w:sz="0" w:space="0" w:color="auto"/>
        <w:left w:val="none" w:sz="0" w:space="0" w:color="auto"/>
        <w:bottom w:val="none" w:sz="0" w:space="0" w:color="auto"/>
        <w:right w:val="none" w:sz="0" w:space="0" w:color="auto"/>
      </w:divBdr>
    </w:div>
    <w:div w:id="506360613">
      <w:bodyDiv w:val="1"/>
      <w:marLeft w:val="0"/>
      <w:marRight w:val="0"/>
      <w:marTop w:val="0"/>
      <w:marBottom w:val="0"/>
      <w:divBdr>
        <w:top w:val="none" w:sz="0" w:space="0" w:color="auto"/>
        <w:left w:val="none" w:sz="0" w:space="0" w:color="auto"/>
        <w:bottom w:val="none" w:sz="0" w:space="0" w:color="auto"/>
        <w:right w:val="none" w:sz="0" w:space="0" w:color="auto"/>
      </w:divBdr>
    </w:div>
    <w:div w:id="531109617">
      <w:bodyDiv w:val="1"/>
      <w:marLeft w:val="0"/>
      <w:marRight w:val="0"/>
      <w:marTop w:val="0"/>
      <w:marBottom w:val="0"/>
      <w:divBdr>
        <w:top w:val="none" w:sz="0" w:space="0" w:color="auto"/>
        <w:left w:val="none" w:sz="0" w:space="0" w:color="auto"/>
        <w:bottom w:val="none" w:sz="0" w:space="0" w:color="auto"/>
        <w:right w:val="none" w:sz="0" w:space="0" w:color="auto"/>
      </w:divBdr>
      <w:divsChild>
        <w:div w:id="669454628">
          <w:marLeft w:val="0"/>
          <w:marRight w:val="0"/>
          <w:marTop w:val="0"/>
          <w:marBottom w:val="0"/>
          <w:divBdr>
            <w:top w:val="none" w:sz="0" w:space="0" w:color="auto"/>
            <w:left w:val="none" w:sz="0" w:space="0" w:color="auto"/>
            <w:bottom w:val="none" w:sz="0" w:space="0" w:color="auto"/>
            <w:right w:val="none" w:sz="0" w:space="0" w:color="auto"/>
          </w:divBdr>
          <w:divsChild>
            <w:div w:id="1256135586">
              <w:marLeft w:val="0"/>
              <w:marRight w:val="0"/>
              <w:marTop w:val="0"/>
              <w:marBottom w:val="0"/>
              <w:divBdr>
                <w:top w:val="none" w:sz="0" w:space="0" w:color="auto"/>
                <w:left w:val="none" w:sz="0" w:space="0" w:color="auto"/>
                <w:bottom w:val="none" w:sz="0" w:space="0" w:color="auto"/>
                <w:right w:val="none" w:sz="0" w:space="0" w:color="auto"/>
              </w:divBdr>
              <w:divsChild>
                <w:div w:id="1385829800">
                  <w:marLeft w:val="0"/>
                  <w:marRight w:val="0"/>
                  <w:marTop w:val="0"/>
                  <w:marBottom w:val="0"/>
                  <w:divBdr>
                    <w:top w:val="none" w:sz="0" w:space="0" w:color="auto"/>
                    <w:left w:val="none" w:sz="0" w:space="0" w:color="auto"/>
                    <w:bottom w:val="none" w:sz="0" w:space="0" w:color="auto"/>
                    <w:right w:val="none" w:sz="0" w:space="0" w:color="auto"/>
                  </w:divBdr>
                  <w:divsChild>
                    <w:div w:id="107277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036741">
      <w:bodyDiv w:val="1"/>
      <w:marLeft w:val="0"/>
      <w:marRight w:val="0"/>
      <w:marTop w:val="0"/>
      <w:marBottom w:val="0"/>
      <w:divBdr>
        <w:top w:val="none" w:sz="0" w:space="0" w:color="auto"/>
        <w:left w:val="none" w:sz="0" w:space="0" w:color="auto"/>
        <w:bottom w:val="none" w:sz="0" w:space="0" w:color="auto"/>
        <w:right w:val="none" w:sz="0" w:space="0" w:color="auto"/>
      </w:divBdr>
    </w:div>
    <w:div w:id="554587230">
      <w:bodyDiv w:val="1"/>
      <w:marLeft w:val="0"/>
      <w:marRight w:val="0"/>
      <w:marTop w:val="0"/>
      <w:marBottom w:val="0"/>
      <w:divBdr>
        <w:top w:val="none" w:sz="0" w:space="0" w:color="auto"/>
        <w:left w:val="none" w:sz="0" w:space="0" w:color="auto"/>
        <w:bottom w:val="none" w:sz="0" w:space="0" w:color="auto"/>
        <w:right w:val="none" w:sz="0" w:space="0" w:color="auto"/>
      </w:divBdr>
    </w:div>
    <w:div w:id="587613764">
      <w:bodyDiv w:val="1"/>
      <w:marLeft w:val="0"/>
      <w:marRight w:val="0"/>
      <w:marTop w:val="0"/>
      <w:marBottom w:val="0"/>
      <w:divBdr>
        <w:top w:val="none" w:sz="0" w:space="0" w:color="auto"/>
        <w:left w:val="none" w:sz="0" w:space="0" w:color="auto"/>
        <w:bottom w:val="none" w:sz="0" w:space="0" w:color="auto"/>
        <w:right w:val="none" w:sz="0" w:space="0" w:color="auto"/>
      </w:divBdr>
    </w:div>
    <w:div w:id="591623507">
      <w:bodyDiv w:val="1"/>
      <w:marLeft w:val="0"/>
      <w:marRight w:val="0"/>
      <w:marTop w:val="0"/>
      <w:marBottom w:val="0"/>
      <w:divBdr>
        <w:top w:val="none" w:sz="0" w:space="0" w:color="auto"/>
        <w:left w:val="none" w:sz="0" w:space="0" w:color="auto"/>
        <w:bottom w:val="none" w:sz="0" w:space="0" w:color="auto"/>
        <w:right w:val="none" w:sz="0" w:space="0" w:color="auto"/>
      </w:divBdr>
    </w:div>
    <w:div w:id="591932366">
      <w:bodyDiv w:val="1"/>
      <w:marLeft w:val="0"/>
      <w:marRight w:val="0"/>
      <w:marTop w:val="0"/>
      <w:marBottom w:val="0"/>
      <w:divBdr>
        <w:top w:val="none" w:sz="0" w:space="0" w:color="auto"/>
        <w:left w:val="none" w:sz="0" w:space="0" w:color="auto"/>
        <w:bottom w:val="none" w:sz="0" w:space="0" w:color="auto"/>
        <w:right w:val="none" w:sz="0" w:space="0" w:color="auto"/>
      </w:divBdr>
    </w:div>
    <w:div w:id="615452337">
      <w:bodyDiv w:val="1"/>
      <w:marLeft w:val="0"/>
      <w:marRight w:val="0"/>
      <w:marTop w:val="0"/>
      <w:marBottom w:val="0"/>
      <w:divBdr>
        <w:top w:val="none" w:sz="0" w:space="0" w:color="auto"/>
        <w:left w:val="none" w:sz="0" w:space="0" w:color="auto"/>
        <w:bottom w:val="none" w:sz="0" w:space="0" w:color="auto"/>
        <w:right w:val="none" w:sz="0" w:space="0" w:color="auto"/>
      </w:divBdr>
    </w:div>
    <w:div w:id="703604664">
      <w:bodyDiv w:val="1"/>
      <w:marLeft w:val="0"/>
      <w:marRight w:val="0"/>
      <w:marTop w:val="0"/>
      <w:marBottom w:val="0"/>
      <w:divBdr>
        <w:top w:val="none" w:sz="0" w:space="0" w:color="auto"/>
        <w:left w:val="none" w:sz="0" w:space="0" w:color="auto"/>
        <w:bottom w:val="none" w:sz="0" w:space="0" w:color="auto"/>
        <w:right w:val="none" w:sz="0" w:space="0" w:color="auto"/>
      </w:divBdr>
      <w:divsChild>
        <w:div w:id="1659845851">
          <w:marLeft w:val="0"/>
          <w:marRight w:val="0"/>
          <w:marTop w:val="0"/>
          <w:marBottom w:val="0"/>
          <w:divBdr>
            <w:top w:val="none" w:sz="0" w:space="0" w:color="auto"/>
            <w:left w:val="none" w:sz="0" w:space="0" w:color="auto"/>
            <w:bottom w:val="none" w:sz="0" w:space="0" w:color="auto"/>
            <w:right w:val="none" w:sz="0" w:space="0" w:color="auto"/>
          </w:divBdr>
          <w:divsChild>
            <w:div w:id="1875464557">
              <w:marLeft w:val="0"/>
              <w:marRight w:val="0"/>
              <w:marTop w:val="0"/>
              <w:marBottom w:val="0"/>
              <w:divBdr>
                <w:top w:val="none" w:sz="0" w:space="0" w:color="auto"/>
                <w:left w:val="none" w:sz="0" w:space="0" w:color="auto"/>
                <w:bottom w:val="none" w:sz="0" w:space="0" w:color="auto"/>
                <w:right w:val="none" w:sz="0" w:space="0" w:color="auto"/>
              </w:divBdr>
              <w:divsChild>
                <w:div w:id="84948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702638">
      <w:bodyDiv w:val="1"/>
      <w:marLeft w:val="0"/>
      <w:marRight w:val="0"/>
      <w:marTop w:val="0"/>
      <w:marBottom w:val="0"/>
      <w:divBdr>
        <w:top w:val="none" w:sz="0" w:space="0" w:color="auto"/>
        <w:left w:val="none" w:sz="0" w:space="0" w:color="auto"/>
        <w:bottom w:val="none" w:sz="0" w:space="0" w:color="auto"/>
        <w:right w:val="none" w:sz="0" w:space="0" w:color="auto"/>
      </w:divBdr>
    </w:div>
    <w:div w:id="736362894">
      <w:bodyDiv w:val="1"/>
      <w:marLeft w:val="0"/>
      <w:marRight w:val="0"/>
      <w:marTop w:val="0"/>
      <w:marBottom w:val="0"/>
      <w:divBdr>
        <w:top w:val="none" w:sz="0" w:space="0" w:color="auto"/>
        <w:left w:val="none" w:sz="0" w:space="0" w:color="auto"/>
        <w:bottom w:val="none" w:sz="0" w:space="0" w:color="auto"/>
        <w:right w:val="none" w:sz="0" w:space="0" w:color="auto"/>
      </w:divBdr>
    </w:div>
    <w:div w:id="739212777">
      <w:bodyDiv w:val="1"/>
      <w:marLeft w:val="0"/>
      <w:marRight w:val="0"/>
      <w:marTop w:val="0"/>
      <w:marBottom w:val="0"/>
      <w:divBdr>
        <w:top w:val="none" w:sz="0" w:space="0" w:color="auto"/>
        <w:left w:val="none" w:sz="0" w:space="0" w:color="auto"/>
        <w:bottom w:val="none" w:sz="0" w:space="0" w:color="auto"/>
        <w:right w:val="none" w:sz="0" w:space="0" w:color="auto"/>
      </w:divBdr>
      <w:divsChild>
        <w:div w:id="439029108">
          <w:marLeft w:val="0"/>
          <w:marRight w:val="0"/>
          <w:marTop w:val="0"/>
          <w:marBottom w:val="0"/>
          <w:divBdr>
            <w:top w:val="none" w:sz="0" w:space="0" w:color="auto"/>
            <w:left w:val="none" w:sz="0" w:space="0" w:color="auto"/>
            <w:bottom w:val="none" w:sz="0" w:space="0" w:color="auto"/>
            <w:right w:val="none" w:sz="0" w:space="0" w:color="auto"/>
          </w:divBdr>
          <w:divsChild>
            <w:div w:id="1392849244">
              <w:marLeft w:val="0"/>
              <w:marRight w:val="0"/>
              <w:marTop w:val="0"/>
              <w:marBottom w:val="0"/>
              <w:divBdr>
                <w:top w:val="none" w:sz="0" w:space="0" w:color="auto"/>
                <w:left w:val="none" w:sz="0" w:space="0" w:color="auto"/>
                <w:bottom w:val="none" w:sz="0" w:space="0" w:color="auto"/>
                <w:right w:val="none" w:sz="0" w:space="0" w:color="auto"/>
              </w:divBdr>
              <w:divsChild>
                <w:div w:id="85033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22003">
      <w:bodyDiv w:val="1"/>
      <w:marLeft w:val="0"/>
      <w:marRight w:val="0"/>
      <w:marTop w:val="0"/>
      <w:marBottom w:val="0"/>
      <w:divBdr>
        <w:top w:val="none" w:sz="0" w:space="0" w:color="auto"/>
        <w:left w:val="none" w:sz="0" w:space="0" w:color="auto"/>
        <w:bottom w:val="none" w:sz="0" w:space="0" w:color="auto"/>
        <w:right w:val="none" w:sz="0" w:space="0" w:color="auto"/>
      </w:divBdr>
    </w:div>
    <w:div w:id="773670369">
      <w:bodyDiv w:val="1"/>
      <w:marLeft w:val="0"/>
      <w:marRight w:val="0"/>
      <w:marTop w:val="0"/>
      <w:marBottom w:val="0"/>
      <w:divBdr>
        <w:top w:val="none" w:sz="0" w:space="0" w:color="auto"/>
        <w:left w:val="none" w:sz="0" w:space="0" w:color="auto"/>
        <w:bottom w:val="none" w:sz="0" w:space="0" w:color="auto"/>
        <w:right w:val="none" w:sz="0" w:space="0" w:color="auto"/>
      </w:divBdr>
    </w:div>
    <w:div w:id="797921257">
      <w:bodyDiv w:val="1"/>
      <w:marLeft w:val="0"/>
      <w:marRight w:val="0"/>
      <w:marTop w:val="0"/>
      <w:marBottom w:val="0"/>
      <w:divBdr>
        <w:top w:val="none" w:sz="0" w:space="0" w:color="auto"/>
        <w:left w:val="none" w:sz="0" w:space="0" w:color="auto"/>
        <w:bottom w:val="none" w:sz="0" w:space="0" w:color="auto"/>
        <w:right w:val="none" w:sz="0" w:space="0" w:color="auto"/>
      </w:divBdr>
      <w:divsChild>
        <w:div w:id="556279188">
          <w:marLeft w:val="0"/>
          <w:marRight w:val="0"/>
          <w:marTop w:val="0"/>
          <w:marBottom w:val="0"/>
          <w:divBdr>
            <w:top w:val="none" w:sz="0" w:space="0" w:color="auto"/>
            <w:left w:val="none" w:sz="0" w:space="0" w:color="auto"/>
            <w:bottom w:val="none" w:sz="0" w:space="0" w:color="auto"/>
            <w:right w:val="none" w:sz="0" w:space="0" w:color="auto"/>
          </w:divBdr>
          <w:divsChild>
            <w:div w:id="2017608950">
              <w:marLeft w:val="0"/>
              <w:marRight w:val="0"/>
              <w:marTop w:val="0"/>
              <w:marBottom w:val="0"/>
              <w:divBdr>
                <w:top w:val="none" w:sz="0" w:space="0" w:color="auto"/>
                <w:left w:val="none" w:sz="0" w:space="0" w:color="auto"/>
                <w:bottom w:val="none" w:sz="0" w:space="0" w:color="auto"/>
                <w:right w:val="none" w:sz="0" w:space="0" w:color="auto"/>
              </w:divBdr>
              <w:divsChild>
                <w:div w:id="2002809900">
                  <w:marLeft w:val="0"/>
                  <w:marRight w:val="0"/>
                  <w:marTop w:val="0"/>
                  <w:marBottom w:val="0"/>
                  <w:divBdr>
                    <w:top w:val="none" w:sz="0" w:space="0" w:color="auto"/>
                    <w:left w:val="none" w:sz="0" w:space="0" w:color="auto"/>
                    <w:bottom w:val="none" w:sz="0" w:space="0" w:color="auto"/>
                    <w:right w:val="none" w:sz="0" w:space="0" w:color="auto"/>
                  </w:divBdr>
                  <w:divsChild>
                    <w:div w:id="8738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726581">
      <w:bodyDiv w:val="1"/>
      <w:marLeft w:val="0"/>
      <w:marRight w:val="0"/>
      <w:marTop w:val="0"/>
      <w:marBottom w:val="0"/>
      <w:divBdr>
        <w:top w:val="none" w:sz="0" w:space="0" w:color="auto"/>
        <w:left w:val="none" w:sz="0" w:space="0" w:color="auto"/>
        <w:bottom w:val="none" w:sz="0" w:space="0" w:color="auto"/>
        <w:right w:val="none" w:sz="0" w:space="0" w:color="auto"/>
      </w:divBdr>
      <w:divsChild>
        <w:div w:id="1866018223">
          <w:marLeft w:val="0"/>
          <w:marRight w:val="0"/>
          <w:marTop w:val="0"/>
          <w:marBottom w:val="0"/>
          <w:divBdr>
            <w:top w:val="none" w:sz="0" w:space="0" w:color="auto"/>
            <w:left w:val="none" w:sz="0" w:space="0" w:color="auto"/>
            <w:bottom w:val="none" w:sz="0" w:space="0" w:color="auto"/>
            <w:right w:val="none" w:sz="0" w:space="0" w:color="auto"/>
          </w:divBdr>
          <w:divsChild>
            <w:div w:id="2052225242">
              <w:marLeft w:val="0"/>
              <w:marRight w:val="0"/>
              <w:marTop w:val="0"/>
              <w:marBottom w:val="0"/>
              <w:divBdr>
                <w:top w:val="none" w:sz="0" w:space="0" w:color="auto"/>
                <w:left w:val="none" w:sz="0" w:space="0" w:color="auto"/>
                <w:bottom w:val="none" w:sz="0" w:space="0" w:color="auto"/>
                <w:right w:val="none" w:sz="0" w:space="0" w:color="auto"/>
              </w:divBdr>
              <w:divsChild>
                <w:div w:id="1733500276">
                  <w:marLeft w:val="0"/>
                  <w:marRight w:val="0"/>
                  <w:marTop w:val="0"/>
                  <w:marBottom w:val="0"/>
                  <w:divBdr>
                    <w:top w:val="none" w:sz="0" w:space="0" w:color="auto"/>
                    <w:left w:val="none" w:sz="0" w:space="0" w:color="auto"/>
                    <w:bottom w:val="none" w:sz="0" w:space="0" w:color="auto"/>
                    <w:right w:val="none" w:sz="0" w:space="0" w:color="auto"/>
                  </w:divBdr>
                  <w:divsChild>
                    <w:div w:id="48582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763286">
      <w:bodyDiv w:val="1"/>
      <w:marLeft w:val="0"/>
      <w:marRight w:val="0"/>
      <w:marTop w:val="0"/>
      <w:marBottom w:val="0"/>
      <w:divBdr>
        <w:top w:val="none" w:sz="0" w:space="0" w:color="auto"/>
        <w:left w:val="none" w:sz="0" w:space="0" w:color="auto"/>
        <w:bottom w:val="none" w:sz="0" w:space="0" w:color="auto"/>
        <w:right w:val="none" w:sz="0" w:space="0" w:color="auto"/>
      </w:divBdr>
      <w:divsChild>
        <w:div w:id="1561944869">
          <w:marLeft w:val="0"/>
          <w:marRight w:val="0"/>
          <w:marTop w:val="0"/>
          <w:marBottom w:val="0"/>
          <w:divBdr>
            <w:top w:val="none" w:sz="0" w:space="0" w:color="auto"/>
            <w:left w:val="none" w:sz="0" w:space="0" w:color="auto"/>
            <w:bottom w:val="none" w:sz="0" w:space="0" w:color="auto"/>
            <w:right w:val="none" w:sz="0" w:space="0" w:color="auto"/>
          </w:divBdr>
          <w:divsChild>
            <w:div w:id="893085339">
              <w:marLeft w:val="0"/>
              <w:marRight w:val="0"/>
              <w:marTop w:val="0"/>
              <w:marBottom w:val="0"/>
              <w:divBdr>
                <w:top w:val="none" w:sz="0" w:space="0" w:color="auto"/>
                <w:left w:val="none" w:sz="0" w:space="0" w:color="auto"/>
                <w:bottom w:val="none" w:sz="0" w:space="0" w:color="auto"/>
                <w:right w:val="none" w:sz="0" w:space="0" w:color="auto"/>
              </w:divBdr>
              <w:divsChild>
                <w:div w:id="362173791">
                  <w:marLeft w:val="0"/>
                  <w:marRight w:val="0"/>
                  <w:marTop w:val="0"/>
                  <w:marBottom w:val="0"/>
                  <w:divBdr>
                    <w:top w:val="none" w:sz="0" w:space="0" w:color="auto"/>
                    <w:left w:val="none" w:sz="0" w:space="0" w:color="auto"/>
                    <w:bottom w:val="none" w:sz="0" w:space="0" w:color="auto"/>
                    <w:right w:val="none" w:sz="0" w:space="0" w:color="auto"/>
                  </w:divBdr>
                  <w:divsChild>
                    <w:div w:id="909193263">
                      <w:marLeft w:val="0"/>
                      <w:marRight w:val="0"/>
                      <w:marTop w:val="0"/>
                      <w:marBottom w:val="0"/>
                      <w:divBdr>
                        <w:top w:val="none" w:sz="0" w:space="0" w:color="auto"/>
                        <w:left w:val="none" w:sz="0" w:space="0" w:color="auto"/>
                        <w:bottom w:val="none" w:sz="0" w:space="0" w:color="auto"/>
                        <w:right w:val="none" w:sz="0" w:space="0" w:color="auto"/>
                      </w:divBdr>
                      <w:divsChild>
                        <w:div w:id="913507857">
                          <w:marLeft w:val="0"/>
                          <w:marRight w:val="0"/>
                          <w:marTop w:val="0"/>
                          <w:marBottom w:val="0"/>
                          <w:divBdr>
                            <w:top w:val="none" w:sz="0" w:space="0" w:color="auto"/>
                            <w:left w:val="none" w:sz="0" w:space="0" w:color="auto"/>
                            <w:bottom w:val="none" w:sz="0" w:space="0" w:color="auto"/>
                            <w:right w:val="none" w:sz="0" w:space="0" w:color="auto"/>
                          </w:divBdr>
                          <w:divsChild>
                            <w:div w:id="1586843738">
                              <w:marLeft w:val="0"/>
                              <w:marRight w:val="0"/>
                              <w:marTop w:val="0"/>
                              <w:marBottom w:val="0"/>
                              <w:divBdr>
                                <w:top w:val="none" w:sz="0" w:space="0" w:color="auto"/>
                                <w:left w:val="none" w:sz="0" w:space="0" w:color="auto"/>
                                <w:bottom w:val="none" w:sz="0" w:space="0" w:color="auto"/>
                                <w:right w:val="none" w:sz="0" w:space="0" w:color="auto"/>
                              </w:divBdr>
                              <w:divsChild>
                                <w:div w:id="5258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3616743">
      <w:bodyDiv w:val="1"/>
      <w:marLeft w:val="0"/>
      <w:marRight w:val="0"/>
      <w:marTop w:val="0"/>
      <w:marBottom w:val="0"/>
      <w:divBdr>
        <w:top w:val="none" w:sz="0" w:space="0" w:color="auto"/>
        <w:left w:val="none" w:sz="0" w:space="0" w:color="auto"/>
        <w:bottom w:val="none" w:sz="0" w:space="0" w:color="auto"/>
        <w:right w:val="none" w:sz="0" w:space="0" w:color="auto"/>
      </w:divBdr>
    </w:div>
    <w:div w:id="865366451">
      <w:bodyDiv w:val="1"/>
      <w:marLeft w:val="0"/>
      <w:marRight w:val="0"/>
      <w:marTop w:val="0"/>
      <w:marBottom w:val="0"/>
      <w:divBdr>
        <w:top w:val="none" w:sz="0" w:space="0" w:color="auto"/>
        <w:left w:val="none" w:sz="0" w:space="0" w:color="auto"/>
        <w:bottom w:val="none" w:sz="0" w:space="0" w:color="auto"/>
        <w:right w:val="none" w:sz="0" w:space="0" w:color="auto"/>
      </w:divBdr>
      <w:divsChild>
        <w:div w:id="450057193">
          <w:marLeft w:val="0"/>
          <w:marRight w:val="0"/>
          <w:marTop w:val="0"/>
          <w:marBottom w:val="0"/>
          <w:divBdr>
            <w:top w:val="none" w:sz="0" w:space="0" w:color="auto"/>
            <w:left w:val="none" w:sz="0" w:space="0" w:color="auto"/>
            <w:bottom w:val="none" w:sz="0" w:space="0" w:color="auto"/>
            <w:right w:val="none" w:sz="0" w:space="0" w:color="auto"/>
          </w:divBdr>
          <w:divsChild>
            <w:div w:id="574242714">
              <w:marLeft w:val="0"/>
              <w:marRight w:val="0"/>
              <w:marTop w:val="0"/>
              <w:marBottom w:val="0"/>
              <w:divBdr>
                <w:top w:val="none" w:sz="0" w:space="0" w:color="auto"/>
                <w:left w:val="none" w:sz="0" w:space="0" w:color="auto"/>
                <w:bottom w:val="none" w:sz="0" w:space="0" w:color="auto"/>
                <w:right w:val="none" w:sz="0" w:space="0" w:color="auto"/>
              </w:divBdr>
              <w:divsChild>
                <w:div w:id="587471634">
                  <w:marLeft w:val="0"/>
                  <w:marRight w:val="0"/>
                  <w:marTop w:val="0"/>
                  <w:marBottom w:val="0"/>
                  <w:divBdr>
                    <w:top w:val="none" w:sz="0" w:space="0" w:color="auto"/>
                    <w:left w:val="none" w:sz="0" w:space="0" w:color="auto"/>
                    <w:bottom w:val="none" w:sz="0" w:space="0" w:color="auto"/>
                    <w:right w:val="none" w:sz="0" w:space="0" w:color="auto"/>
                  </w:divBdr>
                  <w:divsChild>
                    <w:div w:id="34741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786670">
      <w:bodyDiv w:val="1"/>
      <w:marLeft w:val="0"/>
      <w:marRight w:val="0"/>
      <w:marTop w:val="0"/>
      <w:marBottom w:val="0"/>
      <w:divBdr>
        <w:top w:val="none" w:sz="0" w:space="0" w:color="auto"/>
        <w:left w:val="none" w:sz="0" w:space="0" w:color="auto"/>
        <w:bottom w:val="none" w:sz="0" w:space="0" w:color="auto"/>
        <w:right w:val="none" w:sz="0" w:space="0" w:color="auto"/>
      </w:divBdr>
      <w:divsChild>
        <w:div w:id="1760712294">
          <w:marLeft w:val="0"/>
          <w:marRight w:val="0"/>
          <w:marTop w:val="0"/>
          <w:marBottom w:val="0"/>
          <w:divBdr>
            <w:top w:val="none" w:sz="0" w:space="0" w:color="auto"/>
            <w:left w:val="none" w:sz="0" w:space="0" w:color="auto"/>
            <w:bottom w:val="none" w:sz="0" w:space="0" w:color="auto"/>
            <w:right w:val="none" w:sz="0" w:space="0" w:color="auto"/>
          </w:divBdr>
          <w:divsChild>
            <w:div w:id="1352953640">
              <w:marLeft w:val="0"/>
              <w:marRight w:val="0"/>
              <w:marTop w:val="0"/>
              <w:marBottom w:val="0"/>
              <w:divBdr>
                <w:top w:val="none" w:sz="0" w:space="0" w:color="auto"/>
                <w:left w:val="none" w:sz="0" w:space="0" w:color="auto"/>
                <w:bottom w:val="none" w:sz="0" w:space="0" w:color="auto"/>
                <w:right w:val="none" w:sz="0" w:space="0" w:color="auto"/>
              </w:divBdr>
              <w:divsChild>
                <w:div w:id="289551049">
                  <w:marLeft w:val="0"/>
                  <w:marRight w:val="0"/>
                  <w:marTop w:val="0"/>
                  <w:marBottom w:val="0"/>
                  <w:divBdr>
                    <w:top w:val="none" w:sz="0" w:space="0" w:color="auto"/>
                    <w:left w:val="none" w:sz="0" w:space="0" w:color="auto"/>
                    <w:bottom w:val="none" w:sz="0" w:space="0" w:color="auto"/>
                    <w:right w:val="none" w:sz="0" w:space="0" w:color="auto"/>
                  </w:divBdr>
                  <w:divsChild>
                    <w:div w:id="40156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348113">
      <w:bodyDiv w:val="1"/>
      <w:marLeft w:val="0"/>
      <w:marRight w:val="0"/>
      <w:marTop w:val="0"/>
      <w:marBottom w:val="0"/>
      <w:divBdr>
        <w:top w:val="none" w:sz="0" w:space="0" w:color="auto"/>
        <w:left w:val="none" w:sz="0" w:space="0" w:color="auto"/>
        <w:bottom w:val="none" w:sz="0" w:space="0" w:color="auto"/>
        <w:right w:val="none" w:sz="0" w:space="0" w:color="auto"/>
      </w:divBdr>
      <w:divsChild>
        <w:div w:id="1647661717">
          <w:marLeft w:val="0"/>
          <w:marRight w:val="0"/>
          <w:marTop w:val="0"/>
          <w:marBottom w:val="0"/>
          <w:divBdr>
            <w:top w:val="none" w:sz="0" w:space="0" w:color="auto"/>
            <w:left w:val="none" w:sz="0" w:space="0" w:color="auto"/>
            <w:bottom w:val="none" w:sz="0" w:space="0" w:color="auto"/>
            <w:right w:val="none" w:sz="0" w:space="0" w:color="auto"/>
          </w:divBdr>
          <w:divsChild>
            <w:div w:id="691151393">
              <w:marLeft w:val="0"/>
              <w:marRight w:val="0"/>
              <w:marTop w:val="0"/>
              <w:marBottom w:val="0"/>
              <w:divBdr>
                <w:top w:val="none" w:sz="0" w:space="0" w:color="auto"/>
                <w:left w:val="none" w:sz="0" w:space="0" w:color="auto"/>
                <w:bottom w:val="none" w:sz="0" w:space="0" w:color="auto"/>
                <w:right w:val="none" w:sz="0" w:space="0" w:color="auto"/>
              </w:divBdr>
              <w:divsChild>
                <w:div w:id="187322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079408">
      <w:bodyDiv w:val="1"/>
      <w:marLeft w:val="0"/>
      <w:marRight w:val="0"/>
      <w:marTop w:val="0"/>
      <w:marBottom w:val="0"/>
      <w:divBdr>
        <w:top w:val="none" w:sz="0" w:space="0" w:color="auto"/>
        <w:left w:val="none" w:sz="0" w:space="0" w:color="auto"/>
        <w:bottom w:val="none" w:sz="0" w:space="0" w:color="auto"/>
        <w:right w:val="none" w:sz="0" w:space="0" w:color="auto"/>
      </w:divBdr>
    </w:div>
    <w:div w:id="1055662031">
      <w:bodyDiv w:val="1"/>
      <w:marLeft w:val="0"/>
      <w:marRight w:val="0"/>
      <w:marTop w:val="0"/>
      <w:marBottom w:val="0"/>
      <w:divBdr>
        <w:top w:val="none" w:sz="0" w:space="0" w:color="auto"/>
        <w:left w:val="none" w:sz="0" w:space="0" w:color="auto"/>
        <w:bottom w:val="none" w:sz="0" w:space="0" w:color="auto"/>
        <w:right w:val="none" w:sz="0" w:space="0" w:color="auto"/>
      </w:divBdr>
    </w:div>
    <w:div w:id="1136994497">
      <w:bodyDiv w:val="1"/>
      <w:marLeft w:val="0"/>
      <w:marRight w:val="0"/>
      <w:marTop w:val="0"/>
      <w:marBottom w:val="0"/>
      <w:divBdr>
        <w:top w:val="none" w:sz="0" w:space="0" w:color="auto"/>
        <w:left w:val="none" w:sz="0" w:space="0" w:color="auto"/>
        <w:bottom w:val="none" w:sz="0" w:space="0" w:color="auto"/>
        <w:right w:val="none" w:sz="0" w:space="0" w:color="auto"/>
      </w:divBdr>
    </w:div>
    <w:div w:id="1152910940">
      <w:bodyDiv w:val="1"/>
      <w:marLeft w:val="0"/>
      <w:marRight w:val="0"/>
      <w:marTop w:val="0"/>
      <w:marBottom w:val="0"/>
      <w:divBdr>
        <w:top w:val="none" w:sz="0" w:space="0" w:color="auto"/>
        <w:left w:val="none" w:sz="0" w:space="0" w:color="auto"/>
        <w:bottom w:val="none" w:sz="0" w:space="0" w:color="auto"/>
        <w:right w:val="none" w:sz="0" w:space="0" w:color="auto"/>
      </w:divBdr>
      <w:divsChild>
        <w:div w:id="1776829583">
          <w:marLeft w:val="0"/>
          <w:marRight w:val="0"/>
          <w:marTop w:val="0"/>
          <w:marBottom w:val="0"/>
          <w:divBdr>
            <w:top w:val="none" w:sz="0" w:space="0" w:color="auto"/>
            <w:left w:val="none" w:sz="0" w:space="0" w:color="auto"/>
            <w:bottom w:val="none" w:sz="0" w:space="0" w:color="auto"/>
            <w:right w:val="none" w:sz="0" w:space="0" w:color="auto"/>
          </w:divBdr>
          <w:divsChild>
            <w:div w:id="1661233876">
              <w:marLeft w:val="0"/>
              <w:marRight w:val="0"/>
              <w:marTop w:val="0"/>
              <w:marBottom w:val="0"/>
              <w:divBdr>
                <w:top w:val="none" w:sz="0" w:space="0" w:color="auto"/>
                <w:left w:val="none" w:sz="0" w:space="0" w:color="auto"/>
                <w:bottom w:val="none" w:sz="0" w:space="0" w:color="auto"/>
                <w:right w:val="none" w:sz="0" w:space="0" w:color="auto"/>
              </w:divBdr>
              <w:divsChild>
                <w:div w:id="1328511794">
                  <w:marLeft w:val="0"/>
                  <w:marRight w:val="0"/>
                  <w:marTop w:val="0"/>
                  <w:marBottom w:val="0"/>
                  <w:divBdr>
                    <w:top w:val="none" w:sz="0" w:space="0" w:color="auto"/>
                    <w:left w:val="none" w:sz="0" w:space="0" w:color="auto"/>
                    <w:bottom w:val="none" w:sz="0" w:space="0" w:color="auto"/>
                    <w:right w:val="none" w:sz="0" w:space="0" w:color="auto"/>
                  </w:divBdr>
                </w:div>
              </w:divsChild>
            </w:div>
            <w:div w:id="731197736">
              <w:marLeft w:val="0"/>
              <w:marRight w:val="0"/>
              <w:marTop w:val="0"/>
              <w:marBottom w:val="0"/>
              <w:divBdr>
                <w:top w:val="none" w:sz="0" w:space="0" w:color="auto"/>
                <w:left w:val="none" w:sz="0" w:space="0" w:color="auto"/>
                <w:bottom w:val="none" w:sz="0" w:space="0" w:color="auto"/>
                <w:right w:val="none" w:sz="0" w:space="0" w:color="auto"/>
              </w:divBdr>
              <w:divsChild>
                <w:div w:id="178056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888655">
      <w:bodyDiv w:val="1"/>
      <w:marLeft w:val="0"/>
      <w:marRight w:val="0"/>
      <w:marTop w:val="0"/>
      <w:marBottom w:val="0"/>
      <w:divBdr>
        <w:top w:val="none" w:sz="0" w:space="0" w:color="auto"/>
        <w:left w:val="none" w:sz="0" w:space="0" w:color="auto"/>
        <w:bottom w:val="none" w:sz="0" w:space="0" w:color="auto"/>
        <w:right w:val="none" w:sz="0" w:space="0" w:color="auto"/>
      </w:divBdr>
      <w:divsChild>
        <w:div w:id="1641423679">
          <w:marLeft w:val="0"/>
          <w:marRight w:val="0"/>
          <w:marTop w:val="0"/>
          <w:marBottom w:val="0"/>
          <w:divBdr>
            <w:top w:val="none" w:sz="0" w:space="0" w:color="auto"/>
            <w:left w:val="none" w:sz="0" w:space="0" w:color="auto"/>
            <w:bottom w:val="none" w:sz="0" w:space="0" w:color="auto"/>
            <w:right w:val="none" w:sz="0" w:space="0" w:color="auto"/>
          </w:divBdr>
          <w:divsChild>
            <w:div w:id="1148715080">
              <w:marLeft w:val="0"/>
              <w:marRight w:val="0"/>
              <w:marTop w:val="0"/>
              <w:marBottom w:val="0"/>
              <w:divBdr>
                <w:top w:val="none" w:sz="0" w:space="0" w:color="auto"/>
                <w:left w:val="none" w:sz="0" w:space="0" w:color="auto"/>
                <w:bottom w:val="none" w:sz="0" w:space="0" w:color="auto"/>
                <w:right w:val="none" w:sz="0" w:space="0" w:color="auto"/>
              </w:divBdr>
              <w:divsChild>
                <w:div w:id="613288258">
                  <w:marLeft w:val="0"/>
                  <w:marRight w:val="0"/>
                  <w:marTop w:val="0"/>
                  <w:marBottom w:val="0"/>
                  <w:divBdr>
                    <w:top w:val="none" w:sz="0" w:space="0" w:color="auto"/>
                    <w:left w:val="none" w:sz="0" w:space="0" w:color="auto"/>
                    <w:bottom w:val="none" w:sz="0" w:space="0" w:color="auto"/>
                    <w:right w:val="none" w:sz="0" w:space="0" w:color="auto"/>
                  </w:divBdr>
                  <w:divsChild>
                    <w:div w:id="185114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117599">
      <w:bodyDiv w:val="1"/>
      <w:marLeft w:val="0"/>
      <w:marRight w:val="0"/>
      <w:marTop w:val="0"/>
      <w:marBottom w:val="0"/>
      <w:divBdr>
        <w:top w:val="none" w:sz="0" w:space="0" w:color="auto"/>
        <w:left w:val="none" w:sz="0" w:space="0" w:color="auto"/>
        <w:bottom w:val="none" w:sz="0" w:space="0" w:color="auto"/>
        <w:right w:val="none" w:sz="0" w:space="0" w:color="auto"/>
      </w:divBdr>
      <w:divsChild>
        <w:div w:id="1736002290">
          <w:marLeft w:val="0"/>
          <w:marRight w:val="0"/>
          <w:marTop w:val="0"/>
          <w:marBottom w:val="0"/>
          <w:divBdr>
            <w:top w:val="none" w:sz="0" w:space="0" w:color="auto"/>
            <w:left w:val="none" w:sz="0" w:space="0" w:color="auto"/>
            <w:bottom w:val="none" w:sz="0" w:space="0" w:color="auto"/>
            <w:right w:val="none" w:sz="0" w:space="0" w:color="auto"/>
          </w:divBdr>
          <w:divsChild>
            <w:div w:id="493955801">
              <w:marLeft w:val="0"/>
              <w:marRight w:val="0"/>
              <w:marTop w:val="0"/>
              <w:marBottom w:val="0"/>
              <w:divBdr>
                <w:top w:val="none" w:sz="0" w:space="0" w:color="auto"/>
                <w:left w:val="none" w:sz="0" w:space="0" w:color="auto"/>
                <w:bottom w:val="none" w:sz="0" w:space="0" w:color="auto"/>
                <w:right w:val="none" w:sz="0" w:space="0" w:color="auto"/>
              </w:divBdr>
              <w:divsChild>
                <w:div w:id="1081294903">
                  <w:marLeft w:val="0"/>
                  <w:marRight w:val="0"/>
                  <w:marTop w:val="0"/>
                  <w:marBottom w:val="0"/>
                  <w:divBdr>
                    <w:top w:val="none" w:sz="0" w:space="0" w:color="auto"/>
                    <w:left w:val="none" w:sz="0" w:space="0" w:color="auto"/>
                    <w:bottom w:val="none" w:sz="0" w:space="0" w:color="auto"/>
                    <w:right w:val="none" w:sz="0" w:space="0" w:color="auto"/>
                  </w:divBdr>
                  <w:divsChild>
                    <w:div w:id="13075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784549">
      <w:bodyDiv w:val="1"/>
      <w:marLeft w:val="0"/>
      <w:marRight w:val="0"/>
      <w:marTop w:val="0"/>
      <w:marBottom w:val="0"/>
      <w:divBdr>
        <w:top w:val="none" w:sz="0" w:space="0" w:color="auto"/>
        <w:left w:val="none" w:sz="0" w:space="0" w:color="auto"/>
        <w:bottom w:val="none" w:sz="0" w:space="0" w:color="auto"/>
        <w:right w:val="none" w:sz="0" w:space="0" w:color="auto"/>
      </w:divBdr>
      <w:divsChild>
        <w:div w:id="865947188">
          <w:marLeft w:val="0"/>
          <w:marRight w:val="0"/>
          <w:marTop w:val="0"/>
          <w:marBottom w:val="0"/>
          <w:divBdr>
            <w:top w:val="none" w:sz="0" w:space="0" w:color="auto"/>
            <w:left w:val="none" w:sz="0" w:space="0" w:color="auto"/>
            <w:bottom w:val="none" w:sz="0" w:space="0" w:color="auto"/>
            <w:right w:val="none" w:sz="0" w:space="0" w:color="auto"/>
          </w:divBdr>
          <w:divsChild>
            <w:div w:id="1324433573">
              <w:marLeft w:val="0"/>
              <w:marRight w:val="0"/>
              <w:marTop w:val="0"/>
              <w:marBottom w:val="0"/>
              <w:divBdr>
                <w:top w:val="none" w:sz="0" w:space="0" w:color="auto"/>
                <w:left w:val="none" w:sz="0" w:space="0" w:color="auto"/>
                <w:bottom w:val="none" w:sz="0" w:space="0" w:color="auto"/>
                <w:right w:val="none" w:sz="0" w:space="0" w:color="auto"/>
              </w:divBdr>
              <w:divsChild>
                <w:div w:id="1924800630">
                  <w:marLeft w:val="0"/>
                  <w:marRight w:val="0"/>
                  <w:marTop w:val="0"/>
                  <w:marBottom w:val="0"/>
                  <w:divBdr>
                    <w:top w:val="none" w:sz="0" w:space="0" w:color="auto"/>
                    <w:left w:val="none" w:sz="0" w:space="0" w:color="auto"/>
                    <w:bottom w:val="none" w:sz="0" w:space="0" w:color="auto"/>
                    <w:right w:val="none" w:sz="0" w:space="0" w:color="auto"/>
                  </w:divBdr>
                </w:div>
              </w:divsChild>
            </w:div>
            <w:div w:id="1530296653">
              <w:marLeft w:val="0"/>
              <w:marRight w:val="0"/>
              <w:marTop w:val="0"/>
              <w:marBottom w:val="0"/>
              <w:divBdr>
                <w:top w:val="none" w:sz="0" w:space="0" w:color="auto"/>
                <w:left w:val="none" w:sz="0" w:space="0" w:color="auto"/>
                <w:bottom w:val="none" w:sz="0" w:space="0" w:color="auto"/>
                <w:right w:val="none" w:sz="0" w:space="0" w:color="auto"/>
              </w:divBdr>
              <w:divsChild>
                <w:div w:id="88395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214996">
      <w:bodyDiv w:val="1"/>
      <w:marLeft w:val="0"/>
      <w:marRight w:val="0"/>
      <w:marTop w:val="0"/>
      <w:marBottom w:val="0"/>
      <w:divBdr>
        <w:top w:val="none" w:sz="0" w:space="0" w:color="auto"/>
        <w:left w:val="none" w:sz="0" w:space="0" w:color="auto"/>
        <w:bottom w:val="none" w:sz="0" w:space="0" w:color="auto"/>
        <w:right w:val="none" w:sz="0" w:space="0" w:color="auto"/>
      </w:divBdr>
      <w:divsChild>
        <w:div w:id="810439447">
          <w:marLeft w:val="0"/>
          <w:marRight w:val="0"/>
          <w:marTop w:val="0"/>
          <w:marBottom w:val="0"/>
          <w:divBdr>
            <w:top w:val="none" w:sz="0" w:space="0" w:color="auto"/>
            <w:left w:val="none" w:sz="0" w:space="0" w:color="auto"/>
            <w:bottom w:val="none" w:sz="0" w:space="0" w:color="auto"/>
            <w:right w:val="none" w:sz="0" w:space="0" w:color="auto"/>
          </w:divBdr>
          <w:divsChild>
            <w:div w:id="1597446504">
              <w:marLeft w:val="0"/>
              <w:marRight w:val="0"/>
              <w:marTop w:val="0"/>
              <w:marBottom w:val="0"/>
              <w:divBdr>
                <w:top w:val="none" w:sz="0" w:space="0" w:color="auto"/>
                <w:left w:val="none" w:sz="0" w:space="0" w:color="auto"/>
                <w:bottom w:val="none" w:sz="0" w:space="0" w:color="auto"/>
                <w:right w:val="none" w:sz="0" w:space="0" w:color="auto"/>
              </w:divBdr>
              <w:divsChild>
                <w:div w:id="175022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307328">
      <w:bodyDiv w:val="1"/>
      <w:marLeft w:val="0"/>
      <w:marRight w:val="0"/>
      <w:marTop w:val="0"/>
      <w:marBottom w:val="0"/>
      <w:divBdr>
        <w:top w:val="none" w:sz="0" w:space="0" w:color="auto"/>
        <w:left w:val="none" w:sz="0" w:space="0" w:color="auto"/>
        <w:bottom w:val="none" w:sz="0" w:space="0" w:color="auto"/>
        <w:right w:val="none" w:sz="0" w:space="0" w:color="auto"/>
      </w:divBdr>
    </w:div>
    <w:div w:id="1244298858">
      <w:bodyDiv w:val="1"/>
      <w:marLeft w:val="0"/>
      <w:marRight w:val="0"/>
      <w:marTop w:val="0"/>
      <w:marBottom w:val="0"/>
      <w:divBdr>
        <w:top w:val="none" w:sz="0" w:space="0" w:color="auto"/>
        <w:left w:val="none" w:sz="0" w:space="0" w:color="auto"/>
        <w:bottom w:val="none" w:sz="0" w:space="0" w:color="auto"/>
        <w:right w:val="none" w:sz="0" w:space="0" w:color="auto"/>
      </w:divBdr>
      <w:divsChild>
        <w:div w:id="1738701464">
          <w:marLeft w:val="0"/>
          <w:marRight w:val="0"/>
          <w:marTop w:val="0"/>
          <w:marBottom w:val="0"/>
          <w:divBdr>
            <w:top w:val="none" w:sz="0" w:space="0" w:color="auto"/>
            <w:left w:val="none" w:sz="0" w:space="0" w:color="auto"/>
            <w:bottom w:val="none" w:sz="0" w:space="0" w:color="auto"/>
            <w:right w:val="none" w:sz="0" w:space="0" w:color="auto"/>
          </w:divBdr>
          <w:divsChild>
            <w:div w:id="1405712985">
              <w:marLeft w:val="0"/>
              <w:marRight w:val="0"/>
              <w:marTop w:val="0"/>
              <w:marBottom w:val="0"/>
              <w:divBdr>
                <w:top w:val="none" w:sz="0" w:space="0" w:color="auto"/>
                <w:left w:val="none" w:sz="0" w:space="0" w:color="auto"/>
                <w:bottom w:val="none" w:sz="0" w:space="0" w:color="auto"/>
                <w:right w:val="none" w:sz="0" w:space="0" w:color="auto"/>
              </w:divBdr>
              <w:divsChild>
                <w:div w:id="2043632131">
                  <w:marLeft w:val="0"/>
                  <w:marRight w:val="0"/>
                  <w:marTop w:val="0"/>
                  <w:marBottom w:val="0"/>
                  <w:divBdr>
                    <w:top w:val="none" w:sz="0" w:space="0" w:color="auto"/>
                    <w:left w:val="none" w:sz="0" w:space="0" w:color="auto"/>
                    <w:bottom w:val="none" w:sz="0" w:space="0" w:color="auto"/>
                    <w:right w:val="none" w:sz="0" w:space="0" w:color="auto"/>
                  </w:divBdr>
                  <w:divsChild>
                    <w:div w:id="1661811799">
                      <w:marLeft w:val="0"/>
                      <w:marRight w:val="0"/>
                      <w:marTop w:val="0"/>
                      <w:marBottom w:val="0"/>
                      <w:divBdr>
                        <w:top w:val="none" w:sz="0" w:space="0" w:color="auto"/>
                        <w:left w:val="none" w:sz="0" w:space="0" w:color="auto"/>
                        <w:bottom w:val="none" w:sz="0" w:space="0" w:color="auto"/>
                        <w:right w:val="none" w:sz="0" w:space="0" w:color="auto"/>
                      </w:divBdr>
                      <w:divsChild>
                        <w:div w:id="164503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170770">
      <w:bodyDiv w:val="1"/>
      <w:marLeft w:val="0"/>
      <w:marRight w:val="0"/>
      <w:marTop w:val="0"/>
      <w:marBottom w:val="0"/>
      <w:divBdr>
        <w:top w:val="none" w:sz="0" w:space="0" w:color="auto"/>
        <w:left w:val="none" w:sz="0" w:space="0" w:color="auto"/>
        <w:bottom w:val="none" w:sz="0" w:space="0" w:color="auto"/>
        <w:right w:val="none" w:sz="0" w:space="0" w:color="auto"/>
      </w:divBdr>
    </w:div>
    <w:div w:id="1386876241">
      <w:bodyDiv w:val="1"/>
      <w:marLeft w:val="0"/>
      <w:marRight w:val="0"/>
      <w:marTop w:val="0"/>
      <w:marBottom w:val="0"/>
      <w:divBdr>
        <w:top w:val="none" w:sz="0" w:space="0" w:color="auto"/>
        <w:left w:val="none" w:sz="0" w:space="0" w:color="auto"/>
        <w:bottom w:val="none" w:sz="0" w:space="0" w:color="auto"/>
        <w:right w:val="none" w:sz="0" w:space="0" w:color="auto"/>
      </w:divBdr>
      <w:divsChild>
        <w:div w:id="1983919113">
          <w:marLeft w:val="0"/>
          <w:marRight w:val="0"/>
          <w:marTop w:val="240"/>
          <w:marBottom w:val="240"/>
          <w:divBdr>
            <w:top w:val="none" w:sz="0" w:space="0" w:color="auto"/>
            <w:left w:val="none" w:sz="0" w:space="0" w:color="auto"/>
            <w:bottom w:val="none" w:sz="0" w:space="0" w:color="auto"/>
            <w:right w:val="none" w:sz="0" w:space="0" w:color="auto"/>
          </w:divBdr>
        </w:div>
      </w:divsChild>
    </w:div>
    <w:div w:id="1400208825">
      <w:bodyDiv w:val="1"/>
      <w:marLeft w:val="0"/>
      <w:marRight w:val="0"/>
      <w:marTop w:val="0"/>
      <w:marBottom w:val="0"/>
      <w:divBdr>
        <w:top w:val="none" w:sz="0" w:space="0" w:color="auto"/>
        <w:left w:val="none" w:sz="0" w:space="0" w:color="auto"/>
        <w:bottom w:val="none" w:sz="0" w:space="0" w:color="auto"/>
        <w:right w:val="none" w:sz="0" w:space="0" w:color="auto"/>
      </w:divBdr>
      <w:divsChild>
        <w:div w:id="1686707748">
          <w:marLeft w:val="0"/>
          <w:marRight w:val="0"/>
          <w:marTop w:val="0"/>
          <w:marBottom w:val="0"/>
          <w:divBdr>
            <w:top w:val="none" w:sz="0" w:space="0" w:color="auto"/>
            <w:left w:val="none" w:sz="0" w:space="0" w:color="auto"/>
            <w:bottom w:val="none" w:sz="0" w:space="0" w:color="auto"/>
            <w:right w:val="none" w:sz="0" w:space="0" w:color="auto"/>
          </w:divBdr>
          <w:divsChild>
            <w:div w:id="1264730259">
              <w:marLeft w:val="0"/>
              <w:marRight w:val="0"/>
              <w:marTop w:val="0"/>
              <w:marBottom w:val="0"/>
              <w:divBdr>
                <w:top w:val="none" w:sz="0" w:space="0" w:color="auto"/>
                <w:left w:val="none" w:sz="0" w:space="0" w:color="auto"/>
                <w:bottom w:val="none" w:sz="0" w:space="0" w:color="auto"/>
                <w:right w:val="none" w:sz="0" w:space="0" w:color="auto"/>
              </w:divBdr>
              <w:divsChild>
                <w:div w:id="670138282">
                  <w:marLeft w:val="0"/>
                  <w:marRight w:val="0"/>
                  <w:marTop w:val="0"/>
                  <w:marBottom w:val="0"/>
                  <w:divBdr>
                    <w:top w:val="none" w:sz="0" w:space="0" w:color="auto"/>
                    <w:left w:val="none" w:sz="0" w:space="0" w:color="auto"/>
                    <w:bottom w:val="none" w:sz="0" w:space="0" w:color="auto"/>
                    <w:right w:val="none" w:sz="0" w:space="0" w:color="auto"/>
                  </w:divBdr>
                  <w:divsChild>
                    <w:div w:id="115148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270436">
      <w:bodyDiv w:val="1"/>
      <w:marLeft w:val="0"/>
      <w:marRight w:val="0"/>
      <w:marTop w:val="0"/>
      <w:marBottom w:val="0"/>
      <w:divBdr>
        <w:top w:val="none" w:sz="0" w:space="0" w:color="auto"/>
        <w:left w:val="none" w:sz="0" w:space="0" w:color="auto"/>
        <w:bottom w:val="none" w:sz="0" w:space="0" w:color="auto"/>
        <w:right w:val="none" w:sz="0" w:space="0" w:color="auto"/>
      </w:divBdr>
      <w:divsChild>
        <w:div w:id="1581215183">
          <w:marLeft w:val="0"/>
          <w:marRight w:val="0"/>
          <w:marTop w:val="0"/>
          <w:marBottom w:val="0"/>
          <w:divBdr>
            <w:top w:val="none" w:sz="0" w:space="0" w:color="auto"/>
            <w:left w:val="none" w:sz="0" w:space="0" w:color="auto"/>
            <w:bottom w:val="none" w:sz="0" w:space="0" w:color="auto"/>
            <w:right w:val="none" w:sz="0" w:space="0" w:color="auto"/>
          </w:divBdr>
          <w:divsChild>
            <w:div w:id="1635480506">
              <w:marLeft w:val="0"/>
              <w:marRight w:val="0"/>
              <w:marTop w:val="0"/>
              <w:marBottom w:val="0"/>
              <w:divBdr>
                <w:top w:val="none" w:sz="0" w:space="0" w:color="auto"/>
                <w:left w:val="none" w:sz="0" w:space="0" w:color="auto"/>
                <w:bottom w:val="none" w:sz="0" w:space="0" w:color="auto"/>
                <w:right w:val="none" w:sz="0" w:space="0" w:color="auto"/>
              </w:divBdr>
              <w:divsChild>
                <w:div w:id="1453013519">
                  <w:marLeft w:val="0"/>
                  <w:marRight w:val="0"/>
                  <w:marTop w:val="0"/>
                  <w:marBottom w:val="0"/>
                  <w:divBdr>
                    <w:top w:val="none" w:sz="0" w:space="0" w:color="auto"/>
                    <w:left w:val="none" w:sz="0" w:space="0" w:color="auto"/>
                    <w:bottom w:val="none" w:sz="0" w:space="0" w:color="auto"/>
                    <w:right w:val="none" w:sz="0" w:space="0" w:color="auto"/>
                  </w:divBdr>
                  <w:divsChild>
                    <w:div w:id="136586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65489">
      <w:bodyDiv w:val="1"/>
      <w:marLeft w:val="0"/>
      <w:marRight w:val="0"/>
      <w:marTop w:val="0"/>
      <w:marBottom w:val="0"/>
      <w:divBdr>
        <w:top w:val="none" w:sz="0" w:space="0" w:color="auto"/>
        <w:left w:val="none" w:sz="0" w:space="0" w:color="auto"/>
        <w:bottom w:val="none" w:sz="0" w:space="0" w:color="auto"/>
        <w:right w:val="none" w:sz="0" w:space="0" w:color="auto"/>
      </w:divBdr>
      <w:divsChild>
        <w:div w:id="1040936169">
          <w:marLeft w:val="0"/>
          <w:marRight w:val="0"/>
          <w:marTop w:val="0"/>
          <w:marBottom w:val="0"/>
          <w:divBdr>
            <w:top w:val="none" w:sz="0" w:space="0" w:color="auto"/>
            <w:left w:val="none" w:sz="0" w:space="0" w:color="auto"/>
            <w:bottom w:val="none" w:sz="0" w:space="0" w:color="auto"/>
            <w:right w:val="none" w:sz="0" w:space="0" w:color="auto"/>
          </w:divBdr>
          <w:divsChild>
            <w:div w:id="623928836">
              <w:marLeft w:val="0"/>
              <w:marRight w:val="0"/>
              <w:marTop w:val="0"/>
              <w:marBottom w:val="0"/>
              <w:divBdr>
                <w:top w:val="none" w:sz="0" w:space="0" w:color="auto"/>
                <w:left w:val="none" w:sz="0" w:space="0" w:color="auto"/>
                <w:bottom w:val="none" w:sz="0" w:space="0" w:color="auto"/>
                <w:right w:val="none" w:sz="0" w:space="0" w:color="auto"/>
              </w:divBdr>
              <w:divsChild>
                <w:div w:id="9339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932738">
      <w:bodyDiv w:val="1"/>
      <w:marLeft w:val="0"/>
      <w:marRight w:val="0"/>
      <w:marTop w:val="0"/>
      <w:marBottom w:val="0"/>
      <w:divBdr>
        <w:top w:val="none" w:sz="0" w:space="0" w:color="auto"/>
        <w:left w:val="none" w:sz="0" w:space="0" w:color="auto"/>
        <w:bottom w:val="none" w:sz="0" w:space="0" w:color="auto"/>
        <w:right w:val="none" w:sz="0" w:space="0" w:color="auto"/>
      </w:divBdr>
      <w:divsChild>
        <w:div w:id="643242885">
          <w:marLeft w:val="0"/>
          <w:marRight w:val="0"/>
          <w:marTop w:val="0"/>
          <w:marBottom w:val="0"/>
          <w:divBdr>
            <w:top w:val="none" w:sz="0" w:space="0" w:color="auto"/>
            <w:left w:val="none" w:sz="0" w:space="0" w:color="auto"/>
            <w:bottom w:val="none" w:sz="0" w:space="0" w:color="auto"/>
            <w:right w:val="none" w:sz="0" w:space="0" w:color="auto"/>
          </w:divBdr>
          <w:divsChild>
            <w:div w:id="1060132631">
              <w:marLeft w:val="0"/>
              <w:marRight w:val="0"/>
              <w:marTop w:val="0"/>
              <w:marBottom w:val="0"/>
              <w:divBdr>
                <w:top w:val="none" w:sz="0" w:space="0" w:color="auto"/>
                <w:left w:val="none" w:sz="0" w:space="0" w:color="auto"/>
                <w:bottom w:val="none" w:sz="0" w:space="0" w:color="auto"/>
                <w:right w:val="none" w:sz="0" w:space="0" w:color="auto"/>
              </w:divBdr>
              <w:divsChild>
                <w:div w:id="894854069">
                  <w:marLeft w:val="0"/>
                  <w:marRight w:val="0"/>
                  <w:marTop w:val="0"/>
                  <w:marBottom w:val="0"/>
                  <w:divBdr>
                    <w:top w:val="none" w:sz="0" w:space="0" w:color="auto"/>
                    <w:left w:val="none" w:sz="0" w:space="0" w:color="auto"/>
                    <w:bottom w:val="none" w:sz="0" w:space="0" w:color="auto"/>
                    <w:right w:val="none" w:sz="0" w:space="0" w:color="auto"/>
                  </w:divBdr>
                  <w:divsChild>
                    <w:div w:id="2012639204">
                      <w:marLeft w:val="0"/>
                      <w:marRight w:val="0"/>
                      <w:marTop w:val="0"/>
                      <w:marBottom w:val="0"/>
                      <w:divBdr>
                        <w:top w:val="none" w:sz="0" w:space="0" w:color="auto"/>
                        <w:left w:val="none" w:sz="0" w:space="0" w:color="auto"/>
                        <w:bottom w:val="none" w:sz="0" w:space="0" w:color="auto"/>
                        <w:right w:val="none" w:sz="0" w:space="0" w:color="auto"/>
                      </w:divBdr>
                      <w:divsChild>
                        <w:div w:id="642853283">
                          <w:marLeft w:val="0"/>
                          <w:marRight w:val="0"/>
                          <w:marTop w:val="0"/>
                          <w:marBottom w:val="0"/>
                          <w:divBdr>
                            <w:top w:val="none" w:sz="0" w:space="0" w:color="auto"/>
                            <w:left w:val="none" w:sz="0" w:space="0" w:color="auto"/>
                            <w:bottom w:val="none" w:sz="0" w:space="0" w:color="auto"/>
                            <w:right w:val="none" w:sz="0" w:space="0" w:color="auto"/>
                          </w:divBdr>
                          <w:divsChild>
                            <w:div w:id="53485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4660070">
      <w:bodyDiv w:val="1"/>
      <w:marLeft w:val="0"/>
      <w:marRight w:val="0"/>
      <w:marTop w:val="0"/>
      <w:marBottom w:val="0"/>
      <w:divBdr>
        <w:top w:val="none" w:sz="0" w:space="0" w:color="auto"/>
        <w:left w:val="none" w:sz="0" w:space="0" w:color="auto"/>
        <w:bottom w:val="none" w:sz="0" w:space="0" w:color="auto"/>
        <w:right w:val="none" w:sz="0" w:space="0" w:color="auto"/>
      </w:divBdr>
      <w:divsChild>
        <w:div w:id="1524900799">
          <w:marLeft w:val="0"/>
          <w:marRight w:val="0"/>
          <w:marTop w:val="240"/>
          <w:marBottom w:val="240"/>
          <w:divBdr>
            <w:top w:val="none" w:sz="0" w:space="0" w:color="auto"/>
            <w:left w:val="none" w:sz="0" w:space="0" w:color="auto"/>
            <w:bottom w:val="none" w:sz="0" w:space="0" w:color="auto"/>
            <w:right w:val="none" w:sz="0" w:space="0" w:color="auto"/>
          </w:divBdr>
        </w:div>
      </w:divsChild>
    </w:div>
    <w:div w:id="1496459625">
      <w:bodyDiv w:val="1"/>
      <w:marLeft w:val="0"/>
      <w:marRight w:val="0"/>
      <w:marTop w:val="0"/>
      <w:marBottom w:val="0"/>
      <w:divBdr>
        <w:top w:val="none" w:sz="0" w:space="0" w:color="auto"/>
        <w:left w:val="none" w:sz="0" w:space="0" w:color="auto"/>
        <w:bottom w:val="none" w:sz="0" w:space="0" w:color="auto"/>
        <w:right w:val="none" w:sz="0" w:space="0" w:color="auto"/>
      </w:divBdr>
    </w:div>
    <w:div w:id="1551264223">
      <w:bodyDiv w:val="1"/>
      <w:marLeft w:val="0"/>
      <w:marRight w:val="0"/>
      <w:marTop w:val="0"/>
      <w:marBottom w:val="0"/>
      <w:divBdr>
        <w:top w:val="none" w:sz="0" w:space="0" w:color="auto"/>
        <w:left w:val="none" w:sz="0" w:space="0" w:color="auto"/>
        <w:bottom w:val="none" w:sz="0" w:space="0" w:color="auto"/>
        <w:right w:val="none" w:sz="0" w:space="0" w:color="auto"/>
      </w:divBdr>
    </w:div>
    <w:div w:id="1566064586">
      <w:bodyDiv w:val="1"/>
      <w:marLeft w:val="0"/>
      <w:marRight w:val="0"/>
      <w:marTop w:val="0"/>
      <w:marBottom w:val="0"/>
      <w:divBdr>
        <w:top w:val="none" w:sz="0" w:space="0" w:color="auto"/>
        <w:left w:val="none" w:sz="0" w:space="0" w:color="auto"/>
        <w:bottom w:val="none" w:sz="0" w:space="0" w:color="auto"/>
        <w:right w:val="none" w:sz="0" w:space="0" w:color="auto"/>
      </w:divBdr>
      <w:divsChild>
        <w:div w:id="503326879">
          <w:marLeft w:val="0"/>
          <w:marRight w:val="0"/>
          <w:marTop w:val="0"/>
          <w:marBottom w:val="0"/>
          <w:divBdr>
            <w:top w:val="none" w:sz="0" w:space="0" w:color="auto"/>
            <w:left w:val="none" w:sz="0" w:space="0" w:color="auto"/>
            <w:bottom w:val="none" w:sz="0" w:space="0" w:color="auto"/>
            <w:right w:val="none" w:sz="0" w:space="0" w:color="auto"/>
          </w:divBdr>
          <w:divsChild>
            <w:div w:id="2008482383">
              <w:marLeft w:val="0"/>
              <w:marRight w:val="0"/>
              <w:marTop w:val="0"/>
              <w:marBottom w:val="0"/>
              <w:divBdr>
                <w:top w:val="none" w:sz="0" w:space="0" w:color="auto"/>
                <w:left w:val="none" w:sz="0" w:space="0" w:color="auto"/>
                <w:bottom w:val="none" w:sz="0" w:space="0" w:color="auto"/>
                <w:right w:val="none" w:sz="0" w:space="0" w:color="auto"/>
              </w:divBdr>
              <w:divsChild>
                <w:div w:id="18193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340210">
      <w:bodyDiv w:val="1"/>
      <w:marLeft w:val="0"/>
      <w:marRight w:val="0"/>
      <w:marTop w:val="0"/>
      <w:marBottom w:val="0"/>
      <w:divBdr>
        <w:top w:val="none" w:sz="0" w:space="0" w:color="auto"/>
        <w:left w:val="none" w:sz="0" w:space="0" w:color="auto"/>
        <w:bottom w:val="none" w:sz="0" w:space="0" w:color="auto"/>
        <w:right w:val="none" w:sz="0" w:space="0" w:color="auto"/>
      </w:divBdr>
    </w:div>
    <w:div w:id="1569414776">
      <w:bodyDiv w:val="1"/>
      <w:marLeft w:val="0"/>
      <w:marRight w:val="0"/>
      <w:marTop w:val="0"/>
      <w:marBottom w:val="0"/>
      <w:divBdr>
        <w:top w:val="none" w:sz="0" w:space="0" w:color="auto"/>
        <w:left w:val="none" w:sz="0" w:space="0" w:color="auto"/>
        <w:bottom w:val="none" w:sz="0" w:space="0" w:color="auto"/>
        <w:right w:val="none" w:sz="0" w:space="0" w:color="auto"/>
      </w:divBdr>
      <w:divsChild>
        <w:div w:id="1760759031">
          <w:marLeft w:val="0"/>
          <w:marRight w:val="0"/>
          <w:marTop w:val="0"/>
          <w:marBottom w:val="0"/>
          <w:divBdr>
            <w:top w:val="none" w:sz="0" w:space="0" w:color="auto"/>
            <w:left w:val="none" w:sz="0" w:space="0" w:color="auto"/>
            <w:bottom w:val="none" w:sz="0" w:space="0" w:color="auto"/>
            <w:right w:val="none" w:sz="0" w:space="0" w:color="auto"/>
          </w:divBdr>
          <w:divsChild>
            <w:div w:id="1017924833">
              <w:marLeft w:val="0"/>
              <w:marRight w:val="0"/>
              <w:marTop w:val="0"/>
              <w:marBottom w:val="0"/>
              <w:divBdr>
                <w:top w:val="none" w:sz="0" w:space="0" w:color="auto"/>
                <w:left w:val="none" w:sz="0" w:space="0" w:color="auto"/>
                <w:bottom w:val="none" w:sz="0" w:space="0" w:color="auto"/>
                <w:right w:val="none" w:sz="0" w:space="0" w:color="auto"/>
              </w:divBdr>
              <w:divsChild>
                <w:div w:id="88965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155">
      <w:bodyDiv w:val="1"/>
      <w:marLeft w:val="0"/>
      <w:marRight w:val="0"/>
      <w:marTop w:val="0"/>
      <w:marBottom w:val="0"/>
      <w:divBdr>
        <w:top w:val="none" w:sz="0" w:space="0" w:color="auto"/>
        <w:left w:val="none" w:sz="0" w:space="0" w:color="auto"/>
        <w:bottom w:val="none" w:sz="0" w:space="0" w:color="auto"/>
        <w:right w:val="none" w:sz="0" w:space="0" w:color="auto"/>
      </w:divBdr>
      <w:divsChild>
        <w:div w:id="892279372">
          <w:marLeft w:val="0"/>
          <w:marRight w:val="0"/>
          <w:marTop w:val="0"/>
          <w:marBottom w:val="0"/>
          <w:divBdr>
            <w:top w:val="none" w:sz="0" w:space="0" w:color="auto"/>
            <w:left w:val="none" w:sz="0" w:space="0" w:color="auto"/>
            <w:bottom w:val="none" w:sz="0" w:space="0" w:color="auto"/>
            <w:right w:val="none" w:sz="0" w:space="0" w:color="auto"/>
          </w:divBdr>
          <w:divsChild>
            <w:div w:id="552159595">
              <w:marLeft w:val="0"/>
              <w:marRight w:val="0"/>
              <w:marTop w:val="0"/>
              <w:marBottom w:val="0"/>
              <w:divBdr>
                <w:top w:val="none" w:sz="0" w:space="0" w:color="auto"/>
                <w:left w:val="none" w:sz="0" w:space="0" w:color="auto"/>
                <w:bottom w:val="none" w:sz="0" w:space="0" w:color="auto"/>
                <w:right w:val="none" w:sz="0" w:space="0" w:color="auto"/>
              </w:divBdr>
              <w:divsChild>
                <w:div w:id="943466383">
                  <w:marLeft w:val="0"/>
                  <w:marRight w:val="0"/>
                  <w:marTop w:val="0"/>
                  <w:marBottom w:val="0"/>
                  <w:divBdr>
                    <w:top w:val="none" w:sz="0" w:space="0" w:color="auto"/>
                    <w:left w:val="none" w:sz="0" w:space="0" w:color="auto"/>
                    <w:bottom w:val="none" w:sz="0" w:space="0" w:color="auto"/>
                    <w:right w:val="none" w:sz="0" w:space="0" w:color="auto"/>
                  </w:divBdr>
                  <w:divsChild>
                    <w:div w:id="59147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118164">
      <w:bodyDiv w:val="1"/>
      <w:marLeft w:val="0"/>
      <w:marRight w:val="0"/>
      <w:marTop w:val="0"/>
      <w:marBottom w:val="0"/>
      <w:divBdr>
        <w:top w:val="none" w:sz="0" w:space="0" w:color="auto"/>
        <w:left w:val="none" w:sz="0" w:space="0" w:color="auto"/>
        <w:bottom w:val="none" w:sz="0" w:space="0" w:color="auto"/>
        <w:right w:val="none" w:sz="0" w:space="0" w:color="auto"/>
      </w:divBdr>
    </w:div>
    <w:div w:id="1628119762">
      <w:bodyDiv w:val="1"/>
      <w:marLeft w:val="0"/>
      <w:marRight w:val="0"/>
      <w:marTop w:val="0"/>
      <w:marBottom w:val="0"/>
      <w:divBdr>
        <w:top w:val="none" w:sz="0" w:space="0" w:color="auto"/>
        <w:left w:val="none" w:sz="0" w:space="0" w:color="auto"/>
        <w:bottom w:val="none" w:sz="0" w:space="0" w:color="auto"/>
        <w:right w:val="none" w:sz="0" w:space="0" w:color="auto"/>
      </w:divBdr>
      <w:divsChild>
        <w:div w:id="2044205550">
          <w:marLeft w:val="0"/>
          <w:marRight w:val="0"/>
          <w:marTop w:val="0"/>
          <w:marBottom w:val="0"/>
          <w:divBdr>
            <w:top w:val="none" w:sz="0" w:space="0" w:color="auto"/>
            <w:left w:val="none" w:sz="0" w:space="0" w:color="auto"/>
            <w:bottom w:val="none" w:sz="0" w:space="0" w:color="auto"/>
            <w:right w:val="none" w:sz="0" w:space="0" w:color="auto"/>
          </w:divBdr>
          <w:divsChild>
            <w:div w:id="516887987">
              <w:marLeft w:val="0"/>
              <w:marRight w:val="0"/>
              <w:marTop w:val="0"/>
              <w:marBottom w:val="0"/>
              <w:divBdr>
                <w:top w:val="none" w:sz="0" w:space="0" w:color="auto"/>
                <w:left w:val="none" w:sz="0" w:space="0" w:color="auto"/>
                <w:bottom w:val="none" w:sz="0" w:space="0" w:color="auto"/>
                <w:right w:val="none" w:sz="0" w:space="0" w:color="auto"/>
              </w:divBdr>
              <w:divsChild>
                <w:div w:id="163094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09053">
      <w:bodyDiv w:val="1"/>
      <w:marLeft w:val="0"/>
      <w:marRight w:val="0"/>
      <w:marTop w:val="0"/>
      <w:marBottom w:val="0"/>
      <w:divBdr>
        <w:top w:val="none" w:sz="0" w:space="0" w:color="auto"/>
        <w:left w:val="none" w:sz="0" w:space="0" w:color="auto"/>
        <w:bottom w:val="none" w:sz="0" w:space="0" w:color="auto"/>
        <w:right w:val="none" w:sz="0" w:space="0" w:color="auto"/>
      </w:divBdr>
    </w:div>
    <w:div w:id="1750692316">
      <w:bodyDiv w:val="1"/>
      <w:marLeft w:val="0"/>
      <w:marRight w:val="0"/>
      <w:marTop w:val="0"/>
      <w:marBottom w:val="0"/>
      <w:divBdr>
        <w:top w:val="none" w:sz="0" w:space="0" w:color="auto"/>
        <w:left w:val="none" w:sz="0" w:space="0" w:color="auto"/>
        <w:bottom w:val="none" w:sz="0" w:space="0" w:color="auto"/>
        <w:right w:val="none" w:sz="0" w:space="0" w:color="auto"/>
      </w:divBdr>
      <w:divsChild>
        <w:div w:id="534000960">
          <w:marLeft w:val="0"/>
          <w:marRight w:val="0"/>
          <w:marTop w:val="0"/>
          <w:marBottom w:val="0"/>
          <w:divBdr>
            <w:top w:val="none" w:sz="0" w:space="0" w:color="auto"/>
            <w:left w:val="none" w:sz="0" w:space="0" w:color="auto"/>
            <w:bottom w:val="none" w:sz="0" w:space="0" w:color="auto"/>
            <w:right w:val="none" w:sz="0" w:space="0" w:color="auto"/>
          </w:divBdr>
          <w:divsChild>
            <w:div w:id="461122013">
              <w:marLeft w:val="0"/>
              <w:marRight w:val="0"/>
              <w:marTop w:val="930"/>
              <w:marBottom w:val="0"/>
              <w:divBdr>
                <w:top w:val="none" w:sz="0" w:space="0" w:color="auto"/>
                <w:left w:val="none" w:sz="0" w:space="0" w:color="auto"/>
                <w:bottom w:val="none" w:sz="0" w:space="0" w:color="auto"/>
                <w:right w:val="none" w:sz="0" w:space="0" w:color="auto"/>
              </w:divBdr>
              <w:divsChild>
                <w:div w:id="225261379">
                  <w:marLeft w:val="0"/>
                  <w:marRight w:val="0"/>
                  <w:marTop w:val="0"/>
                  <w:marBottom w:val="0"/>
                  <w:divBdr>
                    <w:top w:val="none" w:sz="0" w:space="0" w:color="auto"/>
                    <w:left w:val="none" w:sz="0" w:space="0" w:color="auto"/>
                    <w:bottom w:val="none" w:sz="0" w:space="0" w:color="auto"/>
                    <w:right w:val="none" w:sz="0" w:space="0" w:color="auto"/>
                  </w:divBdr>
                  <w:divsChild>
                    <w:div w:id="459686497">
                      <w:marLeft w:val="-450"/>
                      <w:marRight w:val="0"/>
                      <w:marTop w:val="0"/>
                      <w:marBottom w:val="0"/>
                      <w:divBdr>
                        <w:top w:val="none" w:sz="0" w:space="0" w:color="auto"/>
                        <w:left w:val="none" w:sz="0" w:space="0" w:color="auto"/>
                        <w:bottom w:val="none" w:sz="0" w:space="0" w:color="auto"/>
                        <w:right w:val="none" w:sz="0" w:space="0" w:color="auto"/>
                      </w:divBdr>
                      <w:divsChild>
                        <w:div w:id="1825585190">
                          <w:marLeft w:val="0"/>
                          <w:marRight w:val="0"/>
                          <w:marTop w:val="0"/>
                          <w:marBottom w:val="0"/>
                          <w:divBdr>
                            <w:top w:val="none" w:sz="0" w:space="0" w:color="auto"/>
                            <w:left w:val="none" w:sz="0" w:space="0" w:color="auto"/>
                            <w:bottom w:val="none" w:sz="0" w:space="0" w:color="auto"/>
                            <w:right w:val="none" w:sz="0" w:space="0" w:color="auto"/>
                          </w:divBdr>
                          <w:divsChild>
                            <w:div w:id="208537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543353">
      <w:bodyDiv w:val="1"/>
      <w:marLeft w:val="0"/>
      <w:marRight w:val="0"/>
      <w:marTop w:val="0"/>
      <w:marBottom w:val="0"/>
      <w:divBdr>
        <w:top w:val="none" w:sz="0" w:space="0" w:color="auto"/>
        <w:left w:val="none" w:sz="0" w:space="0" w:color="auto"/>
        <w:bottom w:val="none" w:sz="0" w:space="0" w:color="auto"/>
        <w:right w:val="none" w:sz="0" w:space="0" w:color="auto"/>
      </w:divBdr>
    </w:div>
    <w:div w:id="1784491804">
      <w:bodyDiv w:val="1"/>
      <w:marLeft w:val="0"/>
      <w:marRight w:val="0"/>
      <w:marTop w:val="0"/>
      <w:marBottom w:val="0"/>
      <w:divBdr>
        <w:top w:val="none" w:sz="0" w:space="0" w:color="auto"/>
        <w:left w:val="none" w:sz="0" w:space="0" w:color="auto"/>
        <w:bottom w:val="none" w:sz="0" w:space="0" w:color="auto"/>
        <w:right w:val="none" w:sz="0" w:space="0" w:color="auto"/>
      </w:divBdr>
      <w:divsChild>
        <w:div w:id="1226911953">
          <w:marLeft w:val="0"/>
          <w:marRight w:val="0"/>
          <w:marTop w:val="0"/>
          <w:marBottom w:val="0"/>
          <w:divBdr>
            <w:top w:val="none" w:sz="0" w:space="0" w:color="auto"/>
            <w:left w:val="none" w:sz="0" w:space="0" w:color="auto"/>
            <w:bottom w:val="none" w:sz="0" w:space="0" w:color="auto"/>
            <w:right w:val="none" w:sz="0" w:space="0" w:color="auto"/>
          </w:divBdr>
          <w:divsChild>
            <w:div w:id="428744031">
              <w:marLeft w:val="0"/>
              <w:marRight w:val="0"/>
              <w:marTop w:val="0"/>
              <w:marBottom w:val="0"/>
              <w:divBdr>
                <w:top w:val="none" w:sz="0" w:space="0" w:color="auto"/>
                <w:left w:val="none" w:sz="0" w:space="0" w:color="auto"/>
                <w:bottom w:val="none" w:sz="0" w:space="0" w:color="auto"/>
                <w:right w:val="none" w:sz="0" w:space="0" w:color="auto"/>
              </w:divBdr>
              <w:divsChild>
                <w:div w:id="24538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790775">
      <w:bodyDiv w:val="1"/>
      <w:marLeft w:val="0"/>
      <w:marRight w:val="0"/>
      <w:marTop w:val="0"/>
      <w:marBottom w:val="0"/>
      <w:divBdr>
        <w:top w:val="none" w:sz="0" w:space="0" w:color="auto"/>
        <w:left w:val="none" w:sz="0" w:space="0" w:color="auto"/>
        <w:bottom w:val="none" w:sz="0" w:space="0" w:color="auto"/>
        <w:right w:val="none" w:sz="0" w:space="0" w:color="auto"/>
      </w:divBdr>
    </w:div>
    <w:div w:id="1855878469">
      <w:bodyDiv w:val="1"/>
      <w:marLeft w:val="0"/>
      <w:marRight w:val="0"/>
      <w:marTop w:val="0"/>
      <w:marBottom w:val="0"/>
      <w:divBdr>
        <w:top w:val="none" w:sz="0" w:space="0" w:color="auto"/>
        <w:left w:val="none" w:sz="0" w:space="0" w:color="auto"/>
        <w:bottom w:val="none" w:sz="0" w:space="0" w:color="auto"/>
        <w:right w:val="none" w:sz="0" w:space="0" w:color="auto"/>
      </w:divBdr>
      <w:divsChild>
        <w:div w:id="554971869">
          <w:marLeft w:val="0"/>
          <w:marRight w:val="0"/>
          <w:marTop w:val="240"/>
          <w:marBottom w:val="240"/>
          <w:divBdr>
            <w:top w:val="none" w:sz="0" w:space="0" w:color="auto"/>
            <w:left w:val="none" w:sz="0" w:space="0" w:color="auto"/>
            <w:bottom w:val="none" w:sz="0" w:space="0" w:color="auto"/>
            <w:right w:val="none" w:sz="0" w:space="0" w:color="auto"/>
          </w:divBdr>
          <w:divsChild>
            <w:div w:id="374432022">
              <w:marLeft w:val="0"/>
              <w:marRight w:val="0"/>
              <w:marTop w:val="240"/>
              <w:marBottom w:val="240"/>
              <w:divBdr>
                <w:top w:val="none" w:sz="0" w:space="0" w:color="auto"/>
                <w:left w:val="none" w:sz="0" w:space="0" w:color="auto"/>
                <w:bottom w:val="none" w:sz="0" w:space="0" w:color="auto"/>
                <w:right w:val="none" w:sz="0" w:space="0" w:color="auto"/>
              </w:divBdr>
            </w:div>
          </w:divsChild>
        </w:div>
        <w:div w:id="2027712142">
          <w:marLeft w:val="0"/>
          <w:marRight w:val="0"/>
          <w:marTop w:val="240"/>
          <w:marBottom w:val="240"/>
          <w:divBdr>
            <w:top w:val="none" w:sz="0" w:space="0" w:color="auto"/>
            <w:left w:val="none" w:sz="0" w:space="0" w:color="auto"/>
            <w:bottom w:val="none" w:sz="0" w:space="0" w:color="auto"/>
            <w:right w:val="none" w:sz="0" w:space="0" w:color="auto"/>
          </w:divBdr>
          <w:divsChild>
            <w:div w:id="168513414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64391995">
      <w:bodyDiv w:val="1"/>
      <w:marLeft w:val="0"/>
      <w:marRight w:val="0"/>
      <w:marTop w:val="0"/>
      <w:marBottom w:val="0"/>
      <w:divBdr>
        <w:top w:val="none" w:sz="0" w:space="0" w:color="auto"/>
        <w:left w:val="none" w:sz="0" w:space="0" w:color="auto"/>
        <w:bottom w:val="none" w:sz="0" w:space="0" w:color="auto"/>
        <w:right w:val="none" w:sz="0" w:space="0" w:color="auto"/>
      </w:divBdr>
    </w:div>
    <w:div w:id="1899591399">
      <w:bodyDiv w:val="1"/>
      <w:marLeft w:val="0"/>
      <w:marRight w:val="0"/>
      <w:marTop w:val="0"/>
      <w:marBottom w:val="0"/>
      <w:divBdr>
        <w:top w:val="none" w:sz="0" w:space="0" w:color="auto"/>
        <w:left w:val="none" w:sz="0" w:space="0" w:color="auto"/>
        <w:bottom w:val="none" w:sz="0" w:space="0" w:color="auto"/>
        <w:right w:val="none" w:sz="0" w:space="0" w:color="auto"/>
      </w:divBdr>
      <w:divsChild>
        <w:div w:id="1059592370">
          <w:marLeft w:val="0"/>
          <w:marRight w:val="0"/>
          <w:marTop w:val="0"/>
          <w:marBottom w:val="0"/>
          <w:divBdr>
            <w:top w:val="none" w:sz="0" w:space="0" w:color="auto"/>
            <w:left w:val="none" w:sz="0" w:space="0" w:color="auto"/>
            <w:bottom w:val="none" w:sz="0" w:space="0" w:color="auto"/>
            <w:right w:val="none" w:sz="0" w:space="0" w:color="auto"/>
          </w:divBdr>
          <w:divsChild>
            <w:div w:id="1170372945">
              <w:marLeft w:val="0"/>
              <w:marRight w:val="0"/>
              <w:marTop w:val="0"/>
              <w:marBottom w:val="0"/>
              <w:divBdr>
                <w:top w:val="none" w:sz="0" w:space="0" w:color="auto"/>
                <w:left w:val="none" w:sz="0" w:space="0" w:color="auto"/>
                <w:bottom w:val="none" w:sz="0" w:space="0" w:color="auto"/>
                <w:right w:val="none" w:sz="0" w:space="0" w:color="auto"/>
              </w:divBdr>
              <w:divsChild>
                <w:div w:id="999308694">
                  <w:marLeft w:val="0"/>
                  <w:marRight w:val="0"/>
                  <w:marTop w:val="0"/>
                  <w:marBottom w:val="0"/>
                  <w:divBdr>
                    <w:top w:val="none" w:sz="0" w:space="0" w:color="auto"/>
                    <w:left w:val="none" w:sz="0" w:space="0" w:color="auto"/>
                    <w:bottom w:val="none" w:sz="0" w:space="0" w:color="auto"/>
                    <w:right w:val="none" w:sz="0" w:space="0" w:color="auto"/>
                  </w:divBdr>
                  <w:divsChild>
                    <w:div w:id="20265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527797">
      <w:bodyDiv w:val="1"/>
      <w:marLeft w:val="0"/>
      <w:marRight w:val="0"/>
      <w:marTop w:val="0"/>
      <w:marBottom w:val="0"/>
      <w:divBdr>
        <w:top w:val="none" w:sz="0" w:space="0" w:color="auto"/>
        <w:left w:val="none" w:sz="0" w:space="0" w:color="auto"/>
        <w:bottom w:val="none" w:sz="0" w:space="0" w:color="auto"/>
        <w:right w:val="none" w:sz="0" w:space="0" w:color="auto"/>
      </w:divBdr>
    </w:div>
    <w:div w:id="1909922634">
      <w:bodyDiv w:val="1"/>
      <w:marLeft w:val="0"/>
      <w:marRight w:val="0"/>
      <w:marTop w:val="0"/>
      <w:marBottom w:val="0"/>
      <w:divBdr>
        <w:top w:val="none" w:sz="0" w:space="0" w:color="auto"/>
        <w:left w:val="none" w:sz="0" w:space="0" w:color="auto"/>
        <w:bottom w:val="none" w:sz="0" w:space="0" w:color="auto"/>
        <w:right w:val="none" w:sz="0" w:space="0" w:color="auto"/>
      </w:divBdr>
      <w:divsChild>
        <w:div w:id="399251514">
          <w:marLeft w:val="0"/>
          <w:marRight w:val="0"/>
          <w:marTop w:val="0"/>
          <w:marBottom w:val="0"/>
          <w:divBdr>
            <w:top w:val="none" w:sz="0" w:space="0" w:color="auto"/>
            <w:left w:val="none" w:sz="0" w:space="0" w:color="auto"/>
            <w:bottom w:val="none" w:sz="0" w:space="0" w:color="auto"/>
            <w:right w:val="none" w:sz="0" w:space="0" w:color="auto"/>
          </w:divBdr>
          <w:divsChild>
            <w:div w:id="1207527552">
              <w:marLeft w:val="0"/>
              <w:marRight w:val="0"/>
              <w:marTop w:val="0"/>
              <w:marBottom w:val="0"/>
              <w:divBdr>
                <w:top w:val="none" w:sz="0" w:space="0" w:color="auto"/>
                <w:left w:val="none" w:sz="0" w:space="0" w:color="auto"/>
                <w:bottom w:val="none" w:sz="0" w:space="0" w:color="auto"/>
                <w:right w:val="none" w:sz="0" w:space="0" w:color="auto"/>
              </w:divBdr>
              <w:divsChild>
                <w:div w:id="43018863">
                  <w:marLeft w:val="0"/>
                  <w:marRight w:val="0"/>
                  <w:marTop w:val="0"/>
                  <w:marBottom w:val="0"/>
                  <w:divBdr>
                    <w:top w:val="none" w:sz="0" w:space="0" w:color="auto"/>
                    <w:left w:val="none" w:sz="0" w:space="0" w:color="auto"/>
                    <w:bottom w:val="none" w:sz="0" w:space="0" w:color="auto"/>
                    <w:right w:val="none" w:sz="0" w:space="0" w:color="auto"/>
                  </w:divBdr>
                  <w:divsChild>
                    <w:div w:id="119376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695804">
      <w:bodyDiv w:val="1"/>
      <w:marLeft w:val="0"/>
      <w:marRight w:val="0"/>
      <w:marTop w:val="0"/>
      <w:marBottom w:val="0"/>
      <w:divBdr>
        <w:top w:val="none" w:sz="0" w:space="0" w:color="auto"/>
        <w:left w:val="none" w:sz="0" w:space="0" w:color="auto"/>
        <w:bottom w:val="none" w:sz="0" w:space="0" w:color="auto"/>
        <w:right w:val="none" w:sz="0" w:space="0" w:color="auto"/>
      </w:divBdr>
    </w:div>
    <w:div w:id="1933052034">
      <w:bodyDiv w:val="1"/>
      <w:marLeft w:val="0"/>
      <w:marRight w:val="0"/>
      <w:marTop w:val="0"/>
      <w:marBottom w:val="0"/>
      <w:divBdr>
        <w:top w:val="none" w:sz="0" w:space="0" w:color="auto"/>
        <w:left w:val="none" w:sz="0" w:space="0" w:color="auto"/>
        <w:bottom w:val="none" w:sz="0" w:space="0" w:color="auto"/>
        <w:right w:val="none" w:sz="0" w:space="0" w:color="auto"/>
      </w:divBdr>
    </w:div>
    <w:div w:id="1936551725">
      <w:bodyDiv w:val="1"/>
      <w:marLeft w:val="0"/>
      <w:marRight w:val="0"/>
      <w:marTop w:val="0"/>
      <w:marBottom w:val="0"/>
      <w:divBdr>
        <w:top w:val="none" w:sz="0" w:space="0" w:color="auto"/>
        <w:left w:val="none" w:sz="0" w:space="0" w:color="auto"/>
        <w:bottom w:val="none" w:sz="0" w:space="0" w:color="auto"/>
        <w:right w:val="none" w:sz="0" w:space="0" w:color="auto"/>
      </w:divBdr>
    </w:div>
    <w:div w:id="1959991111">
      <w:bodyDiv w:val="1"/>
      <w:marLeft w:val="0"/>
      <w:marRight w:val="0"/>
      <w:marTop w:val="0"/>
      <w:marBottom w:val="0"/>
      <w:divBdr>
        <w:top w:val="none" w:sz="0" w:space="0" w:color="auto"/>
        <w:left w:val="none" w:sz="0" w:space="0" w:color="auto"/>
        <w:bottom w:val="none" w:sz="0" w:space="0" w:color="auto"/>
        <w:right w:val="none" w:sz="0" w:space="0" w:color="auto"/>
      </w:divBdr>
      <w:divsChild>
        <w:div w:id="1404572693">
          <w:marLeft w:val="0"/>
          <w:marRight w:val="0"/>
          <w:marTop w:val="0"/>
          <w:marBottom w:val="0"/>
          <w:divBdr>
            <w:top w:val="none" w:sz="0" w:space="0" w:color="auto"/>
            <w:left w:val="none" w:sz="0" w:space="0" w:color="auto"/>
            <w:bottom w:val="none" w:sz="0" w:space="0" w:color="auto"/>
            <w:right w:val="none" w:sz="0" w:space="0" w:color="auto"/>
          </w:divBdr>
          <w:divsChild>
            <w:div w:id="1375882598">
              <w:marLeft w:val="0"/>
              <w:marRight w:val="0"/>
              <w:marTop w:val="0"/>
              <w:marBottom w:val="0"/>
              <w:divBdr>
                <w:top w:val="none" w:sz="0" w:space="0" w:color="auto"/>
                <w:left w:val="none" w:sz="0" w:space="0" w:color="auto"/>
                <w:bottom w:val="none" w:sz="0" w:space="0" w:color="auto"/>
                <w:right w:val="none" w:sz="0" w:space="0" w:color="auto"/>
              </w:divBdr>
              <w:divsChild>
                <w:div w:id="12694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117998">
      <w:bodyDiv w:val="1"/>
      <w:marLeft w:val="0"/>
      <w:marRight w:val="0"/>
      <w:marTop w:val="0"/>
      <w:marBottom w:val="0"/>
      <w:divBdr>
        <w:top w:val="none" w:sz="0" w:space="0" w:color="auto"/>
        <w:left w:val="none" w:sz="0" w:space="0" w:color="auto"/>
        <w:bottom w:val="none" w:sz="0" w:space="0" w:color="auto"/>
        <w:right w:val="none" w:sz="0" w:space="0" w:color="auto"/>
      </w:divBdr>
    </w:div>
    <w:div w:id="2013483354">
      <w:bodyDiv w:val="1"/>
      <w:marLeft w:val="0"/>
      <w:marRight w:val="0"/>
      <w:marTop w:val="0"/>
      <w:marBottom w:val="0"/>
      <w:divBdr>
        <w:top w:val="none" w:sz="0" w:space="0" w:color="auto"/>
        <w:left w:val="none" w:sz="0" w:space="0" w:color="auto"/>
        <w:bottom w:val="none" w:sz="0" w:space="0" w:color="auto"/>
        <w:right w:val="none" w:sz="0" w:space="0" w:color="auto"/>
      </w:divBdr>
    </w:div>
    <w:div w:id="2096628573">
      <w:bodyDiv w:val="1"/>
      <w:marLeft w:val="0"/>
      <w:marRight w:val="0"/>
      <w:marTop w:val="0"/>
      <w:marBottom w:val="0"/>
      <w:divBdr>
        <w:top w:val="none" w:sz="0" w:space="0" w:color="auto"/>
        <w:left w:val="none" w:sz="0" w:space="0" w:color="auto"/>
        <w:bottom w:val="none" w:sz="0" w:space="0" w:color="auto"/>
        <w:right w:val="none" w:sz="0" w:space="0" w:color="auto"/>
      </w:divBdr>
      <w:divsChild>
        <w:div w:id="843471671">
          <w:marLeft w:val="0"/>
          <w:marRight w:val="0"/>
          <w:marTop w:val="0"/>
          <w:marBottom w:val="0"/>
          <w:divBdr>
            <w:top w:val="none" w:sz="0" w:space="0" w:color="auto"/>
            <w:left w:val="none" w:sz="0" w:space="0" w:color="auto"/>
            <w:bottom w:val="none" w:sz="0" w:space="0" w:color="auto"/>
            <w:right w:val="none" w:sz="0" w:space="0" w:color="auto"/>
          </w:divBdr>
          <w:divsChild>
            <w:div w:id="48040865">
              <w:marLeft w:val="0"/>
              <w:marRight w:val="0"/>
              <w:marTop w:val="0"/>
              <w:marBottom w:val="0"/>
              <w:divBdr>
                <w:top w:val="none" w:sz="0" w:space="0" w:color="auto"/>
                <w:left w:val="none" w:sz="0" w:space="0" w:color="auto"/>
                <w:bottom w:val="none" w:sz="0" w:space="0" w:color="auto"/>
                <w:right w:val="none" w:sz="0" w:space="0" w:color="auto"/>
              </w:divBdr>
              <w:divsChild>
                <w:div w:id="703989113">
                  <w:marLeft w:val="0"/>
                  <w:marRight w:val="0"/>
                  <w:marTop w:val="0"/>
                  <w:marBottom w:val="0"/>
                  <w:divBdr>
                    <w:top w:val="none" w:sz="0" w:space="0" w:color="auto"/>
                    <w:left w:val="none" w:sz="0" w:space="0" w:color="auto"/>
                    <w:bottom w:val="none" w:sz="0" w:space="0" w:color="auto"/>
                    <w:right w:val="none" w:sz="0" w:space="0" w:color="auto"/>
                  </w:divBdr>
                  <w:divsChild>
                    <w:div w:id="101503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730618">
      <w:bodyDiv w:val="1"/>
      <w:marLeft w:val="0"/>
      <w:marRight w:val="0"/>
      <w:marTop w:val="0"/>
      <w:marBottom w:val="0"/>
      <w:divBdr>
        <w:top w:val="none" w:sz="0" w:space="0" w:color="auto"/>
        <w:left w:val="none" w:sz="0" w:space="0" w:color="auto"/>
        <w:bottom w:val="none" w:sz="0" w:space="0" w:color="auto"/>
        <w:right w:val="none" w:sz="0" w:space="0" w:color="auto"/>
      </w:divBdr>
      <w:divsChild>
        <w:div w:id="1423839169">
          <w:marLeft w:val="0"/>
          <w:marRight w:val="0"/>
          <w:marTop w:val="240"/>
          <w:marBottom w:val="240"/>
          <w:divBdr>
            <w:top w:val="none" w:sz="0" w:space="0" w:color="auto"/>
            <w:left w:val="none" w:sz="0" w:space="0" w:color="auto"/>
            <w:bottom w:val="none" w:sz="0" w:space="0" w:color="auto"/>
            <w:right w:val="none" w:sz="0" w:space="0" w:color="auto"/>
          </w:divBdr>
          <w:divsChild>
            <w:div w:id="185939025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ecri-general-policy-/16808b5a23" TargetMode="External"/><Relationship Id="rId117" Type="http://schemas.openxmlformats.org/officeDocument/2006/relationships/fontTable" Target="fontTable.xml"/><Relationship Id="rId21" Type="http://schemas.openxmlformats.org/officeDocument/2006/relationships/hyperlink" Target="https://www.gov.uk/government/news/office-for-disability-issues-announces-its-new-regional-stakeholder-network" TargetMode="External"/><Relationship Id="rId42" Type="http://schemas.openxmlformats.org/officeDocument/2006/relationships/hyperlink" Target="https://www.gov.scot/publications/designing-streets-policy-statement-scotland/" TargetMode="External"/><Relationship Id="rId47" Type="http://schemas.openxmlformats.org/officeDocument/2006/relationships/hyperlink" Target="http://www.gov.uk/government/publications/ogden-tables-actuarial-compensation-tables-for-injury-and-death" TargetMode="External"/><Relationship Id="rId63" Type="http://schemas.openxmlformats.org/officeDocument/2006/relationships/hyperlink" Target="http://www.gov.uk/guidance/guidance-on-devolution" TargetMode="External"/><Relationship Id="rId68" Type="http://schemas.openxmlformats.org/officeDocument/2006/relationships/hyperlink" Target="http://www.gov.uk/government/publications/dptacs-position-on-shared-space/dptac-position-on-shared-space" TargetMode="External"/><Relationship Id="rId84" Type="http://schemas.openxmlformats.org/officeDocument/2006/relationships/hyperlink" Target="https://road.cc/content/blog/264304-cycling-and-law-why-cyclist-being-successfully-sued-colliding-pedestrian" TargetMode="External"/><Relationship Id="rId89" Type="http://schemas.openxmlformats.org/officeDocument/2006/relationships/hyperlink" Target="http://www.leeds.gov.uk/docs/Accessible%20Leeds%20SPD.pdf" TargetMode="External"/><Relationship Id="rId112" Type="http://schemas.openxmlformats.org/officeDocument/2006/relationships/hyperlink" Target="http://www.bbc.co.uk/news/uk-northern-ireland-46788100" TargetMode="External"/><Relationship Id="rId16" Type="http://schemas.openxmlformats.org/officeDocument/2006/relationships/hyperlink" Target="https://clinicalnegligencebarrister.wordpress.com/2019/06/24/brushett-v-hazeldean-the-facts/" TargetMode="External"/><Relationship Id="rId107" Type="http://schemas.openxmlformats.org/officeDocument/2006/relationships/hyperlink" Target="http://www.glasgow.gov.uk/article/18276/City-Centre-Transport-Strategy" TargetMode="External"/><Relationship Id="rId11" Type="http://schemas.openxmlformats.org/officeDocument/2006/relationships/hyperlink" Target="http://www.gosafeglasgow.com/our-work/see-our-seniors" TargetMode="External"/><Relationship Id="rId24" Type="http://schemas.openxmlformats.org/officeDocument/2006/relationships/hyperlink" Target="http://www.gov.uk/government/topical-events/the-uks-industrial-strategy" TargetMode="External"/><Relationship Id="rId32" Type="http://schemas.openxmlformats.org/officeDocument/2006/relationships/hyperlink" Target="https://assets.publishing.service.gov.uk/government/uploads/system/uploads/attachment_data/file/570382/Equality_Act_2010-disability_definition.pdf" TargetMode="External"/><Relationship Id="rId37" Type="http://schemas.openxmlformats.org/officeDocument/2006/relationships/hyperlink" Target="http://library.college.police.uk/docs/appref/Policing-our-Roads-Together-partners-copy.pdf" TargetMode="External"/><Relationship Id="rId40" Type="http://schemas.openxmlformats.org/officeDocument/2006/relationships/hyperlink" Target="http://www.equalityhumanrights.com/en/advice-and-guidance/judicial-review" TargetMode="External"/><Relationship Id="rId45" Type="http://schemas.openxmlformats.org/officeDocument/2006/relationships/hyperlink" Target="http://www.theguardian.com/lifeandstyle/2017/sep/18/cyclist-charlie-alliston-jailed-for-18-months-over-death-of-pedestrian" TargetMode="External"/><Relationship Id="rId53" Type="http://schemas.openxmlformats.org/officeDocument/2006/relationships/hyperlink" Target="file:///C:/Users/djn/Documents/anna/a%20work%20uni/ips%20project/legal%20report/%3Cwww.cps.gov.uk/legal-guidance/road-traffic-summary-offences" TargetMode="External"/><Relationship Id="rId58" Type="http://schemas.openxmlformats.org/officeDocument/2006/relationships/hyperlink" Target="http://www.edf-feph.org/newsroom/news/our-analysis-european-accessibility-act" TargetMode="External"/><Relationship Id="rId66" Type="http://schemas.openxmlformats.org/officeDocument/2006/relationships/hyperlink" Target="http://ohrh.law.ox.ac.uk/first-group-v-paulley-towards-accessible-and-inclusive-public-transport" TargetMode="External"/><Relationship Id="rId74" Type="http://schemas.openxmlformats.org/officeDocument/2006/relationships/hyperlink" Target="http://www.gosafeglasgow.com/drive-safe/pedestrians" TargetMode="External"/><Relationship Id="rId79" Type="http://schemas.openxmlformats.org/officeDocument/2006/relationships/hyperlink" Target="http://www.westyorks-ca.gov.uk/media/2379/transport-strategy-2040.pdf" TargetMode="External"/><Relationship Id="rId87" Type="http://schemas.openxmlformats.org/officeDocument/2006/relationships/hyperlink" Target="http://www.leeds.gov.uk/docs/Adopted%20Travel%20Plan%20SPD%20Jan%202015.pdf" TargetMode="External"/><Relationship Id="rId102" Type="http://schemas.openxmlformats.org/officeDocument/2006/relationships/hyperlink" Target="http://www.leeds.gov.uk/residents/children-families-and-carers/local-offer/leeds-local-offer/special-educational-needs-disability" TargetMode="External"/><Relationship Id="rId110" Type="http://schemas.openxmlformats.org/officeDocument/2006/relationships/hyperlink" Target="https://www.transport.gov.scot/publication/going-further-scotland-s-accessible-travel-framework/" TargetMode="External"/><Relationship Id="rId115"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gov.uk/government/publications/future-of-an-ageing-population" TargetMode="External"/><Relationship Id="rId82" Type="http://schemas.openxmlformats.org/officeDocument/2006/relationships/hyperlink" Target="http://www.leeds.gov.uk/docs/Leeds%20Transport%20Strategy.pdf" TargetMode="External"/><Relationship Id="rId90" Type="http://schemas.openxmlformats.org/officeDocument/2006/relationships/hyperlink" Target="file:///C:/Users/djn/Documents/anna/a%20work%20uni/ips%20project/legal%20report/www.gov.uk/government/publications/uks-voluntary-national-review-of-the-sustainable-development-goals" TargetMode="External"/><Relationship Id="rId95" Type="http://schemas.openxmlformats.org/officeDocument/2006/relationships/hyperlink" Target="http://www.leeds.gov.uk/docs/Annual%20Report%202019%20online%20version.pdf" TargetMode="External"/><Relationship Id="rId19" Type="http://schemas.openxmlformats.org/officeDocument/2006/relationships/hyperlink" Target="file:///C:/Users/djn/Documents/anna/a%20work%20uni/ips%20project/legal%20report/www.coe.int/en/web/turin-european-social-charter" TargetMode="External"/><Relationship Id="rId14" Type="http://schemas.openxmlformats.org/officeDocument/2006/relationships/hyperlink" Target="http://www.ciht.org.uk/media/10218/ciht-better-planning-a4_updated_linked_.pdf" TargetMode="External"/><Relationship Id="rId22" Type="http://schemas.openxmlformats.org/officeDocument/2006/relationships/hyperlink" Target="http://www.gov.scot/publications/fairer-scotland-disabled-people-delivery-plan-2021-united-nations-convention/pages/12/" TargetMode="External"/><Relationship Id="rId27" Type="http://schemas.openxmlformats.org/officeDocument/2006/relationships/hyperlink" Target="http://www.independent.co.uk/news/uk/home-news/london-cyclist-crash-robert-hazeldean-gemma-brushett-london-phone-court-a8972326.html" TargetMode="External"/><Relationship Id="rId30" Type="http://schemas.openxmlformats.org/officeDocument/2006/relationships/hyperlink" Target="http://www.gov.uk/government/publications/local-transport-note-ltn-1-11-shared-space%3e" TargetMode="External"/><Relationship Id="rId35" Type="http://schemas.openxmlformats.org/officeDocument/2006/relationships/hyperlink" Target="http://www.equalityadvisoryservice.com/app/about" TargetMode="External"/><Relationship Id="rId43" Type="http://schemas.openxmlformats.org/officeDocument/2006/relationships/hyperlink" Target="http://www.leeds.gov.uk/parking-roads-and-travel/road-improvement-schemes/connecting-leeds" TargetMode="External"/><Relationship Id="rId48" Type="http://schemas.openxmlformats.org/officeDocument/2006/relationships/hyperlink" Target="http://www.gov.uk/government/publications/national-planning-policy-framework--2" TargetMode="External"/><Relationship Id="rId56" Type="http://schemas.openxmlformats.org/officeDocument/2006/relationships/hyperlink" Target="http://www.glasgow.gov.uk/article/19099/Glasgows-new-road-safety-campaign-targets-pedestrians" TargetMode="External"/><Relationship Id="rId64" Type="http://schemas.openxmlformats.org/officeDocument/2006/relationships/hyperlink" Target="http://www.glasgow.gov.uk/corepaths" TargetMode="External"/><Relationship Id="rId69" Type="http://schemas.openxmlformats.org/officeDocument/2006/relationships/hyperlink" Target="https://www.gov.uk/government/groups/uk-advisory-forum-on-ageing" TargetMode="External"/><Relationship Id="rId77" Type="http://schemas.openxmlformats.org/officeDocument/2006/relationships/hyperlink" Target="http://www.leeds.gov.uk/docs/Equality%20and%20Diversity%20Policy%202016.pdf" TargetMode="External"/><Relationship Id="rId100" Type="http://schemas.openxmlformats.org/officeDocument/2006/relationships/hyperlink" Target="https://www.equalityhumanrights.com/en/who-we-are/disability-advisory-committee" TargetMode="External"/><Relationship Id="rId105" Type="http://schemas.openxmlformats.org/officeDocument/2006/relationships/hyperlink" Target="https://www.parliament.scot/parliamentarybusiness/Bills/108683.aspx" TargetMode="External"/><Relationship Id="rId113" Type="http://schemas.openxmlformats.org/officeDocument/2006/relationships/hyperlink" Target="file:///C:/Users/djn/Documents/anna/a%20work%20uni/ips%20project/legal%20report/www.edf-feph.org/structural-funds" TargetMode="External"/><Relationship Id="rId118"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hyperlink" Target="http://www.glasgow.gov.uk/article/17533/Equality-Impact-Assessment-EqIA" TargetMode="External"/><Relationship Id="rId72" Type="http://schemas.openxmlformats.org/officeDocument/2006/relationships/hyperlink" Target="http://www.leeds.gov.uk/docs/Best%20council%20plan%20-%20in%20full.pdf" TargetMode="External"/><Relationship Id="rId80" Type="http://schemas.openxmlformats.org/officeDocument/2006/relationships/hyperlink" Target="https://rm.coe.int/16806fe7d4" TargetMode="External"/><Relationship Id="rId85" Type="http://schemas.openxmlformats.org/officeDocument/2006/relationships/hyperlink" Target="http://www.leeds.gov.uk/planning/planning-policy/adopted-local-plan" TargetMode="External"/><Relationship Id="rId93" Type="http://schemas.openxmlformats.org/officeDocument/2006/relationships/hyperlink" Target="https://news.sky.com/story/electric-scooters-criminal-damage-and-traffic-collisions-among-hundreds-of-police-incidents-11790527" TargetMode="External"/><Relationship Id="rId98" Type="http://schemas.openxmlformats.org/officeDocument/2006/relationships/hyperlink" Target="file:///C:/Users/djn/Documents/anna/a%20work%20uni/ips%20project/legal%20report/%3Cwww.nao.org.uk/wp-content/uploads/2014/11/Implementing-reforms-to-civil-legal-aid1.pdf" TargetMode="External"/><Relationship Id="rId3" Type="http://schemas.openxmlformats.org/officeDocument/2006/relationships/customXml" Target="../customXml/item3.xml"/><Relationship Id="rId12" Type="http://schemas.openxmlformats.org/officeDocument/2006/relationships/hyperlink" Target="http://www.livingstreets.org.uk/get-involved/campaign-with-us/ban-pavement-parking-in-scotland" TargetMode="External"/><Relationship Id="rId17" Type="http://schemas.openxmlformats.org/officeDocument/2006/relationships/hyperlink" Target="https://www.reasonableaccess.org.uk/wp-content/uploads/2019/02/1073473-Esther-Leighton-v-Culinaris-UK-Ltd-Approved-Judgment-03.07.18.pdf" TargetMode="External"/><Relationship Id="rId25" Type="http://schemas.openxmlformats.org/officeDocument/2006/relationships/hyperlink" Target="file:///C:/Users/djn/Documents/anna/a%20work%20uni/ips%20project/legal%20report/www.gov.uk/government/publications/implementing-the-sustainable-development-goals/implementing-the-sustainable-development-goals" TargetMode="External"/><Relationship Id="rId33" Type="http://schemas.openxmlformats.org/officeDocument/2006/relationships/hyperlink" Target="file:///C:/Users/djn/Documents/anna/a%20work%20uni/ips%20project/legal%20report/www.highwaysmagazine.co.uk/article/detail/3454" TargetMode="External"/><Relationship Id="rId38" Type="http://schemas.openxmlformats.org/officeDocument/2006/relationships/hyperlink" Target="http://www.leeds.gov.uk/docs/Street%20Design%20Guide%20-%20main%20report.pdf" TargetMode="External"/><Relationship Id="rId46" Type="http://schemas.openxmlformats.org/officeDocument/2006/relationships/hyperlink" Target="http://www.glasgow.gov.uk/schoolcarfreezones" TargetMode="External"/><Relationship Id="rId59" Type="http://schemas.openxmlformats.org/officeDocument/2006/relationships/hyperlink" Target="https://www.islingtongazette.co.uk/news/partially-sighted-woman-shaken-and-injured-after-cyclist-collided-with-her-white-cane-in-highbury-1-6519938" TargetMode="External"/><Relationship Id="rId67" Type="http://schemas.openxmlformats.org/officeDocument/2006/relationships/hyperlink" Target="http://www.leeds.gov.uk/docs/Access%20and%20Inclusion%20Policy%20V2.pdf" TargetMode="External"/><Relationship Id="rId103" Type="http://schemas.openxmlformats.org/officeDocument/2006/relationships/hyperlink" Target="http://www.gov.uk/government/news/a-national-strategy-for-disabled-people-to-remove-barriers-and-increase-participation" TargetMode="External"/><Relationship Id="rId108" Type="http://schemas.openxmlformats.org/officeDocument/2006/relationships/hyperlink" Target="file:///C:/Users/djn/Documents/anna/a%20work%20uni/ips%20project/legal%20report/www.equalityhumanrights.com/sites/default/files/servicescode_0.pdf" TargetMode="External"/><Relationship Id="rId116" Type="http://schemas.openxmlformats.org/officeDocument/2006/relationships/footer" Target="footer1.xml"/><Relationship Id="rId20" Type="http://schemas.openxmlformats.org/officeDocument/2006/relationships/hyperlink" Target="file:///C:/Users/djn/Documents/anna/a%20work%20uni/ips%20project/legal%20report/www.judiciary.uk/publications/employment-rules-and-legislation-practice-directions/" TargetMode="External"/><Relationship Id="rId41" Type="http://schemas.openxmlformats.org/officeDocument/2006/relationships/hyperlink" Target="http://www.equalityhumanrights.com/en/publication-download/our-litigation-and-enforcement-policy-2019-2022" TargetMode="External"/><Relationship Id="rId54" Type="http://schemas.openxmlformats.org/officeDocument/2006/relationships/hyperlink" Target="http://www.leeds.gov.uk/childfriendlyleeds/Documents/CMT18-022%20Childrens%20and%20YP%20Plan%2018-23.pdf?id=40052&amp;p=0" TargetMode="External"/><Relationship Id="rId62" Type="http://schemas.openxmlformats.org/officeDocument/2006/relationships/hyperlink" Target="http://www.gov.uk/government/collections/future-of-ageing" TargetMode="External"/><Relationship Id="rId70" Type="http://schemas.openxmlformats.org/officeDocument/2006/relationships/hyperlink" Target="https://clinicalnegligencebarrister.wordpress.com/2019/06/24/brushett-v-hazeldean-note-of-judgment/" TargetMode="External"/><Relationship Id="rId75" Type="http://schemas.openxmlformats.org/officeDocument/2006/relationships/hyperlink" Target="http://www.rnib.org.uk/sites/default/files/WPTT%20Pedestrian%20Crossings%20%20(Feb%202015%20version%201).doc" TargetMode="External"/><Relationship Id="rId83" Type="http://schemas.openxmlformats.org/officeDocument/2006/relationships/hyperlink" Target="https://my.leeds.gov.uk/Pages/KnowledgeBase/RoadsAndPavements.aspx" TargetMode="External"/><Relationship Id="rId88" Type="http://schemas.openxmlformats.org/officeDocument/2006/relationships/hyperlink" Target="file:///C:/Users/lawmao/Desktop/%3Cwww.lag.org.uk/article/202707/no-access-to-legal-advice--means-no-access-to-goods-and-services%3E" TargetMode="External"/><Relationship Id="rId91" Type="http://schemas.openxmlformats.org/officeDocument/2006/relationships/hyperlink" Target="https://www.gov.uk/government/publications/industrial-strategy-building-a-britain-fit-for-the-future" TargetMode="External"/><Relationship Id="rId96" Type="http://schemas.openxmlformats.org/officeDocument/2006/relationships/hyperlink" Target="http://www.edinburghnews.scotsman.com/news/transport/woman-hit-cyclist-pavement-blocked-claiming-damages-586235" TargetMode="External"/><Relationship Id="rId111" Type="http://schemas.openxmlformats.org/officeDocument/2006/relationships/hyperlink" Target="http://www.theguardian.com/law/2020/feb/24/cyclist-settles-for-30000-pounds-after-hitting-pedestrian-who-was-looking-at-phon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bbc.co.uk/news/uk-33303031" TargetMode="External"/><Relationship Id="rId23" Type="http://schemas.openxmlformats.org/officeDocument/2006/relationships/hyperlink" Target="http://www.gov.uk/government/collections/fulfilling-potential-working-together-to-improve-the-lives-of-disabled-people" TargetMode="External"/><Relationship Id="rId28" Type="http://schemas.openxmlformats.org/officeDocument/2006/relationships/hyperlink" Target="http://www.glasgow.gov.uk/CHttpHandler.ashx" TargetMode="External"/><Relationship Id="rId36" Type="http://schemas.openxmlformats.org/officeDocument/2006/relationships/hyperlink" Target="file:///C:/Users/Anna/Documents/erc%20inclusive%20public%20space/legal%20report%20uk/drafts/%3Cwww.equalityhumanrights.com/en/publication-download/access-legal-aid-discrimination-cases%3E" TargetMode="External"/><Relationship Id="rId49" Type="http://schemas.openxmlformats.org/officeDocument/2006/relationships/hyperlink" Target="https://www.leeds.gov.uk/docs/FPI_DCS_001%20Community%20Safety%20SPD.pdf?id=15298&amp;p=0" TargetMode="External"/><Relationship Id="rId57" Type="http://schemas.openxmlformats.org/officeDocument/2006/relationships/hyperlink" Target="http://www.gosafeglasgow.com/about-us" TargetMode="External"/><Relationship Id="rId106" Type="http://schemas.openxmlformats.org/officeDocument/2006/relationships/hyperlink" Target="http://www.sentencingcouncil.org.uk" TargetMode="External"/><Relationship Id="rId114" Type="http://schemas.openxmlformats.org/officeDocument/2006/relationships/hyperlink" Target="file:///C:/Users/djn/Documents/anna/a%20work%20uni/ips%20project/legal%20report/www.europarl.europa.eu/RegData/etudes/BRIE/2018/625192/EPRS_BRI(2018)625192_EN.pdf" TargetMode="External"/><Relationship Id="rId119"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file:///C:/Users/djn/Documents/anna/a%20work%20uni/ips%20project/legal%20report/www.gov.uk/government/publications/agenda-2030-delivering-the-global-goals" TargetMode="External"/><Relationship Id="rId44" Type="http://schemas.openxmlformats.org/officeDocument/2006/relationships/hyperlink" Target="http://www.gov.uk/government/publications/manual-for-streets-2" TargetMode="External"/><Relationship Id="rId52" Type="http://schemas.openxmlformats.org/officeDocument/2006/relationships/hyperlink" Target="http://www.housingcare.org/information/detail-2905-opportunity-age-meeting-the-challenge-of-ageing-in-the-21s.aspx?id=45112&amp;p=0" TargetMode="External"/><Relationship Id="rId60" Type="http://schemas.openxmlformats.org/officeDocument/2006/relationships/hyperlink" Target="http://www.gov.scot/publications/fairer-scotland-older-people-framework-action/" TargetMode="External"/><Relationship Id="rId65" Type="http://schemas.openxmlformats.org/officeDocument/2006/relationships/hyperlink" Target="http://www.glasgow.gov.uk/CHttpHandler.ashx" TargetMode="External"/><Relationship Id="rId73" Type="http://schemas.openxmlformats.org/officeDocument/2006/relationships/hyperlink" Target="http://www.leeds.gov.uk/your-council/plans-and-strategies/council-plans" TargetMode="External"/><Relationship Id="rId78" Type="http://schemas.openxmlformats.org/officeDocument/2006/relationships/hyperlink" Target="http://www.leeds.gov.uk/your-council/equality-and-diversity/equality-improvement-priorities" TargetMode="External"/><Relationship Id="rId81" Type="http://schemas.openxmlformats.org/officeDocument/2006/relationships/hyperlink" Target="http://www.glasgow.gov.uk/CHttpHandler.ashx" TargetMode="External"/><Relationship Id="rId86" Type="http://schemas.openxmlformats.org/officeDocument/2006/relationships/hyperlink" Target="https://www.leeds.gov.uk/planning/planning-policy/supplementary-planning-documents-and-guidance/adopted-supplementary-planning-documents" TargetMode="External"/><Relationship Id="rId94" Type="http://schemas.openxmlformats.org/officeDocument/2006/relationships/hyperlink" Target="https://www.gov.uk/guidance/design" TargetMode="External"/><Relationship Id="rId99" Type="http://schemas.openxmlformats.org/officeDocument/2006/relationships/hyperlink" Target="https://democracy.leeds.gov.uk/documents/s191712/Appendix%20B%20-%20Proposed%20Pedestrian%20Crossing%20Review%202019.pdf" TargetMode="External"/><Relationship Id="rId101" Type="http://schemas.openxmlformats.org/officeDocument/2006/relationships/hyperlink" Target="https://www.acas.org.uk/what-we-do"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djn/Documents/anna/a%20work%20uni/ips%20project/legal%20report/www.equalityhumanrights.com/sites/default/files/quantification-of-claims-guidance.pdf" TargetMode="External"/><Relationship Id="rId18" Type="http://schemas.openxmlformats.org/officeDocument/2006/relationships/hyperlink" Target="https://www.gov.scot/publications/fairer-scotland-action-plan/" TargetMode="External"/><Relationship Id="rId39" Type="http://schemas.openxmlformats.org/officeDocument/2006/relationships/hyperlink" Target="http://www.leeds.gov.uk/residents/health-and-social-care/adult-social-care/learning-disability-community-support-service" TargetMode="External"/><Relationship Id="rId109" Type="http://schemas.openxmlformats.org/officeDocument/2006/relationships/hyperlink" Target="http://www.disabilityrightsuk.org/sites/default/files/pdf/firstbusjudgment.pdf" TargetMode="External"/><Relationship Id="rId34" Type="http://schemas.openxmlformats.org/officeDocument/2006/relationships/hyperlink" Target="https://www.glasgow.gov.uk/CHttpHandler.ashx" TargetMode="External"/><Relationship Id="rId50" Type="http://schemas.openxmlformats.org/officeDocument/2006/relationships/hyperlink" Target="https://www.glasgow.gov.uk/CHttpHandler.ashx?id=30586&amp;p=0" TargetMode="External"/><Relationship Id="rId55" Type="http://schemas.openxmlformats.org/officeDocument/2006/relationships/hyperlink" Target="http://www.transport.gov.scot/publication/scottish-government-s-long-term-vision-for-active-travel-in-scotland/?id=42948&amp;p=0" TargetMode="External"/><Relationship Id="rId76" Type="http://schemas.openxmlformats.org/officeDocument/2006/relationships/hyperlink" Target="http://www.glasgow.gov.uk/cdp" TargetMode="External"/><Relationship Id="rId97" Type="http://schemas.openxmlformats.org/officeDocument/2006/relationships/hyperlink" Target="https://www.leeds.gov.uk/your-council/equality-and-diversity/equalities-assembly" TargetMode="External"/><Relationship Id="rId104" Type="http://schemas.openxmlformats.org/officeDocument/2006/relationships/hyperlink" Target="http://www.leeds.gov.uk/residents/environmental-health/public-spaces-protection-orders-consultation" TargetMode="External"/><Relationship Id="rId7" Type="http://schemas.openxmlformats.org/officeDocument/2006/relationships/settings" Target="settings.xml"/><Relationship Id="rId71" Type="http://schemas.openxmlformats.org/officeDocument/2006/relationships/hyperlink" Target="https://extranet.who.int/agefriendlyworld/wp-content/uploads/2019/05/AgeFriendlyLeeds-strategy-and-action-plan-2019-2022.pdf" TargetMode="External"/><Relationship Id="rId92" Type="http://schemas.openxmlformats.org/officeDocument/2006/relationships/hyperlink" Target="http://chrisholmes.co.uk/wp-content/uploads/2015/07/Holmes-Report-on-Shared-Space-.pdf" TargetMode="External"/><Relationship Id="rId2" Type="http://schemas.openxmlformats.org/officeDocument/2006/relationships/customXml" Target="../customXml/item2.xml"/><Relationship Id="rId29" Type="http://schemas.openxmlformats.org/officeDocument/2006/relationships/hyperlink" Target="http://www.gov.uk/government/publications/manual-for-streets" TargetMode="External"/></Relationships>
</file>

<file path=word/_rels/footnotes.xml.rels><?xml version="1.0" encoding="UTF-8" standalone="yes"?>
<Relationships xmlns="http://schemas.openxmlformats.org/package/2006/relationships"><Relationship Id="rId26" Type="http://schemas.openxmlformats.org/officeDocument/2006/relationships/hyperlink" Target="https://www.gov.uk/guidance/design" TargetMode="External"/><Relationship Id="rId117" Type="http://schemas.openxmlformats.org/officeDocument/2006/relationships/hyperlink" Target="http://www.theguardian.com/lifeandstyle/2017/sep/18/cyclist-charlie-alliston-jailed-for-18-months-over-death-of-pedestrian" TargetMode="External"/><Relationship Id="rId21" Type="http://schemas.openxmlformats.org/officeDocument/2006/relationships/hyperlink" Target="https://www.bbc.co.uk/news/uk-33303031" TargetMode="External"/><Relationship Id="rId42" Type="http://schemas.openxmlformats.org/officeDocument/2006/relationships/hyperlink" Target="http://www.leeds.gov.uk/docs/Equality%20and%20Diversity%20Policy%202016.pdf" TargetMode="External"/><Relationship Id="rId47" Type="http://schemas.openxmlformats.org/officeDocument/2006/relationships/hyperlink" Target="http://www.leeds.gov.uk/residents/children-families-and-carers/local-offer/leeds-local-offer/special-educational-needs-disability" TargetMode="External"/><Relationship Id="rId63" Type="http://schemas.openxmlformats.org/officeDocument/2006/relationships/hyperlink" Target="http://www.opforum.org.uk/" TargetMode="External"/><Relationship Id="rId68" Type="http://schemas.openxmlformats.org/officeDocument/2006/relationships/hyperlink" Target="http://www.glasgow.gov.uk/article/17533/Equality-Impact-Assessment-EqIA" TargetMode="External"/><Relationship Id="rId84" Type="http://schemas.openxmlformats.org/officeDocument/2006/relationships/hyperlink" Target="http://gda.scot" TargetMode="External"/><Relationship Id="rId89" Type="http://schemas.openxmlformats.org/officeDocument/2006/relationships/hyperlink" Target="https://assets.publishing.service.gov.uk/government/uploads/system/uploads/attachment_data/file/570382/Equality_Act_2010-disability_definition.pdf" TargetMode="External"/><Relationship Id="rId112" Type="http://schemas.openxmlformats.org/officeDocument/2006/relationships/hyperlink" Target="http://www.edinburghnews.scotsman.com/news/transport/woman-hit-cyclist-pavement-blocked-claiming-damages-586235" TargetMode="External"/><Relationship Id="rId16" Type="http://schemas.openxmlformats.org/officeDocument/2006/relationships/hyperlink" Target="https://www.gov.uk/government/publications/industrial-strategy-building-a-britain-fit-for-the-future" TargetMode="External"/><Relationship Id="rId107" Type="http://schemas.openxmlformats.org/officeDocument/2006/relationships/hyperlink" Target="https://clinicalnegligencebarrister.wordpress.com/2019/06/24/brushett-v-hazeldean-the-facts/" TargetMode="External"/><Relationship Id="rId11" Type="http://schemas.openxmlformats.org/officeDocument/2006/relationships/hyperlink" Target="http://www.gov.uk/government/news/a-national-strategy-for-disabled-people-to-remove-barriers-and-increase-participation" TargetMode="External"/><Relationship Id="rId24" Type="http://schemas.openxmlformats.org/officeDocument/2006/relationships/hyperlink" Target="http://library.college.police.uk/docs/appref/Policing-our-Roads-Together-partners-copy.pdf" TargetMode="External"/><Relationship Id="rId32" Type="http://schemas.openxmlformats.org/officeDocument/2006/relationships/hyperlink" Target="http://www.gov.scot/publications/fairer-scotland-disabled-people-delivery-plan-2021-united-nations-convention/pages/12/" TargetMode="External"/><Relationship Id="rId37" Type="http://schemas.openxmlformats.org/officeDocument/2006/relationships/hyperlink" Target="http://www.transport.gov.scot/publication/scottish-government-s-long-term-vision-for-active-travel-in-scotland/" TargetMode="External"/><Relationship Id="rId40" Type="http://schemas.openxmlformats.org/officeDocument/2006/relationships/hyperlink" Target="http://www.leeds.gov.uk/your-council/plans-and-strategies/council-plans" TargetMode="External"/><Relationship Id="rId45" Type="http://schemas.openxmlformats.org/officeDocument/2006/relationships/hyperlink" Target="http://www.leeds.gov.uk/docs/Access%20and%20Inclusion%20Policy%20V2.pdf" TargetMode="External"/><Relationship Id="rId53" Type="http://schemas.openxmlformats.org/officeDocument/2006/relationships/hyperlink" Target="https://my.leeds.gov.uk/Pages/KnowledgeBase/RoadsAndPavements.aspx" TargetMode="External"/><Relationship Id="rId58" Type="http://schemas.openxmlformats.org/officeDocument/2006/relationships/hyperlink" Target="http://www.leeds.gov.uk/docs/Street%20Design%20Guide%20-%20main%20report.pdf" TargetMode="External"/><Relationship Id="rId66" Type="http://schemas.openxmlformats.org/officeDocument/2006/relationships/hyperlink" Target="https://www.glasgow.gov.uk/CHttpHandler.ashx?id=37295&amp;p=0" TargetMode="External"/><Relationship Id="rId74" Type="http://schemas.openxmlformats.org/officeDocument/2006/relationships/hyperlink" Target="http://www.gosafeglasgow.com/drive-safe/pedestrians" TargetMode="External"/><Relationship Id="rId79" Type="http://schemas.openxmlformats.org/officeDocument/2006/relationships/hyperlink" Target="http://www.glasgow.gov.uk/CHttpHandler.ashx?id=42948&amp;p=0" TargetMode="External"/><Relationship Id="rId87" Type="http://schemas.openxmlformats.org/officeDocument/2006/relationships/hyperlink" Target="https://otbds.org/projects/local-people-linking/" TargetMode="External"/><Relationship Id="rId102" Type="http://schemas.openxmlformats.org/officeDocument/2006/relationships/hyperlink" Target="file:///C:/Users/lawmao/Desktop/%3Cwww.lag.org.uk/article/202707/no-access-to-legal-advice--means-no-access-to-goods-and-services%3E" TargetMode="External"/><Relationship Id="rId110" Type="http://schemas.openxmlformats.org/officeDocument/2006/relationships/hyperlink" Target="http://www.independent.co.uk/news/uk/home-news/london-cyclist-crash-robert-hazeldean-gemma-brushett-london-phone-court-a8972326.html" TargetMode="External"/><Relationship Id="rId115" Type="http://schemas.openxmlformats.org/officeDocument/2006/relationships/hyperlink" Target="http://www.sentencingcouncil.org.uk" TargetMode="External"/><Relationship Id="rId5" Type="http://schemas.openxmlformats.org/officeDocument/2006/relationships/hyperlink" Target="http://www.edf-feph.org/newsroom/news/our-analysis-european-accessibility-act" TargetMode="External"/><Relationship Id="rId61" Type="http://schemas.openxmlformats.org/officeDocument/2006/relationships/hyperlink" Target="https://democracy.leeds.gov.uk/documents/s191712/Appendix%20B%20-%20Proposed%20Pedestrian%20Crossing%20Review%202019.pdf" TargetMode="External"/><Relationship Id="rId82" Type="http://schemas.openxmlformats.org/officeDocument/2006/relationships/hyperlink" Target="http://www.glasgow.gov.uk/corepaths" TargetMode="External"/><Relationship Id="rId90" Type="http://schemas.openxmlformats.org/officeDocument/2006/relationships/hyperlink" Target="http://specialeducationalneedsbarrister.co.uk/disability-discrimination/school-exclusions-and-disability-discrimination/" TargetMode="External"/><Relationship Id="rId95" Type="http://schemas.openxmlformats.org/officeDocument/2006/relationships/hyperlink" Target="file:///C:/Users/djn/Documents/anna/a%20work%20uni/ips%20project/legal%20report/www.equalityhumanrights.com/sites/default/files/quantification-of-claims-guidance.pdf" TargetMode="External"/><Relationship Id="rId19" Type="http://schemas.openxmlformats.org/officeDocument/2006/relationships/hyperlink" Target="http://www.gov.uk/government/publications/local-transport-note-ltn-1-11-shared-space%3e" TargetMode="External"/><Relationship Id="rId14" Type="http://schemas.openxmlformats.org/officeDocument/2006/relationships/hyperlink" Target="http://www.gov.uk/government/collections/future-of-ageing" TargetMode="External"/><Relationship Id="rId22" Type="http://schemas.openxmlformats.org/officeDocument/2006/relationships/hyperlink" Target="http://www.gov.uk/government/publications/dptacs-position-on-shared-space/dptac-position-on-shared-space" TargetMode="External"/><Relationship Id="rId27" Type="http://schemas.openxmlformats.org/officeDocument/2006/relationships/hyperlink" Target="http://www.ciht.org.uk/media/10218/ciht-better-planning-a4_updated_linked_.pdf" TargetMode="External"/><Relationship Id="rId30" Type="http://schemas.openxmlformats.org/officeDocument/2006/relationships/hyperlink" Target="https://www.gov.uk/government/groups/uk-advisory-forum-on-ageing" TargetMode="External"/><Relationship Id="rId35" Type="http://schemas.openxmlformats.org/officeDocument/2006/relationships/hyperlink" Target="https://www.parliament.scot/parliamentarybusiness/Bills/108683.aspx" TargetMode="External"/><Relationship Id="rId43" Type="http://schemas.openxmlformats.org/officeDocument/2006/relationships/hyperlink" Target="http://www.leeds.gov.uk/your-council/equality-and-diversity/equality-improvement-priorities" TargetMode="External"/><Relationship Id="rId48" Type="http://schemas.openxmlformats.org/officeDocument/2006/relationships/hyperlink" Target="https://extranet.who.int/agefriendlyworld/wp-content/uploads/2019/05/AgeFriendlyLeeds-strategy-and-action-plan-2019-2022.pdf" TargetMode="External"/><Relationship Id="rId56" Type="http://schemas.openxmlformats.org/officeDocument/2006/relationships/hyperlink" Target="https://www.leeds.gov.uk/planning/planning-policy/supplementary-planning-documents-and-guidance/adopted-supplementary-planning-documents" TargetMode="External"/><Relationship Id="rId64" Type="http://schemas.openxmlformats.org/officeDocument/2006/relationships/hyperlink" Target="http://ageactionalliance.org/" TargetMode="External"/><Relationship Id="rId69" Type="http://schemas.openxmlformats.org/officeDocument/2006/relationships/hyperlink" Target="https://www.glasgow.gov.uk/CHttpHandler.ashx?id=30586&amp;p=0" TargetMode="External"/><Relationship Id="rId77" Type="http://schemas.openxmlformats.org/officeDocument/2006/relationships/hyperlink" Target="http://www.glasgow.gov.uk/article/19099/Glasgows-new-road-safety-campaign-targets-pedestrians" TargetMode="External"/><Relationship Id="rId100" Type="http://schemas.openxmlformats.org/officeDocument/2006/relationships/hyperlink" Target="http://www.equalityhumanrights.com/en/publication-download/our-litigation-and-enforcement-policy-2019-2022" TargetMode="External"/><Relationship Id="rId105" Type="http://schemas.openxmlformats.org/officeDocument/2006/relationships/hyperlink" Target="http://www.gov.uk/government/publications/ogden-tables-actuarial-compensation-tables-for-injury-and-death" TargetMode="External"/><Relationship Id="rId113" Type="http://schemas.openxmlformats.org/officeDocument/2006/relationships/hyperlink" Target="https://www.islingtongazette.co.uk/news/partially-sighted-woman-shaken-and-injured-after-cyclist-collided-with-her-white-cane-in-highbury-1-6519938" TargetMode="External"/><Relationship Id="rId118" Type="http://schemas.openxmlformats.org/officeDocument/2006/relationships/hyperlink" Target="file:///C:/Users/djn/Documents/anna/a%20work%20uni/ips%20project/legal%20report/%3Cwww.cps.gov.uk/legal-guidance/road-traffic-summary-offences" TargetMode="External"/><Relationship Id="rId8" Type="http://schemas.openxmlformats.org/officeDocument/2006/relationships/hyperlink" Target="https://rm.coe.int/16806fe7d4" TargetMode="External"/><Relationship Id="rId51" Type="http://schemas.openxmlformats.org/officeDocument/2006/relationships/hyperlink" Target="http://www.westyorks-ca.gov.uk/media/2379/transport-strategy-2040.pdf" TargetMode="External"/><Relationship Id="rId72" Type="http://schemas.openxmlformats.org/officeDocument/2006/relationships/hyperlink" Target="http://www.glasgow.gov.uk/schoolcarfreezones" TargetMode="External"/><Relationship Id="rId80" Type="http://schemas.openxmlformats.org/officeDocument/2006/relationships/hyperlink" Target="https://www.glasgowconsult.co.uk/UploadedFiles/110805_Glasgow_Open_Space_Strategy_Final.pdf" TargetMode="External"/><Relationship Id="rId85" Type="http://schemas.openxmlformats.org/officeDocument/2006/relationships/hyperlink" Target="http://www.glasgowaccesspanel.org.uk" TargetMode="External"/><Relationship Id="rId93" Type="http://schemas.openxmlformats.org/officeDocument/2006/relationships/hyperlink" Target="file:///C:/Users/Anna/Documents/erc%20inclusive%20public%20space/legal%20report%20uk/drafts/%3Cwww.equalityhumanrights.com/en/publication-download/access-legal-aid-discrimination-cases%3E" TargetMode="External"/><Relationship Id="rId98" Type="http://schemas.openxmlformats.org/officeDocument/2006/relationships/hyperlink" Target="file:///C:/Users/djn/Documents/anna/a%20work%20uni/ips%20project/legal%20report/%3Cwww.nao.org.uk/wp-content/uploads/2014/11/Implementing-reforms-to-civil-legal-aid1.pdf" TargetMode="External"/><Relationship Id="rId3" Type="http://schemas.openxmlformats.org/officeDocument/2006/relationships/hyperlink" Target="file:///C:/Users/djn/Documents/anna/a%20work%20uni/ips%20project/legal%20report/www.gov.uk/government/publications/implementing-the-sustainable-development-goals/implementing-the-sustainable-development-goals" TargetMode="External"/><Relationship Id="rId12" Type="http://schemas.openxmlformats.org/officeDocument/2006/relationships/hyperlink" Target="http://www.housingcare.org/information/detail-2905-opportunity-age-meeting-the-challenge-of-ageing-in-the-21s.aspx" TargetMode="External"/><Relationship Id="rId17" Type="http://schemas.openxmlformats.org/officeDocument/2006/relationships/hyperlink" Target="http://www.gov.uk/government/publications/manual-for-streets" TargetMode="External"/><Relationship Id="rId25" Type="http://schemas.openxmlformats.org/officeDocument/2006/relationships/hyperlink" Target="http://www.gov.uk/government/publications/national-planning-policy-framework--2" TargetMode="External"/><Relationship Id="rId33" Type="http://schemas.openxmlformats.org/officeDocument/2006/relationships/hyperlink" Target="http://www.gov.scot/publications/fairer-scotland-older-people-framework-action/" TargetMode="External"/><Relationship Id="rId38" Type="http://schemas.openxmlformats.org/officeDocument/2006/relationships/hyperlink" Target="https://www.transport.gov.scot/publication/active-travel-taskforce-delivery-plan/" TargetMode="External"/><Relationship Id="rId46" Type="http://schemas.openxmlformats.org/officeDocument/2006/relationships/hyperlink" Target="http://www.leeds.gov.uk/residents/health-and-social-care/adult-social-care/learning-disability-community-support-service" TargetMode="External"/><Relationship Id="rId59" Type="http://schemas.openxmlformats.org/officeDocument/2006/relationships/hyperlink" Target="https://www.leeds.gov.uk/docs/FPI_DCS_001%20Community%20Safety%20SPD.pdf" TargetMode="External"/><Relationship Id="rId67" Type="http://schemas.openxmlformats.org/officeDocument/2006/relationships/hyperlink" Target="https://www.glasgow.gov.uk/CHttpHandler.ashx?id=45112&amp;p=0" TargetMode="External"/><Relationship Id="rId103" Type="http://schemas.openxmlformats.org/officeDocument/2006/relationships/hyperlink" Target="https://www.acas.org.uk/what-we-do" TargetMode="External"/><Relationship Id="rId108" Type="http://schemas.openxmlformats.org/officeDocument/2006/relationships/hyperlink" Target="https://clinicalnegligencebarrister.wordpress.com/2019/06/24/brushett-v-hazeldean-note-of-judgment/" TargetMode="External"/><Relationship Id="rId116" Type="http://schemas.openxmlformats.org/officeDocument/2006/relationships/hyperlink" Target="http://www.livingstreets.org.uk/get-involved/campaign-with-us/ban-pavement-parking-in-scotland" TargetMode="External"/><Relationship Id="rId20" Type="http://schemas.openxmlformats.org/officeDocument/2006/relationships/hyperlink" Target="http://chrisholmes.co.uk/wp-content/uploads/2015/07/Holmes-Report-on-Shared-Space-.pdf" TargetMode="External"/><Relationship Id="rId41" Type="http://schemas.openxmlformats.org/officeDocument/2006/relationships/hyperlink" Target="http://www.leeds.gov.uk/docs/Best%20council%20plan%20-%20in%20full.pdf" TargetMode="External"/><Relationship Id="rId54" Type="http://schemas.openxmlformats.org/officeDocument/2006/relationships/hyperlink" Target="http://www.leeds.gov.uk/residents/environmental-health/public-spaces-protection-orders-consultation" TargetMode="External"/><Relationship Id="rId62" Type="http://schemas.openxmlformats.org/officeDocument/2006/relationships/hyperlink" Target="https://www.leeds.gov.uk/your-council/equality-and-diversity/equalities-assembly" TargetMode="External"/><Relationship Id="rId70" Type="http://schemas.openxmlformats.org/officeDocument/2006/relationships/hyperlink" Target="http://www.disabledgo.com" TargetMode="External"/><Relationship Id="rId75" Type="http://schemas.openxmlformats.org/officeDocument/2006/relationships/hyperlink" Target="https://www.glasgow.gov.uk/CouncillorsandCommittees/viewSelectedDocument.asp?c=P62AFQUTDXUT0G2U" TargetMode="External"/><Relationship Id="rId83" Type="http://schemas.openxmlformats.org/officeDocument/2006/relationships/hyperlink" Target="http://www.glasgow.gov.uk/CHttpHandler.ashx?id=15298&amp;p=0" TargetMode="External"/><Relationship Id="rId88" Type="http://schemas.openxmlformats.org/officeDocument/2006/relationships/hyperlink" Target="file:///C:/Users/djn/Documents/anna/a%20work%20uni/ips%20project/legal%20report/www.equalityhumanrights.com/sites/default/files/servicescode_0.pdf" TargetMode="External"/><Relationship Id="rId91" Type="http://schemas.openxmlformats.org/officeDocument/2006/relationships/hyperlink" Target="http://www.rnib.org.uk/sites/default/files/WPTT%20Pedestrian%20Crossings%20%20%28Feb%202015%20version%201%29.doc" TargetMode="External"/><Relationship Id="rId96" Type="http://schemas.openxmlformats.org/officeDocument/2006/relationships/hyperlink" Target="http://www.disabilityrightsuk.org/sites/default/files/pdf/firstbusjudgment.pdf" TargetMode="External"/><Relationship Id="rId111" Type="http://schemas.openxmlformats.org/officeDocument/2006/relationships/hyperlink" Target="https://road.cc/content/blog/264304-cycling-and-law-why-cyclist-being-successfully-sued-colliding-pedestrian" TargetMode="External"/><Relationship Id="rId1" Type="http://schemas.openxmlformats.org/officeDocument/2006/relationships/hyperlink" Target="http://www.gov.uk/guidance/guidance-on-devolution" TargetMode="External"/><Relationship Id="rId6" Type="http://schemas.openxmlformats.org/officeDocument/2006/relationships/hyperlink" Target="http://www.bbc.co.uk/news/uk-northern-ireland-46788100" TargetMode="External"/><Relationship Id="rId15" Type="http://schemas.openxmlformats.org/officeDocument/2006/relationships/hyperlink" Target="http://www.gov.uk/government/topical-events/the-uks-industrial-strategy" TargetMode="External"/><Relationship Id="rId23" Type="http://schemas.openxmlformats.org/officeDocument/2006/relationships/hyperlink" Target="https://www.gov.uk/government/consultations/managing-pavement-parking/pavement-parking-options-for-change" TargetMode="External"/><Relationship Id="rId28" Type="http://schemas.openxmlformats.org/officeDocument/2006/relationships/hyperlink" Target="https://www.equalityhumanrights.com/en/who-we-are/disability-advisory-committee" TargetMode="External"/><Relationship Id="rId36" Type="http://schemas.openxmlformats.org/officeDocument/2006/relationships/hyperlink" Target="https://www.transport.gov.scot/our-approach/national-transport-strategy/" TargetMode="External"/><Relationship Id="rId49" Type="http://schemas.openxmlformats.org/officeDocument/2006/relationships/hyperlink" Target="http://www.leeds.gov.uk/childfriendlyleeds/Documents/CMT18-022%20Childrens%20and%20YP%20Plan%2018-23.pdf" TargetMode="External"/><Relationship Id="rId57" Type="http://schemas.openxmlformats.org/officeDocument/2006/relationships/hyperlink" Target="http://www.leeds.gov.uk/docs/Accessible%20Leeds%20SPD.pdf" TargetMode="External"/><Relationship Id="rId106" Type="http://schemas.openxmlformats.org/officeDocument/2006/relationships/hyperlink" Target="file:///C:/Users/djn/Documents/anna/a%20work%20uni/ips%20project/legal%20report/www.highwaysmagazine.co.uk/article/detail/3454" TargetMode="External"/><Relationship Id="rId114" Type="http://schemas.openxmlformats.org/officeDocument/2006/relationships/hyperlink" Target="https://uk.westlaw.com/Link/Document/Blob/I4523DEE0111F11DD9603E7F6FBD67DC6.pdf?imageFileName=934+Attorney-General+v+Wilcox.&amp;targetType=inline&amp;originationContext=document&amp;transitionType=DocumentImage&amp;uniqueId=8636f260-1a3e-4bb8-941c-b880fc2dbe89&amp;contextData=%28sc.DocLink%29&amp;comp=pluk" TargetMode="External"/><Relationship Id="rId119" Type="http://schemas.openxmlformats.org/officeDocument/2006/relationships/hyperlink" Target="https://news.sky.com/story/electric-scooters-criminal-damage-and-traffic-collisions-among-hundreds-of-police-incidents-11790527" TargetMode="External"/><Relationship Id="rId10" Type="http://schemas.openxmlformats.org/officeDocument/2006/relationships/hyperlink" Target="http://www.gov.uk/government/collections/fulfilling-potential-working-together-to-improve-the-lives-of-disabled-people" TargetMode="External"/><Relationship Id="rId31" Type="http://schemas.openxmlformats.org/officeDocument/2006/relationships/hyperlink" Target="https://www.gov.scot/publications/fairer-scotland-action-plan/" TargetMode="External"/><Relationship Id="rId44" Type="http://schemas.openxmlformats.org/officeDocument/2006/relationships/hyperlink" Target="http://www.leeds.gov.uk/docs/Annual%20Report%202019%20online%20version.pdf" TargetMode="External"/><Relationship Id="rId52" Type="http://schemas.openxmlformats.org/officeDocument/2006/relationships/hyperlink" Target="http://www.leeds.gov.uk/parking-roads-and-travel/road-improvement-schemes/connecting-leeds" TargetMode="External"/><Relationship Id="rId60" Type="http://schemas.openxmlformats.org/officeDocument/2006/relationships/hyperlink" Target="http://www.leeds.gov.uk/docs/Adopted%20Travel%20Plan%20SPD%20Jan%202015.pdf" TargetMode="External"/><Relationship Id="rId65" Type="http://schemas.openxmlformats.org/officeDocument/2006/relationships/hyperlink" Target="http://www.invo.org.uk/communities/invodirect-org/leeds-involving-people/" TargetMode="External"/><Relationship Id="rId73" Type="http://schemas.openxmlformats.org/officeDocument/2006/relationships/hyperlink" Target="http://www.gosafeglasgow.com/about-us" TargetMode="External"/><Relationship Id="rId78" Type="http://schemas.openxmlformats.org/officeDocument/2006/relationships/hyperlink" Target="http://www.glasgow.gov.uk/CHttpHandler.ashx?id=40052&amp;p=0" TargetMode="External"/><Relationship Id="rId81" Type="http://schemas.openxmlformats.org/officeDocument/2006/relationships/hyperlink" Target="http://www.glasgow.gov.uk/cdp" TargetMode="External"/><Relationship Id="rId86" Type="http://schemas.openxmlformats.org/officeDocument/2006/relationships/hyperlink" Target="https://otbds.org" TargetMode="External"/><Relationship Id="rId94" Type="http://schemas.openxmlformats.org/officeDocument/2006/relationships/hyperlink" Target="file:///C:/Users/djn/Documents/anna/a%20work%20uni/ips%20project/legal%20report/www.judiciary.uk/publications/employment-rules-and-legislation-practice-directions/" TargetMode="External"/><Relationship Id="rId99" Type="http://schemas.openxmlformats.org/officeDocument/2006/relationships/hyperlink" Target="http://www.equalityadvisoryservice.com/app/about" TargetMode="External"/><Relationship Id="rId101" Type="http://schemas.openxmlformats.org/officeDocument/2006/relationships/hyperlink" Target="https://rm.coe.int/ecri-general-policy-/16808b5a23" TargetMode="External"/><Relationship Id="rId4" Type="http://schemas.openxmlformats.org/officeDocument/2006/relationships/hyperlink" Target="file:///C:/Users/djn/Documents/anna/a%20work%20uni/ips%20project/legal%20report/www.gov.uk/government/publications/uks-voluntary-national-review-of-the-sustainable-development-goals" TargetMode="External"/><Relationship Id="rId9" Type="http://schemas.openxmlformats.org/officeDocument/2006/relationships/hyperlink" Target="file:///C:/Users/djn/Documents/anna/a%20work%20uni/ips%20project/legal%20report/www.coe.int/en/web/turin-european-social-charter" TargetMode="External"/><Relationship Id="rId13" Type="http://schemas.openxmlformats.org/officeDocument/2006/relationships/hyperlink" Target="http://www.gov.uk/government/publications/future-of-an-ageing-population" TargetMode="External"/><Relationship Id="rId18" Type="http://schemas.openxmlformats.org/officeDocument/2006/relationships/hyperlink" Target="http://www.gov.uk/government/publications/manual-for-streets-2" TargetMode="External"/><Relationship Id="rId39" Type="http://schemas.openxmlformats.org/officeDocument/2006/relationships/hyperlink" Target="https://www.gov.scot/publications/designing-streets-policy-statement-scotland/" TargetMode="External"/><Relationship Id="rId109" Type="http://schemas.openxmlformats.org/officeDocument/2006/relationships/hyperlink" Target="http://www.theguardian.com/law/2020/feb/24/cyclist-settles-for-30000-pounds-after-hitting-pedestrian-who-was-looking-at-phone" TargetMode="External"/><Relationship Id="rId34" Type="http://schemas.openxmlformats.org/officeDocument/2006/relationships/hyperlink" Target="https://www.transport.gov.scot/publication/going-further-scotland-s-accessible-travel-framework/" TargetMode="External"/><Relationship Id="rId50" Type="http://schemas.openxmlformats.org/officeDocument/2006/relationships/hyperlink" Target="http://www.leeds.gov.uk/docs/Leeds%20Transport%20Strategy.pdf" TargetMode="External"/><Relationship Id="rId55" Type="http://schemas.openxmlformats.org/officeDocument/2006/relationships/hyperlink" Target="http://www.leeds.gov.uk/planning/planning-policy/adopted-local-plan" TargetMode="External"/><Relationship Id="rId76" Type="http://schemas.openxmlformats.org/officeDocument/2006/relationships/hyperlink" Target="http://www.gosafeglasgow.com/our-work/see-our-seniors" TargetMode="External"/><Relationship Id="rId97" Type="http://schemas.openxmlformats.org/officeDocument/2006/relationships/hyperlink" Target="https://www.reasonableaccess.org.uk/wp-content/uploads/2019/02/1073473-Esther-Leighton-v-Culinaris-UK-Ltd-Approved-Judgment-03.07.18.pdf" TargetMode="External"/><Relationship Id="rId104" Type="http://schemas.openxmlformats.org/officeDocument/2006/relationships/hyperlink" Target="http://www.equalityhumanrights.com/en/advice-and-guidance/judicial-review" TargetMode="External"/><Relationship Id="rId120" Type="http://schemas.openxmlformats.org/officeDocument/2006/relationships/hyperlink" Target="file:///C:/Users/djn/Documents/anna/a%20work%20uni/ips%20project/legal%20report/www.europarl.europa.eu/RegData/etudes/BRIE/2018/625192/EPRS_BRI(2018)625192_EN.pdf" TargetMode="External"/><Relationship Id="rId7" Type="http://schemas.openxmlformats.org/officeDocument/2006/relationships/hyperlink" Target="file:///C:/Users/djn/Documents/anna/a%20work%20uni/ips%20project/legal%20report/www.edf-feph.org/structural-funds" TargetMode="External"/><Relationship Id="rId71" Type="http://schemas.openxmlformats.org/officeDocument/2006/relationships/hyperlink" Target="http://www.glasgow.gov.uk/article/18276/City-Centre-Transport-Strategy" TargetMode="External"/><Relationship Id="rId92" Type="http://schemas.openxmlformats.org/officeDocument/2006/relationships/hyperlink" Target="http://ohrh.law.ox.ac.uk/first-group-v-paulley-towards-accessible-and-inclusive-public-transport" TargetMode="External"/><Relationship Id="rId2" Type="http://schemas.openxmlformats.org/officeDocument/2006/relationships/hyperlink" Target="file:///C:/Users/djn/Documents/anna/a%20work%20uni/ips%20project/legal%20report/www.gov.uk/government/publications/agenda-2030-delivering-the-global-goals" TargetMode="External"/><Relationship Id="rId29" Type="http://schemas.openxmlformats.org/officeDocument/2006/relationships/hyperlink" Target="https://www.gov.uk/government/news/office-for-disability-issues-announces-its-new-regional-stakeholder-networ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600002F7" w:usb1="02000001"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541A1D"/>
    <w:rsid w:val="00541A1D"/>
    <w:rsid w:val="00787055"/>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GB" w:eastAsia="en-GB"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A4597-D135-49A3-B4E5-4853A03BADFC}"/>
</file>

<file path=customXml/itemProps2.xml><?xml version="1.0" encoding="utf-8"?>
<ds:datastoreItem xmlns:ds="http://schemas.openxmlformats.org/officeDocument/2006/customXml" ds:itemID="{E73D6C27-E341-4D02-AE31-92437B5CB42E}">
  <ds:schemaRefs>
    <ds:schemaRef ds:uri="http://schemas.microsoft.com/sharepoint/v3/contenttype/forms"/>
  </ds:schemaRefs>
</ds:datastoreItem>
</file>

<file path=customXml/itemProps3.xml><?xml version="1.0" encoding="utf-8"?>
<ds:datastoreItem xmlns:ds="http://schemas.openxmlformats.org/officeDocument/2006/customXml" ds:itemID="{4657E6CC-72AA-4148-9E4B-D2B8EB2BCE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497D62-E083-481B-B5C0-018A55B7D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59651</Words>
  <Characters>340016</Characters>
  <Application>Microsoft Office Word</Application>
  <DocSecurity>0</DocSecurity>
  <Lines>2833</Lines>
  <Paragraphs>797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Maria Orchard</cp:lastModifiedBy>
  <cp:revision>9</cp:revision>
  <cp:lastPrinted>2024-09-25T11:22:00Z</cp:lastPrinted>
  <dcterms:created xsi:type="dcterms:W3CDTF">2022-01-24T22:21:00Z</dcterms:created>
  <dcterms:modified xsi:type="dcterms:W3CDTF">2024-09-25T11:23:00Z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ies>
</file>