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C8998" w14:textId="20DBF70B" w:rsidR="0094089F" w:rsidRDefault="0094089F" w:rsidP="00F9312C">
      <w:pPr>
        <w:pStyle w:val="Title"/>
        <w:spacing w:line="360" w:lineRule="auto"/>
      </w:pPr>
    </w:p>
    <w:p w14:paraId="31A13704" w14:textId="77777777" w:rsidR="00867F93" w:rsidRPr="00867F93" w:rsidRDefault="00867F93" w:rsidP="00F9312C">
      <w:pPr>
        <w:spacing w:line="360" w:lineRule="auto"/>
      </w:pPr>
    </w:p>
    <w:p w14:paraId="6B9EB70A" w14:textId="42E0E136" w:rsidR="000044C9" w:rsidRDefault="000044C9" w:rsidP="00F9312C">
      <w:pPr>
        <w:spacing w:line="360" w:lineRule="auto"/>
      </w:pPr>
    </w:p>
    <w:p w14:paraId="482CA1B8" w14:textId="21BB5F1E" w:rsidR="000044C9" w:rsidRDefault="000044C9" w:rsidP="00F9312C">
      <w:pPr>
        <w:spacing w:line="360" w:lineRule="auto"/>
      </w:pPr>
    </w:p>
    <w:p w14:paraId="2C3CD79E" w14:textId="77777777" w:rsidR="00192153" w:rsidRPr="000044C9" w:rsidRDefault="00192153" w:rsidP="00F9312C">
      <w:pPr>
        <w:spacing w:line="360" w:lineRule="auto"/>
      </w:pPr>
    </w:p>
    <w:p w14:paraId="093DD28A" w14:textId="6B041F2A" w:rsidR="005F0C1F" w:rsidRDefault="005F0C1F" w:rsidP="00F9312C">
      <w:pPr>
        <w:pStyle w:val="Title"/>
        <w:spacing w:line="360" w:lineRule="auto"/>
      </w:pPr>
      <w:r>
        <w:t>Inclusive Public Space:</w:t>
      </w:r>
    </w:p>
    <w:p w14:paraId="23C2A35E" w14:textId="77777777" w:rsidR="005F0C1F" w:rsidRDefault="005F0C1F" w:rsidP="00F9312C">
      <w:pPr>
        <w:pStyle w:val="Title"/>
        <w:spacing w:line="360" w:lineRule="auto"/>
      </w:pPr>
      <w:r>
        <w:t>Law, Universality and Difference in the Accessibility of Streets</w:t>
      </w:r>
    </w:p>
    <w:p w14:paraId="7D021F91" w14:textId="77777777" w:rsidR="005F0C1F" w:rsidRDefault="005F0C1F" w:rsidP="00F9312C">
      <w:pPr>
        <w:spacing w:line="360" w:lineRule="auto"/>
      </w:pPr>
    </w:p>
    <w:p w14:paraId="5581F662" w14:textId="18D24E08" w:rsidR="005F0C1F" w:rsidRDefault="005F0C1F" w:rsidP="00F9312C">
      <w:pPr>
        <w:pStyle w:val="Title"/>
        <w:spacing w:line="360" w:lineRule="auto"/>
      </w:pPr>
      <w:r w:rsidRPr="00113BF7">
        <w:t>Legal Report</w:t>
      </w:r>
    </w:p>
    <w:p w14:paraId="57085688" w14:textId="77777777" w:rsidR="00F46A7D" w:rsidRPr="00F46A7D" w:rsidRDefault="00F46A7D" w:rsidP="00F9312C">
      <w:pPr>
        <w:spacing w:line="360" w:lineRule="auto"/>
      </w:pPr>
    </w:p>
    <w:p w14:paraId="75D5FF6A" w14:textId="77777777" w:rsidR="005F0C1F" w:rsidRDefault="005F0C1F" w:rsidP="00F9312C">
      <w:pPr>
        <w:spacing w:line="360" w:lineRule="auto"/>
      </w:pPr>
    </w:p>
    <w:p w14:paraId="2DB48257" w14:textId="52E08D30" w:rsidR="005F0C1F" w:rsidRDefault="005F0C1F" w:rsidP="00F9312C">
      <w:pPr>
        <w:spacing w:line="360" w:lineRule="auto"/>
      </w:pPr>
      <w:r>
        <w:t>Name of country:</w:t>
      </w:r>
      <w:r w:rsidR="00E94271">
        <w:tab/>
        <w:t>The Netherlands</w:t>
      </w:r>
    </w:p>
    <w:p w14:paraId="00F90EC3" w14:textId="0A6609EC" w:rsidR="005F0C1F" w:rsidRDefault="00EE37DF" w:rsidP="00F9312C">
      <w:pPr>
        <w:spacing w:line="360" w:lineRule="auto"/>
      </w:pPr>
      <w:r>
        <w:t>Names of author</w:t>
      </w:r>
      <w:r w:rsidR="005F0C1F">
        <w:t>s:</w:t>
      </w:r>
      <w:r w:rsidR="00E94271">
        <w:tab/>
        <w:t>Dick Houtzager</w:t>
      </w:r>
      <w:r w:rsidR="006A3FA3">
        <w:t>, LLM</w:t>
      </w:r>
    </w:p>
    <w:p w14:paraId="6DB8096E" w14:textId="3C309B66" w:rsidR="005F0C1F" w:rsidRDefault="00EE37DF" w:rsidP="00F9312C">
      <w:pPr>
        <w:spacing w:line="360" w:lineRule="auto"/>
      </w:pPr>
      <w:r>
        <w:t>Contact email addresses for author</w:t>
      </w:r>
      <w:r w:rsidR="005F0C1F">
        <w:t>s:</w:t>
      </w:r>
      <w:r w:rsidR="00E00F46">
        <w:t xml:space="preserve"> </w:t>
      </w:r>
      <w:hyperlink r:id="rId11" w:history="1">
        <w:r w:rsidR="00043F52" w:rsidRPr="00E07D6A">
          <w:rPr>
            <w:rStyle w:val="Hyperlink"/>
            <w:rFonts w:cstheme="minorBidi"/>
          </w:rPr>
          <w:t>dick.houtzager@gmail.com</w:t>
        </w:r>
      </w:hyperlink>
    </w:p>
    <w:p w14:paraId="1EF6F991" w14:textId="7DC9C2D1" w:rsidR="00043F52" w:rsidRDefault="00043F52" w:rsidP="00F9312C">
      <w:pPr>
        <w:spacing w:line="360" w:lineRule="auto"/>
      </w:pPr>
      <w:r>
        <w:t>Last updated: July 2020</w:t>
      </w:r>
    </w:p>
    <w:p w14:paraId="484EC2D0" w14:textId="29158294" w:rsidR="00F9312C" w:rsidRDefault="00F9312C" w:rsidP="00F9312C">
      <w:pPr>
        <w:spacing w:line="360" w:lineRule="auto"/>
      </w:pPr>
      <w:r>
        <w:br w:type="page"/>
      </w:r>
    </w:p>
    <w:p w14:paraId="393F2E33" w14:textId="77777777" w:rsidR="005F0C1F" w:rsidRDefault="005F0C1F" w:rsidP="00F9312C">
      <w:pPr>
        <w:spacing w:line="360" w:lineRule="auto"/>
      </w:pPr>
    </w:p>
    <w:p w14:paraId="139EF989" w14:textId="0094B2AB" w:rsidR="005F0C1F" w:rsidRDefault="005F0C1F" w:rsidP="00F9312C">
      <w:pPr>
        <w:pStyle w:val="Heading1"/>
        <w:spacing w:line="360" w:lineRule="auto"/>
      </w:pPr>
      <w:r>
        <w:t>A</w:t>
      </w:r>
      <w:r w:rsidRPr="00113BF7">
        <w:t xml:space="preserve"> Context</w:t>
      </w:r>
    </w:p>
    <w:p w14:paraId="2C3E8559" w14:textId="7C250CB1" w:rsidR="007A42F7" w:rsidRDefault="005F0C1F" w:rsidP="00F9312C">
      <w:pPr>
        <w:pStyle w:val="Heading2"/>
        <w:spacing w:line="360" w:lineRule="auto"/>
      </w:pPr>
      <w:r w:rsidRPr="007A42F7">
        <w:t>A1</w:t>
      </w:r>
      <w:r w:rsidR="00E614DE" w:rsidRPr="007A42F7">
        <w:t xml:space="preserve"> </w:t>
      </w:r>
      <w:r w:rsidR="00EE37DF" w:rsidRPr="007A42F7">
        <w:t>Constitutional and Legal System</w:t>
      </w:r>
    </w:p>
    <w:p w14:paraId="3464CBBA" w14:textId="77777777" w:rsidR="00F9312C" w:rsidRPr="00F9312C" w:rsidRDefault="00F9312C" w:rsidP="00F9312C">
      <w:pPr>
        <w:rPr>
          <w:lang w:bidi="en-US"/>
        </w:rPr>
      </w:pPr>
    </w:p>
    <w:p w14:paraId="575FA622" w14:textId="4C796B1D" w:rsidR="002C4AB6" w:rsidRPr="00F9312C" w:rsidRDefault="002C4AB6" w:rsidP="00F9312C">
      <w:pPr>
        <w:pStyle w:val="Heading3"/>
        <w:spacing w:line="360" w:lineRule="auto"/>
        <w:rPr>
          <w:b/>
          <w:bCs w:val="0"/>
        </w:rPr>
      </w:pPr>
      <w:r w:rsidRPr="009D796E">
        <w:rPr>
          <w:b/>
          <w:bCs w:val="0"/>
        </w:rPr>
        <w:t xml:space="preserve">A1.1 </w:t>
      </w:r>
      <w:proofErr w:type="gramStart"/>
      <w:r w:rsidRPr="009D796E">
        <w:rPr>
          <w:b/>
          <w:bCs w:val="0"/>
        </w:rPr>
        <w:t>The</w:t>
      </w:r>
      <w:proofErr w:type="gramEnd"/>
      <w:r w:rsidRPr="009D796E">
        <w:rPr>
          <w:b/>
          <w:bCs w:val="0"/>
        </w:rPr>
        <w:t xml:space="preserve"> Dutch constitutional system</w:t>
      </w:r>
    </w:p>
    <w:p w14:paraId="47E9C5EC" w14:textId="77777777" w:rsidR="00F9312C" w:rsidRDefault="00F9312C" w:rsidP="00F9312C">
      <w:pPr>
        <w:spacing w:line="360" w:lineRule="auto"/>
      </w:pPr>
    </w:p>
    <w:p w14:paraId="2EC46B9A" w14:textId="03329E26" w:rsidR="002C4AB6" w:rsidRDefault="002C4AB6" w:rsidP="00F9312C">
      <w:pPr>
        <w:spacing w:line="360" w:lineRule="auto"/>
      </w:pPr>
      <w:r>
        <w:t xml:space="preserve">For an understanding of the legal </w:t>
      </w:r>
      <w:r w:rsidR="00D63E74">
        <w:t>framework</w:t>
      </w:r>
      <w:r>
        <w:t xml:space="preserve"> of the Netherlands, a description of the cons</w:t>
      </w:r>
      <w:r w:rsidR="00F9312C">
        <w:t xml:space="preserve">titutional system is provided. </w:t>
      </w:r>
    </w:p>
    <w:p w14:paraId="4060AD17" w14:textId="46DE5AF8" w:rsidR="002C4AB6" w:rsidRDefault="002C4AB6" w:rsidP="00F9312C">
      <w:pPr>
        <w:spacing w:line="360" w:lineRule="auto"/>
      </w:pPr>
      <w:r>
        <w:t xml:space="preserve">The Netherlands </w:t>
      </w:r>
      <w:r w:rsidR="006A5BFD">
        <w:t>is</w:t>
      </w:r>
      <w:r>
        <w:t xml:space="preserve"> a constitutional monarchy, with King Willem Alexander as the head of state. The king’s position is defined by the Constitution.</w:t>
      </w:r>
      <w:r>
        <w:rPr>
          <w:rStyle w:val="FootnoteReference"/>
        </w:rPr>
        <w:footnoteReference w:id="2"/>
      </w:r>
      <w:r>
        <w:t xml:space="preserve"> Although the king is part of the government, he bears no responsibility for his acts. Ministers are responsible and as a consequence, they have the authority to take decisions in their area of policy.</w:t>
      </w:r>
    </w:p>
    <w:p w14:paraId="59A3C3F0" w14:textId="1C3DE89D" w:rsidR="002C4AB6" w:rsidRDefault="002C4AB6" w:rsidP="00F9312C">
      <w:pPr>
        <w:spacing w:line="360" w:lineRule="auto"/>
      </w:pPr>
      <w:r>
        <w:t xml:space="preserve">The </w:t>
      </w:r>
      <w:proofErr w:type="spellStart"/>
      <w:r w:rsidRPr="00D578F1">
        <w:rPr>
          <w:i/>
        </w:rPr>
        <w:t>trias</w:t>
      </w:r>
      <w:proofErr w:type="spellEnd"/>
      <w:r w:rsidRPr="00D578F1">
        <w:rPr>
          <w:i/>
        </w:rPr>
        <w:t xml:space="preserve"> </w:t>
      </w:r>
      <w:proofErr w:type="spellStart"/>
      <w:r w:rsidRPr="00D578F1">
        <w:rPr>
          <w:i/>
        </w:rPr>
        <w:t>politica</w:t>
      </w:r>
      <w:proofErr w:type="spellEnd"/>
      <w:r>
        <w:t xml:space="preserve"> in the Netherlands is formed by the government, the </w:t>
      </w:r>
      <w:proofErr w:type="spellStart"/>
      <w:r>
        <w:t>States</w:t>
      </w:r>
      <w:proofErr w:type="spellEnd"/>
      <w:r>
        <w:t xml:space="preserve"> General and the court system. The government prepares and carries out policy on national and international issues and proposes legislation. The States General (or Parliament), consists of two chambers with elected representatives. The Second Chamber of the </w:t>
      </w:r>
      <w:proofErr w:type="spellStart"/>
      <w:r>
        <w:t>States</w:t>
      </w:r>
      <w:proofErr w:type="spellEnd"/>
      <w:r>
        <w:t xml:space="preserve"> General oversees policies and legislation in first instance and is the more political part of the </w:t>
      </w:r>
      <w:proofErr w:type="spellStart"/>
      <w:r>
        <w:t>States</w:t>
      </w:r>
      <w:proofErr w:type="spellEnd"/>
      <w:r>
        <w:t xml:space="preserve"> General. The First Chamber of the </w:t>
      </w:r>
      <w:proofErr w:type="spellStart"/>
      <w:r>
        <w:t>States</w:t>
      </w:r>
      <w:proofErr w:type="spellEnd"/>
      <w:r>
        <w:t xml:space="preserve"> General, the Senate, has a more reflective role in law making. It </w:t>
      </w:r>
      <w:r w:rsidR="00D63E74">
        <w:t>discusses and</w:t>
      </w:r>
      <w:r>
        <w:t xml:space="preserve"> approve</w:t>
      </w:r>
      <w:r w:rsidR="00D63E74">
        <w:t>s</w:t>
      </w:r>
      <w:r w:rsidR="00073051">
        <w:t xml:space="preserve"> or rejects</w:t>
      </w:r>
      <w:r>
        <w:t xml:space="preserve"> the bills passed by the Second Chamber.</w:t>
      </w:r>
    </w:p>
    <w:p w14:paraId="7AA0BDC1" w14:textId="77777777" w:rsidR="002C4AB6" w:rsidRDefault="002C4AB6" w:rsidP="00F9312C">
      <w:pPr>
        <w:spacing w:line="360" w:lineRule="auto"/>
      </w:pPr>
      <w:r>
        <w:t xml:space="preserve">The courts, the third pillar of the </w:t>
      </w:r>
      <w:proofErr w:type="spellStart"/>
      <w:r w:rsidRPr="00C32D32">
        <w:rPr>
          <w:i/>
        </w:rPr>
        <w:t>trias</w:t>
      </w:r>
      <w:proofErr w:type="spellEnd"/>
      <w:r w:rsidRPr="00C32D32">
        <w:rPr>
          <w:i/>
        </w:rPr>
        <w:t xml:space="preserve"> </w:t>
      </w:r>
      <w:proofErr w:type="spellStart"/>
      <w:r w:rsidRPr="00C32D32">
        <w:rPr>
          <w:i/>
        </w:rPr>
        <w:t>politica</w:t>
      </w:r>
      <w:proofErr w:type="spellEnd"/>
      <w:r>
        <w:t xml:space="preserve">, adjudicate cases. </w:t>
      </w:r>
    </w:p>
    <w:p w14:paraId="039C80B7" w14:textId="74F61E72" w:rsidR="002C4AB6" w:rsidRDefault="002C4AB6" w:rsidP="00F9312C">
      <w:pPr>
        <w:spacing w:line="360" w:lineRule="auto"/>
      </w:pPr>
      <w:r>
        <w:t>A particular feature of the Dutch constitutional order is that courts cannot review primary legislation on compatibility with the Constitution.</w:t>
      </w:r>
      <w:r>
        <w:rPr>
          <w:rStyle w:val="FootnoteReference"/>
        </w:rPr>
        <w:footnoteReference w:id="3"/>
      </w:r>
      <w:r>
        <w:t xml:space="preserve"> A constitutional court does not exist. In the various stages of enacting laws, compatibility with the constitution is tested and checked by the government, by the Advisory Department of the Council of State</w:t>
      </w:r>
      <w:r>
        <w:rPr>
          <w:rStyle w:val="FootnoteReference"/>
        </w:rPr>
        <w:footnoteReference w:id="4"/>
      </w:r>
      <w:r>
        <w:t xml:space="preserve"> and by parliament.</w:t>
      </w:r>
      <w:r w:rsidR="00872333">
        <w:t xml:space="preserve"> </w:t>
      </w:r>
    </w:p>
    <w:p w14:paraId="4CCDD68A" w14:textId="3E92114D" w:rsidR="002C4AB6" w:rsidRDefault="002C4AB6" w:rsidP="00F9312C">
      <w:pPr>
        <w:spacing w:line="360" w:lineRule="auto"/>
      </w:pPr>
      <w:r>
        <w:t xml:space="preserve">The Netherlands have a </w:t>
      </w:r>
      <w:r>
        <w:rPr>
          <w:rStyle w:val="highlight"/>
        </w:rPr>
        <w:t>monist</w:t>
      </w:r>
      <w:r>
        <w:t xml:space="preserve"> legal system in the sense that international law forms part of the national legal order from the moment that the relevant rule or provision becomes binding on the Kingdom. Before the ratification of an international treaty, the government will review existing laws and where necessary, amend these so </w:t>
      </w:r>
      <w:r w:rsidR="00073051">
        <w:t xml:space="preserve">as to </w:t>
      </w:r>
      <w:r>
        <w:t xml:space="preserve">make the legislation in conformity </w:t>
      </w:r>
      <w:r>
        <w:lastRenderedPageBreak/>
        <w:t xml:space="preserve">with the treaty norms. It is then for the courts to decide whether a specific treaty provision is fully implemented in the amended law, or that the norm is not properly transposed in national law. In those circumstances, the </w:t>
      </w:r>
      <w:r w:rsidR="00073051">
        <w:t xml:space="preserve">court has to decide </w:t>
      </w:r>
      <w:r>
        <w:t xml:space="preserve">whether the particular provision in an international treaty is directly applicable in the Dutch legal order. </w:t>
      </w:r>
    </w:p>
    <w:p w14:paraId="0FAE9737" w14:textId="77E4E8C1" w:rsidR="00B84997" w:rsidRDefault="002C4AB6" w:rsidP="00F9312C">
      <w:pPr>
        <w:spacing w:line="360" w:lineRule="auto"/>
        <w:rPr>
          <w:rFonts w:cs="Arial"/>
          <w:b/>
          <w:bCs/>
          <w:color w:val="000000"/>
          <w:szCs w:val="24"/>
        </w:rPr>
      </w:pPr>
      <w:r>
        <w:t>In general, directly effective self-executing provisions of treaties prevail over national legal provisions. That is the basic notion in articles 93 and 94 of the Constitution</w:t>
      </w:r>
      <w:r w:rsidR="00C44F11">
        <w:t>.</w:t>
      </w:r>
      <w:r w:rsidR="00C44F11">
        <w:rPr>
          <w:rStyle w:val="FootnoteReference"/>
        </w:rPr>
        <w:footnoteReference w:id="5"/>
      </w:r>
    </w:p>
    <w:p w14:paraId="7785AA58" w14:textId="77777777" w:rsidR="002C4AB6" w:rsidRDefault="002C4AB6" w:rsidP="00F9312C">
      <w:pPr>
        <w:spacing w:line="360" w:lineRule="auto"/>
      </w:pPr>
      <w:r>
        <w:t>This implies that provisions of international treaties are substantially of a constitutional nature as they function as superior constitutional provisions in the Netherlands.</w:t>
      </w:r>
      <w:r w:rsidRPr="009762A9">
        <w:t xml:space="preserve"> </w:t>
      </w:r>
      <w:r>
        <w:t>Because courts have to give priority to these provisions over conflicting norms, the constitutional importance of these treaties is substantial.</w:t>
      </w:r>
      <w:r>
        <w:rPr>
          <w:rStyle w:val="FootnoteReference"/>
        </w:rPr>
        <w:footnoteReference w:id="6"/>
      </w:r>
      <w:r>
        <w:t xml:space="preserve"> </w:t>
      </w:r>
    </w:p>
    <w:p w14:paraId="5DE4E9B4" w14:textId="2A7D276A" w:rsidR="002C4AB6" w:rsidRDefault="002C4AB6" w:rsidP="00F9312C">
      <w:pPr>
        <w:spacing w:line="360" w:lineRule="auto"/>
      </w:pPr>
      <w:r>
        <w:t>The issue of directly effective self-executing provisions of treaties has been subject of case law. In the ‘</w:t>
      </w:r>
      <w:r w:rsidRPr="00C27A9F">
        <w:rPr>
          <w:i/>
        </w:rPr>
        <w:t>Right</w:t>
      </w:r>
      <w:r w:rsidR="006C64C8">
        <w:rPr>
          <w:i/>
        </w:rPr>
        <w:t>-</w:t>
      </w:r>
      <w:r w:rsidRPr="00C27A9F">
        <w:rPr>
          <w:i/>
        </w:rPr>
        <w:t>to</w:t>
      </w:r>
      <w:r w:rsidR="006C64C8">
        <w:rPr>
          <w:i/>
        </w:rPr>
        <w:t>-</w:t>
      </w:r>
      <w:r w:rsidRPr="00C27A9F">
        <w:rPr>
          <w:i/>
        </w:rPr>
        <w:t>strike</w:t>
      </w:r>
      <w:r>
        <w:t>’ judgment of 1986, the Supreme Court of the Netherlands first ruled on the question whether a treaty provision is directly effective and self-executing.</w:t>
      </w:r>
      <w:r>
        <w:rPr>
          <w:rStyle w:val="FootnoteReference"/>
        </w:rPr>
        <w:footnoteReference w:id="7"/>
      </w:r>
      <w:r>
        <w:t xml:space="preserve"> The guidelines </w:t>
      </w:r>
      <w:r w:rsidR="00430B31">
        <w:t>that</w:t>
      </w:r>
      <w:r>
        <w:t xml:space="preserve"> can be derived from the judgment were extended in the ‘</w:t>
      </w:r>
      <w:r w:rsidRPr="00C27A9F">
        <w:rPr>
          <w:i/>
        </w:rPr>
        <w:t>Tobacco</w:t>
      </w:r>
      <w:r w:rsidR="006C64C8">
        <w:rPr>
          <w:i/>
        </w:rPr>
        <w:t>-</w:t>
      </w:r>
      <w:r w:rsidRPr="00C27A9F">
        <w:rPr>
          <w:i/>
        </w:rPr>
        <w:t>ban</w:t>
      </w:r>
      <w:r>
        <w:t xml:space="preserve">’ judgment (2014). </w:t>
      </w:r>
      <w:r w:rsidR="00430B31">
        <w:t>In the judgment, t</w:t>
      </w:r>
      <w:r>
        <w:t>he Supreme Court stated: “</w:t>
      </w:r>
      <w:r w:rsidRPr="001A6F3F">
        <w:t>If neither the text nor the history of its for</w:t>
      </w:r>
      <w:r>
        <w:t>mation makes it clear that the t</w:t>
      </w:r>
      <w:r w:rsidRPr="001A6F3F">
        <w:t>reaty provision is not intended to have direct effect, the content of that provision is decisive. The question is whether it is unconditional and sufficiently precise to be applied as an objective right in the national legal order</w:t>
      </w:r>
      <w:r>
        <w:t>.”</w:t>
      </w:r>
      <w:r>
        <w:rPr>
          <w:rStyle w:val="FootnoteReference"/>
        </w:rPr>
        <w:footnoteReference w:id="8"/>
      </w:r>
      <w:r w:rsidR="00430B31">
        <w:t xml:space="preserve"> This judgment has since served as a point of reference for lower courts.</w:t>
      </w:r>
    </w:p>
    <w:p w14:paraId="31E6826C" w14:textId="77777777" w:rsidR="002C4AB6" w:rsidRDefault="002C4AB6" w:rsidP="00F9312C">
      <w:pPr>
        <w:spacing w:line="360" w:lineRule="auto"/>
      </w:pPr>
    </w:p>
    <w:p w14:paraId="1AF9C355" w14:textId="5D98639D" w:rsidR="002C4AB6" w:rsidRDefault="002C4AB6" w:rsidP="00F9312C">
      <w:pPr>
        <w:spacing w:line="360" w:lineRule="auto"/>
      </w:pPr>
      <w:r>
        <w:t>Th</w:t>
      </w:r>
      <w:r w:rsidR="00430B31">
        <w:t>e</w:t>
      </w:r>
      <w:r>
        <w:t xml:space="preserve"> approach is leading for courts when applying international norms such as the European </w:t>
      </w:r>
      <w:r w:rsidRPr="00DC1317">
        <w:rPr>
          <w:rFonts w:eastAsia="Times New Roman" w:cs="Arial"/>
          <w:szCs w:val="24"/>
          <w:lang w:eastAsia="nl-NL"/>
        </w:rPr>
        <w:t>Convention for the Protection of Human Rights and Fundamental Freedoms (</w:t>
      </w:r>
      <w:r>
        <w:t xml:space="preserve">ECHR) and the International Convention on the Rights of Persons with Disabilities (UNCRPD). As far as the ECHR is concerned, the Supreme Court’s explanation also applies to positive obligations. An illustration can be found in the </w:t>
      </w:r>
      <w:r w:rsidR="00430B31">
        <w:t>‘</w:t>
      </w:r>
      <w:proofErr w:type="spellStart"/>
      <w:r w:rsidRPr="003D6099">
        <w:rPr>
          <w:i/>
        </w:rPr>
        <w:t>Urgenda</w:t>
      </w:r>
      <w:proofErr w:type="spellEnd"/>
      <w:r w:rsidR="00430B31">
        <w:rPr>
          <w:i/>
        </w:rPr>
        <w:t>’</w:t>
      </w:r>
      <w:r>
        <w:t xml:space="preserve"> case, where the Supreme Court decided that the State is under a legal obligation to apply climate change norms as stipulated in international treaties.</w:t>
      </w:r>
      <w:r>
        <w:rPr>
          <w:rStyle w:val="FootnoteReference"/>
        </w:rPr>
        <w:footnoteReference w:id="9"/>
      </w:r>
      <w:r>
        <w:t xml:space="preserve"> The application of direct effect of the UNCRPD will be discussed below.</w:t>
      </w:r>
    </w:p>
    <w:p w14:paraId="7E2C3C6B" w14:textId="61583297" w:rsidR="00293BB6" w:rsidRDefault="002C4AB6" w:rsidP="00F9312C">
      <w:pPr>
        <w:spacing w:line="360" w:lineRule="auto"/>
      </w:pPr>
      <w:r>
        <w:t xml:space="preserve">A specific position </w:t>
      </w:r>
      <w:r w:rsidR="00776D7B">
        <w:t xml:space="preserve">applies to </w:t>
      </w:r>
      <w:r>
        <w:t xml:space="preserve">legislation of the European Union. The applicability of these international norms in the Netherlands is not constructed through the application of articles 93 and 94 of the Constitution. The European Union legal order has become an integral part of the national constitutional and legal system. In consistent case law, starting with the landmark judgment </w:t>
      </w:r>
      <w:r w:rsidRPr="004A02A4">
        <w:rPr>
          <w:i/>
        </w:rPr>
        <w:t xml:space="preserve">Van </w:t>
      </w:r>
      <w:proofErr w:type="spellStart"/>
      <w:r w:rsidRPr="004A02A4">
        <w:rPr>
          <w:i/>
        </w:rPr>
        <w:t>Gend</w:t>
      </w:r>
      <w:proofErr w:type="spellEnd"/>
      <w:r w:rsidRPr="004A02A4">
        <w:rPr>
          <w:i/>
        </w:rPr>
        <w:t xml:space="preserve"> &amp; Loos</w:t>
      </w:r>
      <w:r>
        <w:rPr>
          <w:i/>
        </w:rPr>
        <w:t xml:space="preserve"> </w:t>
      </w:r>
      <w:r>
        <w:t>in 1963, the (then) European Court of Justice has ruled that “t</w:t>
      </w:r>
      <w:r w:rsidRPr="00EC50BE">
        <w:rPr>
          <w:rStyle w:val="Emphasis"/>
          <w:i w:val="0"/>
        </w:rPr>
        <w:t>he</w:t>
      </w:r>
      <w:r>
        <w:rPr>
          <w:rStyle w:val="Emphasis"/>
          <w:i w:val="0"/>
        </w:rPr>
        <w:t xml:space="preserve"> European</w:t>
      </w:r>
      <w:r w:rsidRPr="00EC50BE">
        <w:rPr>
          <w:rStyle w:val="Emphasis"/>
          <w:i w:val="0"/>
        </w:rPr>
        <w:t xml:space="preserve"> community constitutes a new legal order of international law for the benefit of which the states have limited their sovereign rights,</w:t>
      </w:r>
      <w:r>
        <w:rPr>
          <w:rStyle w:val="Emphasis"/>
        </w:rPr>
        <w:t xml:space="preserve"> </w:t>
      </w:r>
      <w:r>
        <w:t>is part of a supranational nature and applies directly in Member States.”</w:t>
      </w:r>
      <w:r>
        <w:rPr>
          <w:rStyle w:val="FootnoteReference"/>
        </w:rPr>
        <w:footnoteReference w:id="10"/>
      </w:r>
      <w:r>
        <w:t xml:space="preserve"> Therefore, European Union law is directly applicable in the Netherlands.</w:t>
      </w:r>
    </w:p>
    <w:p w14:paraId="44CA9BF5" w14:textId="77777777" w:rsidR="00293BB6" w:rsidRDefault="00293BB6" w:rsidP="00F9312C">
      <w:pPr>
        <w:spacing w:line="360" w:lineRule="auto"/>
      </w:pPr>
    </w:p>
    <w:p w14:paraId="14F728CC" w14:textId="77777777" w:rsidR="00293BB6" w:rsidRPr="00BC58AD" w:rsidRDefault="00293BB6" w:rsidP="00F9312C">
      <w:pPr>
        <w:spacing w:line="360" w:lineRule="auto"/>
        <w:rPr>
          <w:i/>
          <w:iCs/>
        </w:rPr>
      </w:pPr>
      <w:r w:rsidRPr="00BC58AD">
        <w:rPr>
          <w:i/>
          <w:iCs/>
        </w:rPr>
        <w:t xml:space="preserve">Constitutional non-discrimination clause </w:t>
      </w:r>
    </w:p>
    <w:p w14:paraId="4A317DEB" w14:textId="10C85C03" w:rsidR="002C4AB6" w:rsidRDefault="00293BB6" w:rsidP="00F9312C">
      <w:pPr>
        <w:spacing w:line="360" w:lineRule="auto"/>
      </w:pPr>
      <w:r>
        <w:t xml:space="preserve">The first article of the </w:t>
      </w:r>
      <w:r w:rsidR="007236B2">
        <w:t xml:space="preserve">Dutch </w:t>
      </w:r>
      <w:r>
        <w:t xml:space="preserve">constitution </w:t>
      </w:r>
      <w:r w:rsidR="006A5BFD">
        <w:t>is</w:t>
      </w:r>
      <w:r>
        <w:t xml:space="preserve"> a non-discrimination clause: ‘All persons in the Netherlands shall be treated equally in equal circumstances. Discrimination on the grounds of religion, belief, political opinion, race or sex or on any other grounds whatsoever shall not be permitted.’</w:t>
      </w:r>
      <w:r w:rsidR="00867F93">
        <w:rPr>
          <w:rStyle w:val="FootnoteReference"/>
        </w:rPr>
        <w:footnoteReference w:id="11"/>
      </w:r>
      <w:r>
        <w:t xml:space="preserve"> </w:t>
      </w:r>
      <w:r w:rsidR="002C4AB6">
        <w:t xml:space="preserve"> </w:t>
      </w:r>
    </w:p>
    <w:p w14:paraId="0E87F414" w14:textId="06FDC260" w:rsidR="00077245" w:rsidRDefault="00293BB6" w:rsidP="00F9312C">
      <w:pPr>
        <w:spacing w:line="360" w:lineRule="auto"/>
      </w:pPr>
      <w:r>
        <w:t>Th</w:t>
      </w:r>
      <w:r w:rsidR="007236B2">
        <w:t>is</w:t>
      </w:r>
      <w:r w:rsidRPr="00293BB6">
        <w:t xml:space="preserve"> </w:t>
      </w:r>
      <w:r>
        <w:t xml:space="preserve">equality </w:t>
      </w:r>
      <w:r w:rsidRPr="00293BB6">
        <w:t xml:space="preserve">principle </w:t>
      </w:r>
      <w:r w:rsidR="00BC58AD">
        <w:t>requires</w:t>
      </w:r>
      <w:r w:rsidRPr="00293BB6">
        <w:t xml:space="preserve"> legislators, administrators and judges </w:t>
      </w:r>
      <w:r w:rsidR="00BC58AD">
        <w:t xml:space="preserve">to </w:t>
      </w:r>
      <w:r w:rsidRPr="00293BB6">
        <w:t xml:space="preserve">treat people </w:t>
      </w:r>
      <w:r w:rsidR="00BC58AD">
        <w:t xml:space="preserve">on an equal basis </w:t>
      </w:r>
      <w:r w:rsidRPr="00293BB6">
        <w:t>when setting rules or making decisions.</w:t>
      </w:r>
      <w:r w:rsidR="00BC58AD">
        <w:t xml:space="preserve"> </w:t>
      </w:r>
      <w:proofErr w:type="gramStart"/>
      <w:r w:rsidR="007236B2">
        <w:t>A</w:t>
      </w:r>
      <w:r w:rsidR="00BC58AD">
        <w:t>rticle</w:t>
      </w:r>
      <w:r w:rsidR="007236B2">
        <w:t xml:space="preserve"> 1 of the Constitution</w:t>
      </w:r>
      <w:r w:rsidR="00BC58AD">
        <w:t>, which was included in its present form in the revised constitution in 1983, lists a number of non-discrimination grounds.</w:t>
      </w:r>
      <w:proofErr w:type="gramEnd"/>
      <w:r w:rsidR="00BC58AD">
        <w:t xml:space="preserve"> Although disability is not among these, the phrase ‘on any other grounds whatsoever’ is meant to include </w:t>
      </w:r>
      <w:r w:rsidR="006A5BFD">
        <w:t>it as a</w:t>
      </w:r>
      <w:r w:rsidR="00BC58AD">
        <w:t xml:space="preserve"> ground of discrimination.</w:t>
      </w:r>
      <w:r w:rsidR="00077245">
        <w:rPr>
          <w:rStyle w:val="FootnoteReference"/>
        </w:rPr>
        <w:footnoteReference w:id="12"/>
      </w:r>
      <w:r w:rsidR="00BC58AD">
        <w:t xml:space="preserve"> </w:t>
      </w:r>
      <w:r w:rsidR="00077245" w:rsidRPr="00077245">
        <w:t>The list</w:t>
      </w:r>
      <w:r w:rsidR="006A5BFD">
        <w:t xml:space="preserve"> of non-discrimination grounds</w:t>
      </w:r>
      <w:r w:rsidR="00077245" w:rsidRPr="00077245">
        <w:t xml:space="preserve"> reflects the social and political consensus of </w:t>
      </w:r>
      <w:r w:rsidR="007236B2">
        <w:t>the types of discrimination</w:t>
      </w:r>
      <w:r w:rsidR="00077245" w:rsidRPr="00077245">
        <w:t xml:space="preserve"> deemed unacceptable in 1983.</w:t>
      </w:r>
      <w:r w:rsidR="00077245">
        <w:t xml:space="preserve"> Over the years, views in society have changed and interest groups, academics and politicians began to suggest changes</w:t>
      </w:r>
      <w:r w:rsidR="006A5BFD">
        <w:t xml:space="preserve"> to the article</w:t>
      </w:r>
      <w:r w:rsidR="00077245">
        <w:t>.</w:t>
      </w:r>
      <w:r w:rsidR="00077245" w:rsidRPr="00077245">
        <w:t xml:space="preserve"> </w:t>
      </w:r>
      <w:r w:rsidR="00BC58AD">
        <w:t xml:space="preserve">In 2010, a </w:t>
      </w:r>
      <w:r w:rsidR="00077245">
        <w:t xml:space="preserve">parliamentary initiative </w:t>
      </w:r>
      <w:r w:rsidR="00BC58AD">
        <w:t xml:space="preserve">proposal was </w:t>
      </w:r>
      <w:r w:rsidR="00077245">
        <w:t>submitted</w:t>
      </w:r>
      <w:r w:rsidR="007236B2">
        <w:t xml:space="preserve"> with the objective</w:t>
      </w:r>
      <w:r w:rsidR="00BC58AD">
        <w:t xml:space="preserve"> to add disability and sexual orientation to the list of </w:t>
      </w:r>
      <w:r w:rsidR="00077245">
        <w:t>named</w:t>
      </w:r>
      <w:r w:rsidR="00BC58AD">
        <w:t xml:space="preserve"> grounds.</w:t>
      </w:r>
      <w:r w:rsidR="00E00B96">
        <w:rPr>
          <w:rStyle w:val="FootnoteReference"/>
        </w:rPr>
        <w:footnoteReference w:id="13"/>
      </w:r>
      <w:r w:rsidR="00077245">
        <w:t xml:space="preserve"> </w:t>
      </w:r>
      <w:r w:rsidR="007D2BF4">
        <w:t xml:space="preserve">At the end of 2019, the proposal was still under discussion in the Second Chamber. Arguments in favour centred around the changed core values in society </w:t>
      </w:r>
      <w:r w:rsidR="00777CCC">
        <w:t xml:space="preserve">since 1983 </w:t>
      </w:r>
      <w:r w:rsidR="007D2BF4">
        <w:t xml:space="preserve">and the stigma and discrimination experienced by persons with the characteristics of disability and sexual orientation. Arguments against adding the two grounds </w:t>
      </w:r>
      <w:r w:rsidR="00777CCC">
        <w:t xml:space="preserve">included the issue </w:t>
      </w:r>
      <w:r w:rsidR="006A5BFD">
        <w:t>that</w:t>
      </w:r>
      <w:r w:rsidR="00777CCC">
        <w:t xml:space="preserve"> other</w:t>
      </w:r>
      <w:r w:rsidR="006A5BFD">
        <w:t>, still unnamed</w:t>
      </w:r>
      <w:r w:rsidR="00777CCC">
        <w:t xml:space="preserve"> grounds of discrimination should also deserve being added to the list. The suggestion was raised to delete all grounds and </w:t>
      </w:r>
      <w:r w:rsidR="007236B2">
        <w:t xml:space="preserve">to </w:t>
      </w:r>
      <w:r w:rsidR="00777CCC">
        <w:t>only refer to ‘any other grounds whatsoever’.</w:t>
      </w:r>
      <w:r w:rsidR="00777CCC">
        <w:rPr>
          <w:rStyle w:val="FootnoteReference"/>
        </w:rPr>
        <w:footnoteReference w:id="14"/>
      </w:r>
      <w:r w:rsidR="006A5BFD">
        <w:t xml:space="preserve"> The discussion seems to be </w:t>
      </w:r>
      <w:proofErr w:type="gramStart"/>
      <w:r w:rsidR="006A5BFD">
        <w:t>far from over</w:t>
      </w:r>
      <w:proofErr w:type="gramEnd"/>
      <w:r w:rsidR="006A5BFD">
        <w:t>.</w:t>
      </w:r>
    </w:p>
    <w:p w14:paraId="50169DC3" w14:textId="0B4C7CB4" w:rsidR="00A93984" w:rsidRDefault="00A93984" w:rsidP="00F9312C">
      <w:pPr>
        <w:spacing w:line="360" w:lineRule="auto"/>
      </w:pPr>
    </w:p>
    <w:p w14:paraId="1058C9F4" w14:textId="09D0663D" w:rsidR="00A93984" w:rsidRPr="00A93984" w:rsidRDefault="00A93984" w:rsidP="00F9312C">
      <w:pPr>
        <w:spacing w:line="360" w:lineRule="auto"/>
        <w:rPr>
          <w:i/>
          <w:iCs/>
        </w:rPr>
      </w:pPr>
      <w:r w:rsidRPr="00A93984">
        <w:rPr>
          <w:i/>
          <w:iCs/>
        </w:rPr>
        <w:t>Legal order</w:t>
      </w:r>
    </w:p>
    <w:p w14:paraId="335F5746" w14:textId="27847592" w:rsidR="00A93984" w:rsidRPr="005E1E4A" w:rsidRDefault="00A93984" w:rsidP="00F9312C">
      <w:pPr>
        <w:spacing w:line="360" w:lineRule="auto"/>
        <w:rPr>
          <w:rFonts w:ascii="Times New Roman" w:eastAsia="Times New Roman" w:hAnsi="Times New Roman" w:cs="Times New Roman"/>
          <w:szCs w:val="24"/>
          <w:lang w:eastAsia="nl-NL"/>
        </w:rPr>
      </w:pPr>
      <w:r>
        <w:t>The Netherlands legal system falls within the civil law systems.</w:t>
      </w:r>
      <w:r w:rsidR="004A41B9">
        <w:rPr>
          <w:rStyle w:val="FootnoteReference"/>
        </w:rPr>
        <w:footnoteReference w:id="15"/>
      </w:r>
      <w:r>
        <w:t xml:space="preserve"> In the Netherlands legal order, statutory law is the primary source of law. Courts need to apply the statutory provisions </w:t>
      </w:r>
      <w:r w:rsidRPr="00B21DED">
        <w:rPr>
          <w:rFonts w:eastAsia="Times New Roman" w:cs="Arial"/>
          <w:szCs w:val="24"/>
          <w:lang w:eastAsia="nl-NL"/>
        </w:rPr>
        <w:t xml:space="preserve">to each individual case. </w:t>
      </w:r>
      <w:r>
        <w:rPr>
          <w:rFonts w:eastAsia="Times New Roman" w:cs="Arial"/>
          <w:szCs w:val="24"/>
          <w:lang w:eastAsia="nl-NL"/>
        </w:rPr>
        <w:t xml:space="preserve">It is assumed </w:t>
      </w:r>
      <w:r w:rsidRPr="00B21DED">
        <w:rPr>
          <w:rFonts w:eastAsia="Times New Roman" w:cs="Arial"/>
          <w:szCs w:val="24"/>
          <w:lang w:eastAsia="nl-NL"/>
        </w:rPr>
        <w:t>that statut</w:t>
      </w:r>
      <w:r>
        <w:rPr>
          <w:rFonts w:eastAsia="Times New Roman" w:cs="Arial"/>
          <w:szCs w:val="24"/>
          <w:lang w:eastAsia="nl-NL"/>
        </w:rPr>
        <w:t>ory</w:t>
      </w:r>
      <w:r w:rsidRPr="00B21DED">
        <w:rPr>
          <w:rFonts w:eastAsia="Times New Roman" w:cs="Arial"/>
          <w:szCs w:val="24"/>
          <w:lang w:eastAsia="nl-NL"/>
        </w:rPr>
        <w:t xml:space="preserve"> law regulates all cases that could occur</w:t>
      </w:r>
      <w:r>
        <w:rPr>
          <w:rFonts w:eastAsia="Times New Roman" w:cs="Arial"/>
          <w:szCs w:val="24"/>
          <w:lang w:eastAsia="nl-NL"/>
        </w:rPr>
        <w:t>.</w:t>
      </w:r>
      <w:r w:rsidRPr="00B21DED">
        <w:rPr>
          <w:rFonts w:eastAsia="Times New Roman" w:cs="Arial"/>
          <w:szCs w:val="24"/>
          <w:lang w:eastAsia="nl-NL"/>
        </w:rPr>
        <w:t xml:space="preserve"> </w:t>
      </w:r>
      <w:r>
        <w:rPr>
          <w:rFonts w:eastAsia="Times New Roman" w:cs="Arial"/>
          <w:szCs w:val="24"/>
          <w:lang w:eastAsia="nl-NL"/>
        </w:rPr>
        <w:t xml:space="preserve">In </w:t>
      </w:r>
      <w:r w:rsidRPr="00B21DED">
        <w:rPr>
          <w:rFonts w:eastAsia="Times New Roman" w:cs="Arial"/>
          <w:szCs w:val="24"/>
          <w:lang w:eastAsia="nl-NL"/>
        </w:rPr>
        <w:t xml:space="preserve">cases </w:t>
      </w:r>
      <w:r>
        <w:rPr>
          <w:rFonts w:eastAsia="Times New Roman" w:cs="Arial"/>
          <w:szCs w:val="24"/>
          <w:lang w:eastAsia="nl-NL"/>
        </w:rPr>
        <w:t xml:space="preserve">which </w:t>
      </w:r>
      <w:r w:rsidRPr="00B21DED">
        <w:rPr>
          <w:rFonts w:eastAsia="Times New Roman" w:cs="Arial"/>
          <w:szCs w:val="24"/>
          <w:lang w:eastAsia="nl-NL"/>
        </w:rPr>
        <w:t>are not regulated by statut</w:t>
      </w:r>
      <w:r>
        <w:rPr>
          <w:rFonts w:eastAsia="Times New Roman" w:cs="Arial"/>
          <w:szCs w:val="24"/>
          <w:lang w:eastAsia="nl-NL"/>
        </w:rPr>
        <w:t>ory</w:t>
      </w:r>
      <w:r w:rsidRPr="00B21DED">
        <w:rPr>
          <w:rFonts w:eastAsia="Times New Roman" w:cs="Arial"/>
          <w:szCs w:val="24"/>
          <w:lang w:eastAsia="nl-NL"/>
        </w:rPr>
        <w:t xml:space="preserve"> law, the courts should apply the general principles on which a comparable statutory provision of the Civil Code is founded. </w:t>
      </w:r>
      <w:r>
        <w:rPr>
          <w:rFonts w:cs="Arial"/>
        </w:rPr>
        <w:t>Case law plays an important role, with courts</w:t>
      </w:r>
      <w:r w:rsidRPr="00B21DED">
        <w:rPr>
          <w:rFonts w:cs="Arial"/>
        </w:rPr>
        <w:t xml:space="preserve"> </w:t>
      </w:r>
      <w:r w:rsidRPr="00B21DED">
        <w:rPr>
          <w:rFonts w:eastAsia="Times New Roman" w:cs="Arial"/>
          <w:szCs w:val="24"/>
          <w:lang w:eastAsia="nl-NL"/>
        </w:rPr>
        <w:t xml:space="preserve">taking into account the intention of the legislator, as expressed in the Parliamentary history of </w:t>
      </w:r>
      <w:r>
        <w:rPr>
          <w:rFonts w:eastAsia="Times New Roman" w:cs="Arial"/>
          <w:szCs w:val="24"/>
          <w:lang w:eastAsia="nl-NL"/>
        </w:rPr>
        <w:t>the</w:t>
      </w:r>
      <w:r w:rsidRPr="00B21DED">
        <w:rPr>
          <w:rFonts w:eastAsia="Times New Roman" w:cs="Arial"/>
          <w:szCs w:val="24"/>
          <w:lang w:eastAsia="nl-NL"/>
        </w:rPr>
        <w:t xml:space="preserve"> law.</w:t>
      </w:r>
      <w:r>
        <w:rPr>
          <w:rFonts w:eastAsia="Times New Roman" w:cs="Arial"/>
          <w:szCs w:val="24"/>
          <w:lang w:eastAsia="nl-NL"/>
        </w:rPr>
        <w:t xml:space="preserve"> Courts will try to find and apply general principles behind the law and interpret and explain legal principles if the statute does not give a clear reply to the legal question of the particular case. T</w:t>
      </w:r>
      <w:r>
        <w:t>he Supreme Court upholds uniformity in law. Lower courts will take the decisions of the Supreme Court into account when giving their judgment.</w:t>
      </w:r>
      <w:r w:rsidR="004A41B9">
        <w:rPr>
          <w:rStyle w:val="FootnoteReference"/>
        </w:rPr>
        <w:footnoteReference w:id="16"/>
      </w:r>
    </w:p>
    <w:p w14:paraId="1AD7147A" w14:textId="77777777" w:rsidR="002C4AB6" w:rsidRPr="007D2BF4" w:rsidRDefault="002C4AB6" w:rsidP="00F9312C">
      <w:pPr>
        <w:spacing w:line="360" w:lineRule="auto"/>
      </w:pPr>
    </w:p>
    <w:p w14:paraId="7BF118C9" w14:textId="4105BA7B" w:rsidR="000A69AE" w:rsidRPr="009D796E" w:rsidRDefault="000A69AE" w:rsidP="00F9312C">
      <w:pPr>
        <w:pStyle w:val="Heading3"/>
        <w:spacing w:line="360" w:lineRule="auto"/>
        <w:rPr>
          <w:b/>
          <w:bCs w:val="0"/>
        </w:rPr>
      </w:pPr>
      <w:r w:rsidRPr="009D796E">
        <w:rPr>
          <w:b/>
          <w:bCs w:val="0"/>
        </w:rPr>
        <w:t>A1.</w:t>
      </w:r>
      <w:r w:rsidR="002C4AB6" w:rsidRPr="009D796E">
        <w:rPr>
          <w:b/>
          <w:bCs w:val="0"/>
        </w:rPr>
        <w:t>2</w:t>
      </w:r>
      <w:r w:rsidRPr="009D796E">
        <w:rPr>
          <w:b/>
          <w:bCs w:val="0"/>
        </w:rPr>
        <w:t xml:space="preserve"> </w:t>
      </w:r>
      <w:proofErr w:type="gramStart"/>
      <w:r w:rsidR="00430B31" w:rsidRPr="009D796E">
        <w:rPr>
          <w:b/>
          <w:bCs w:val="0"/>
        </w:rPr>
        <w:t>The</w:t>
      </w:r>
      <w:proofErr w:type="gramEnd"/>
      <w:r w:rsidR="00430B31" w:rsidRPr="009D796E">
        <w:rPr>
          <w:b/>
          <w:bCs w:val="0"/>
        </w:rPr>
        <w:t xml:space="preserve"> Netherlands a</w:t>
      </w:r>
      <w:r w:rsidRPr="009D796E">
        <w:rPr>
          <w:b/>
          <w:bCs w:val="0"/>
        </w:rPr>
        <w:t>dministrative st</w:t>
      </w:r>
      <w:r w:rsidR="00430B31" w:rsidRPr="009D796E">
        <w:rPr>
          <w:b/>
          <w:bCs w:val="0"/>
        </w:rPr>
        <w:t>r</w:t>
      </w:r>
      <w:r w:rsidRPr="009D796E">
        <w:rPr>
          <w:b/>
          <w:bCs w:val="0"/>
        </w:rPr>
        <w:t>u</w:t>
      </w:r>
      <w:r w:rsidR="00430B31" w:rsidRPr="009D796E">
        <w:rPr>
          <w:b/>
          <w:bCs w:val="0"/>
        </w:rPr>
        <w:t>cture</w:t>
      </w:r>
    </w:p>
    <w:p w14:paraId="3B19D147" w14:textId="77777777" w:rsidR="000A69AE" w:rsidRPr="00DC1317" w:rsidRDefault="000A69AE" w:rsidP="00F9312C">
      <w:pPr>
        <w:spacing w:line="360" w:lineRule="auto"/>
      </w:pPr>
    </w:p>
    <w:p w14:paraId="14B30580" w14:textId="77777777" w:rsidR="00D21C71" w:rsidRDefault="000A69AE" w:rsidP="00F9312C">
      <w:pPr>
        <w:spacing w:line="360" w:lineRule="auto"/>
      </w:pPr>
      <w:r w:rsidRPr="00DC1317">
        <w:t>The Kingdom of the Netherlands consists of four countries</w:t>
      </w:r>
      <w:r w:rsidR="00817505">
        <w:t xml:space="preserve">: Aruba, </w:t>
      </w:r>
      <w:proofErr w:type="spellStart"/>
      <w:r w:rsidR="00817505">
        <w:t>Curaçao</w:t>
      </w:r>
      <w:proofErr w:type="spellEnd"/>
      <w:r w:rsidR="00817505">
        <w:t xml:space="preserve">, </w:t>
      </w:r>
      <w:proofErr w:type="spellStart"/>
      <w:r w:rsidR="00817505">
        <w:t>Sint</w:t>
      </w:r>
      <w:proofErr w:type="spellEnd"/>
      <w:r w:rsidR="00817505">
        <w:t xml:space="preserve"> </w:t>
      </w:r>
      <w:r>
        <w:t xml:space="preserve">Maarten and the Netherlands. The Charter of the Kingdom of the Netherlands </w:t>
      </w:r>
      <w:r w:rsidR="00E6457E">
        <w:t xml:space="preserve">of </w:t>
      </w:r>
      <w:r>
        <w:t>2010</w:t>
      </w:r>
      <w:r>
        <w:rPr>
          <w:rStyle w:val="FootnoteReference"/>
        </w:rPr>
        <w:footnoteReference w:id="17"/>
      </w:r>
      <w:r>
        <w:t xml:space="preserve"> is the constitutional foundation of the </w:t>
      </w:r>
      <w:r w:rsidR="007236B2">
        <w:t>Kingdom</w:t>
      </w:r>
      <w:r>
        <w:t>. It supersedes the Constitution</w:t>
      </w:r>
      <w:r>
        <w:rPr>
          <w:rStyle w:val="FootnoteReference"/>
        </w:rPr>
        <w:footnoteReference w:id="18"/>
      </w:r>
      <w:r>
        <w:t xml:space="preserve"> and regulates the relationships and administrative setup of the countries within the Kingdom. The Netherlands are </w:t>
      </w:r>
      <w:r w:rsidR="00430B31">
        <w:t>located</w:t>
      </w:r>
      <w:r>
        <w:t xml:space="preserve"> in Europe whereas Aruba, </w:t>
      </w:r>
      <w:proofErr w:type="spellStart"/>
      <w:r w:rsidR="00817505">
        <w:t>Curaçao</w:t>
      </w:r>
      <w:proofErr w:type="spellEnd"/>
      <w:r w:rsidR="00817505">
        <w:t xml:space="preserve"> </w:t>
      </w:r>
      <w:r>
        <w:t xml:space="preserve">and </w:t>
      </w:r>
      <w:proofErr w:type="spellStart"/>
      <w:r>
        <w:t>S</w:t>
      </w:r>
      <w:r w:rsidR="00817505">
        <w:t>in</w:t>
      </w:r>
      <w:r>
        <w:t>t</w:t>
      </w:r>
      <w:proofErr w:type="spellEnd"/>
      <w:r>
        <w:t xml:space="preserve"> Maarten are </w:t>
      </w:r>
      <w:r w:rsidR="00430B31">
        <w:t>located</w:t>
      </w:r>
      <w:r>
        <w:t xml:space="preserve"> in the Caribbean region.</w:t>
      </w:r>
      <w:r w:rsidR="00776D7B">
        <w:t xml:space="preserve"> In the </w:t>
      </w:r>
      <w:r w:rsidR="00E6457E">
        <w:t>Caribbean</w:t>
      </w:r>
      <w:r w:rsidR="00776D7B">
        <w:t xml:space="preserve"> region, another three islands </w:t>
      </w:r>
      <w:r w:rsidR="00E6457E">
        <w:t>are part of</w:t>
      </w:r>
      <w:r w:rsidR="00776D7B">
        <w:t xml:space="preserve"> the </w:t>
      </w:r>
      <w:r w:rsidR="00E6457E">
        <w:t xml:space="preserve">Kingdom: Bonaire, </w:t>
      </w:r>
      <w:proofErr w:type="spellStart"/>
      <w:r w:rsidR="00E6457E">
        <w:t>Sint</w:t>
      </w:r>
      <w:proofErr w:type="spellEnd"/>
      <w:r w:rsidR="00E6457E">
        <w:t xml:space="preserve"> Eustatius and </w:t>
      </w:r>
      <w:proofErr w:type="spellStart"/>
      <w:r w:rsidR="00E6457E">
        <w:t>Saba</w:t>
      </w:r>
      <w:proofErr w:type="spellEnd"/>
      <w:r w:rsidR="00E6457E">
        <w:t xml:space="preserve">. With the </w:t>
      </w:r>
      <w:r w:rsidR="00D21C71">
        <w:t>reform of the constitutional structure in 2010, the three islands became public bodies within the European part of The Netherlands. Their status is comparable to that of a municipality.</w:t>
      </w:r>
      <w:r>
        <w:t xml:space="preserve"> </w:t>
      </w:r>
    </w:p>
    <w:p w14:paraId="7DC38829" w14:textId="7C84FB8B" w:rsidR="00883AAD" w:rsidRPr="00DC1317" w:rsidRDefault="000A69AE" w:rsidP="00F9312C">
      <w:pPr>
        <w:spacing w:line="360" w:lineRule="auto"/>
        <w:rPr>
          <w:rFonts w:eastAsia="Times New Roman" w:cs="Arial"/>
          <w:szCs w:val="24"/>
          <w:lang w:eastAsia="nl-NL"/>
        </w:rPr>
      </w:pPr>
      <w:r>
        <w:t xml:space="preserve">The four countries have their own government and regulate their policy and affairs independently. In </w:t>
      </w:r>
      <w:r w:rsidR="00C27A9F">
        <w:t>certain</w:t>
      </w:r>
      <w:r>
        <w:t xml:space="preserve"> policy areas</w:t>
      </w:r>
      <w:r w:rsidR="007236B2">
        <w:t>,</w:t>
      </w:r>
      <w:r>
        <w:t xml:space="preserve"> </w:t>
      </w:r>
      <w:r w:rsidR="00240F75">
        <w:t xml:space="preserve">there is </w:t>
      </w:r>
      <w:r>
        <w:t>a shared responsibility for all four cons</w:t>
      </w:r>
      <w:r w:rsidR="00240F75">
        <w:t>tituent countries.</w:t>
      </w:r>
      <w:r>
        <w:t xml:space="preserve"> </w:t>
      </w:r>
      <w:r w:rsidR="00883AAD">
        <w:t xml:space="preserve">These areas include </w:t>
      </w:r>
      <w:r w:rsidRPr="00DC1317">
        <w:rPr>
          <w:rFonts w:eastAsia="Times New Roman" w:cs="Arial"/>
          <w:szCs w:val="24"/>
          <w:lang w:eastAsia="nl-NL"/>
        </w:rPr>
        <w:t>the independence and the defence of the Kingdom, foreign relations, Dutch citizenship matters, safety and navigation of shipping and migration policy</w:t>
      </w:r>
      <w:r w:rsidR="00883AAD" w:rsidRPr="00DC1317">
        <w:rPr>
          <w:rFonts w:eastAsia="Times New Roman" w:cs="Arial"/>
          <w:szCs w:val="24"/>
          <w:lang w:eastAsia="nl-NL"/>
        </w:rPr>
        <w:t>. I</w:t>
      </w:r>
      <w:r w:rsidR="00240F75" w:rsidRPr="00DC1317">
        <w:rPr>
          <w:rFonts w:eastAsia="Times New Roman" w:cs="Arial"/>
          <w:szCs w:val="24"/>
          <w:lang w:eastAsia="nl-NL"/>
        </w:rPr>
        <w:t>n the Charter</w:t>
      </w:r>
      <w:r w:rsidR="00883AAD" w:rsidRPr="00DC1317">
        <w:rPr>
          <w:rFonts w:eastAsia="Times New Roman" w:cs="Arial"/>
          <w:szCs w:val="24"/>
          <w:lang w:eastAsia="nl-NL"/>
        </w:rPr>
        <w:t>, these are termed</w:t>
      </w:r>
      <w:r w:rsidR="00240F75" w:rsidRPr="00DC1317">
        <w:rPr>
          <w:rFonts w:eastAsia="Times New Roman" w:cs="Arial"/>
          <w:szCs w:val="24"/>
          <w:lang w:eastAsia="nl-NL"/>
        </w:rPr>
        <w:t xml:space="preserve"> as Kingdom affairs</w:t>
      </w:r>
      <w:r w:rsidRPr="00DC1317">
        <w:rPr>
          <w:rFonts w:eastAsia="Times New Roman" w:cs="Arial"/>
          <w:szCs w:val="24"/>
          <w:lang w:eastAsia="nl-NL"/>
        </w:rPr>
        <w:t>. In practice, due to its relative</w:t>
      </w:r>
      <w:r w:rsidR="00883AAD" w:rsidRPr="00DC1317">
        <w:rPr>
          <w:rFonts w:eastAsia="Times New Roman" w:cs="Arial"/>
          <w:szCs w:val="24"/>
          <w:lang w:eastAsia="nl-NL"/>
        </w:rPr>
        <w:t xml:space="preserve"> large</w:t>
      </w:r>
      <w:r w:rsidRPr="00DC1317">
        <w:rPr>
          <w:rFonts w:eastAsia="Times New Roman" w:cs="Arial"/>
          <w:szCs w:val="24"/>
          <w:lang w:eastAsia="nl-NL"/>
        </w:rPr>
        <w:t xml:space="preserve"> size and resources, the Netherlands </w:t>
      </w:r>
      <w:r w:rsidR="00240F75" w:rsidRPr="00DC1317">
        <w:rPr>
          <w:rFonts w:eastAsia="Times New Roman" w:cs="Arial"/>
          <w:szCs w:val="24"/>
          <w:lang w:eastAsia="nl-NL"/>
        </w:rPr>
        <w:t>are</w:t>
      </w:r>
      <w:r w:rsidRPr="00DC1317">
        <w:rPr>
          <w:rFonts w:eastAsia="Times New Roman" w:cs="Arial"/>
          <w:szCs w:val="24"/>
          <w:lang w:eastAsia="nl-NL"/>
        </w:rPr>
        <w:t xml:space="preserve"> leading in these matters. </w:t>
      </w:r>
    </w:p>
    <w:p w14:paraId="173BEA23" w14:textId="5296A3F6" w:rsidR="000A69AE" w:rsidRPr="00DC1317" w:rsidRDefault="000A69AE" w:rsidP="00F9312C">
      <w:pPr>
        <w:spacing w:line="360" w:lineRule="auto"/>
        <w:rPr>
          <w:rFonts w:eastAsia="Times New Roman" w:cs="Arial"/>
          <w:szCs w:val="24"/>
          <w:lang w:eastAsia="nl-NL"/>
        </w:rPr>
      </w:pPr>
      <w:r w:rsidRPr="00DC1317">
        <w:rPr>
          <w:rFonts w:eastAsia="Times New Roman" w:cs="Arial"/>
          <w:szCs w:val="24"/>
          <w:lang w:eastAsia="nl-NL"/>
        </w:rPr>
        <w:t>Laws relating to street design, management and maintenance of roads and pedestrian areas are the responsibility of each of the sep</w:t>
      </w:r>
      <w:r w:rsidR="001D7871">
        <w:rPr>
          <w:rFonts w:eastAsia="Times New Roman" w:cs="Arial"/>
          <w:szCs w:val="24"/>
          <w:lang w:eastAsia="nl-NL"/>
        </w:rPr>
        <w:t>a</w:t>
      </w:r>
      <w:r w:rsidRPr="00DC1317">
        <w:rPr>
          <w:rFonts w:eastAsia="Times New Roman" w:cs="Arial"/>
          <w:szCs w:val="24"/>
          <w:lang w:eastAsia="nl-NL"/>
        </w:rPr>
        <w:t>rate countries within the Kingdom. For the purposes of this report, only the laws and regulations of the European part of the Netherlands are being described.</w:t>
      </w:r>
    </w:p>
    <w:p w14:paraId="69F4B058" w14:textId="0D5F9930" w:rsidR="00430B31" w:rsidRDefault="000A69AE" w:rsidP="00F9312C">
      <w:pPr>
        <w:spacing w:line="360" w:lineRule="auto"/>
      </w:pPr>
      <w:r w:rsidRPr="00DC1317">
        <w:t xml:space="preserve">Within the European part of the Netherlands, </w:t>
      </w:r>
      <w:r w:rsidR="001D7871">
        <w:t>four</w:t>
      </w:r>
      <w:r w:rsidRPr="00DC1317">
        <w:t xml:space="preserve"> </w:t>
      </w:r>
      <w:r w:rsidR="00AD03E4" w:rsidRPr="00DC1317">
        <w:t>tiers</w:t>
      </w:r>
      <w:r w:rsidRPr="00DC1317">
        <w:t xml:space="preserve"> of administration exist: national, provincial and municipal</w:t>
      </w:r>
      <w:r w:rsidR="001109F6" w:rsidRPr="00DC1317">
        <w:t xml:space="preserve"> a</w:t>
      </w:r>
      <w:r w:rsidR="0087389C" w:rsidRPr="00DC1317">
        <w:t>dministration</w:t>
      </w:r>
      <w:r w:rsidRPr="00DC1317">
        <w:t>.</w:t>
      </w:r>
      <w:r w:rsidR="001D7871">
        <w:t xml:space="preserve"> The fourth tier </w:t>
      </w:r>
      <w:r w:rsidR="007236B2">
        <w:t xml:space="preserve">comprises </w:t>
      </w:r>
      <w:r w:rsidR="001D7871">
        <w:t>the Water Boards, a specific regional authority on water management.</w:t>
      </w:r>
      <w:r w:rsidR="00347D40">
        <w:rPr>
          <w:rStyle w:val="FootnoteReference"/>
        </w:rPr>
        <w:footnoteReference w:id="19"/>
      </w:r>
      <w:r w:rsidRPr="00DC1317">
        <w:t xml:space="preserve"> </w:t>
      </w:r>
      <w:r w:rsidR="004A41B9">
        <w:t>They will be described in the following sections.</w:t>
      </w:r>
    </w:p>
    <w:p w14:paraId="6F6C1488" w14:textId="048AA530" w:rsidR="004C2F73" w:rsidRDefault="000A69AE" w:rsidP="00F9312C">
      <w:pPr>
        <w:spacing w:line="360" w:lineRule="auto"/>
      </w:pPr>
      <w:r w:rsidRPr="00DC1317">
        <w:t xml:space="preserve">In relation to the topic of this report, each authority has its own legal </w:t>
      </w:r>
      <w:r w:rsidR="00C64B25" w:rsidRPr="00DC1317">
        <w:t>res</w:t>
      </w:r>
      <w:r w:rsidRPr="00DC1317">
        <w:t>po</w:t>
      </w:r>
      <w:r w:rsidR="00C64B25" w:rsidRPr="00DC1317">
        <w:t>n</w:t>
      </w:r>
      <w:r w:rsidRPr="00DC1317">
        <w:t>si</w:t>
      </w:r>
      <w:r w:rsidR="00C64B25" w:rsidRPr="00DC1317">
        <w:t>bility</w:t>
      </w:r>
      <w:r w:rsidRPr="00DC1317">
        <w:t xml:space="preserve"> in design, management and maintenance of public spaces. </w:t>
      </w:r>
      <w:r w:rsidR="00C64B25" w:rsidRPr="00DC1317">
        <w:t>These principles are</w:t>
      </w:r>
      <w:r w:rsidR="00C64B25">
        <w:t xml:space="preserve"> laid down in the </w:t>
      </w:r>
      <w:r w:rsidR="00036CE1" w:rsidRPr="00036CE1">
        <w:rPr>
          <w:iCs/>
        </w:rPr>
        <w:t xml:space="preserve">Wet </w:t>
      </w:r>
      <w:proofErr w:type="spellStart"/>
      <w:r w:rsidR="00036CE1" w:rsidRPr="00036CE1">
        <w:rPr>
          <w:iCs/>
        </w:rPr>
        <w:t>herverdeling</w:t>
      </w:r>
      <w:proofErr w:type="spellEnd"/>
      <w:r w:rsidR="00036CE1" w:rsidRPr="00036CE1">
        <w:rPr>
          <w:iCs/>
        </w:rPr>
        <w:t xml:space="preserve"> </w:t>
      </w:r>
      <w:proofErr w:type="spellStart"/>
      <w:r w:rsidR="00036CE1" w:rsidRPr="00036CE1">
        <w:rPr>
          <w:iCs/>
        </w:rPr>
        <w:t>wegenbeheer</w:t>
      </w:r>
      <w:proofErr w:type="spellEnd"/>
      <w:r w:rsidR="00036CE1">
        <w:rPr>
          <w:iCs/>
        </w:rPr>
        <w:t xml:space="preserve"> 1992</w:t>
      </w:r>
      <w:r w:rsidR="00036CE1" w:rsidRPr="00C64B25">
        <w:t xml:space="preserve"> </w:t>
      </w:r>
      <w:r w:rsidR="00036CE1">
        <w:t>(‘</w:t>
      </w:r>
      <w:r w:rsidR="00C64B25" w:rsidRPr="00036CE1">
        <w:rPr>
          <w:i/>
          <w:iCs/>
        </w:rPr>
        <w:t xml:space="preserve">Redistribution of Road Management Act </w:t>
      </w:r>
      <w:r w:rsidR="00C63B8D" w:rsidRPr="00036CE1">
        <w:rPr>
          <w:i/>
          <w:iCs/>
        </w:rPr>
        <w:t>1992</w:t>
      </w:r>
      <w:r w:rsidR="00036CE1">
        <w:t>’</w:t>
      </w:r>
      <w:r w:rsidR="00C64B25">
        <w:t>)</w:t>
      </w:r>
      <w:r w:rsidR="001109F6">
        <w:t>.</w:t>
      </w:r>
      <w:r w:rsidR="004C2F73">
        <w:rPr>
          <w:rStyle w:val="FootnoteReference"/>
        </w:rPr>
        <w:footnoteReference w:id="20"/>
      </w:r>
      <w:r w:rsidR="00C63B8D">
        <w:t xml:space="preserve"> The Act </w:t>
      </w:r>
      <w:r w:rsidR="00C63B8D" w:rsidRPr="00C63B8D">
        <w:t>related to a major redistribution of road management among the various authorities as of 1 January 1993, while simultaneously revising the financial relationship regarding road management between those authorities</w:t>
      </w:r>
      <w:r w:rsidR="001D7871">
        <w:t xml:space="preserve">. </w:t>
      </w:r>
    </w:p>
    <w:p w14:paraId="08F648BB" w14:textId="77777777" w:rsidR="004C2F73" w:rsidRDefault="004C2F73" w:rsidP="00F9312C">
      <w:pPr>
        <w:spacing w:line="360" w:lineRule="auto"/>
      </w:pPr>
    </w:p>
    <w:p w14:paraId="521187FC" w14:textId="77777777" w:rsidR="004C2F73" w:rsidRPr="009D796E" w:rsidRDefault="00240F75" w:rsidP="00F9312C">
      <w:pPr>
        <w:pStyle w:val="Heading4"/>
        <w:spacing w:line="360" w:lineRule="auto"/>
        <w:rPr>
          <w:b/>
          <w:bCs w:val="0"/>
        </w:rPr>
      </w:pPr>
      <w:r w:rsidRPr="009D796E">
        <w:rPr>
          <w:b/>
          <w:bCs w:val="0"/>
        </w:rPr>
        <w:t>A1.</w:t>
      </w:r>
      <w:r w:rsidR="002C4AB6" w:rsidRPr="009D796E">
        <w:rPr>
          <w:b/>
          <w:bCs w:val="0"/>
        </w:rPr>
        <w:t>2</w:t>
      </w:r>
      <w:r w:rsidRPr="009D796E">
        <w:rPr>
          <w:b/>
          <w:bCs w:val="0"/>
        </w:rPr>
        <w:t>.1</w:t>
      </w:r>
      <w:r w:rsidR="001109F6" w:rsidRPr="009D796E">
        <w:rPr>
          <w:b/>
          <w:bCs w:val="0"/>
        </w:rPr>
        <w:t>.</w:t>
      </w:r>
      <w:r w:rsidRPr="009D796E">
        <w:rPr>
          <w:b/>
          <w:bCs w:val="0"/>
        </w:rPr>
        <w:t xml:space="preserve"> </w:t>
      </w:r>
      <w:r w:rsidR="004C2F73" w:rsidRPr="009D796E">
        <w:rPr>
          <w:b/>
          <w:bCs w:val="0"/>
        </w:rPr>
        <w:t xml:space="preserve">Central government </w:t>
      </w:r>
    </w:p>
    <w:p w14:paraId="1C93491A" w14:textId="77777777" w:rsidR="004C2F73" w:rsidRDefault="004C2F73" w:rsidP="00F9312C">
      <w:pPr>
        <w:spacing w:line="360" w:lineRule="auto"/>
      </w:pPr>
    </w:p>
    <w:p w14:paraId="04795D55" w14:textId="3F2F2BCC" w:rsidR="004C2F73" w:rsidRDefault="00AF052B" w:rsidP="00F9312C">
      <w:pPr>
        <w:spacing w:line="360" w:lineRule="auto"/>
        <w:rPr>
          <w:rFonts w:eastAsia="Times New Roman" w:cs="Arial"/>
          <w:szCs w:val="24"/>
          <w:lang w:eastAsia="nl-NL"/>
        </w:rPr>
      </w:pPr>
      <w:r>
        <w:t>Within the framework of cooperation and consultation between national, regional and local governmental levels,</w:t>
      </w:r>
      <w:r w:rsidRPr="00AF052B">
        <w:rPr>
          <w:rFonts w:cs="Arial"/>
        </w:rPr>
        <w:t xml:space="preserve"> </w:t>
      </w:r>
      <w:r w:rsidRPr="00AF052B">
        <w:rPr>
          <w:rFonts w:eastAsia="Times New Roman" w:cs="Arial"/>
          <w:szCs w:val="24"/>
          <w:lang w:eastAsia="nl-NL"/>
        </w:rPr>
        <w:t xml:space="preserve">policy on national issues is prepared by central government and forms the basis for legislation </w:t>
      </w:r>
      <w:r w:rsidR="005B760B">
        <w:rPr>
          <w:rFonts w:eastAsia="Times New Roman" w:cs="Arial"/>
          <w:szCs w:val="24"/>
          <w:lang w:eastAsia="nl-NL"/>
        </w:rPr>
        <w:t>adopted</w:t>
      </w:r>
      <w:r w:rsidRPr="00AF052B">
        <w:rPr>
          <w:rFonts w:eastAsia="Times New Roman" w:cs="Arial"/>
          <w:szCs w:val="24"/>
          <w:lang w:eastAsia="nl-NL"/>
        </w:rPr>
        <w:t xml:space="preserve"> by the Dutch Parliament.</w:t>
      </w:r>
      <w:r w:rsidR="004C2F73">
        <w:rPr>
          <w:rFonts w:eastAsia="Times New Roman" w:cs="Arial"/>
          <w:szCs w:val="24"/>
          <w:lang w:eastAsia="nl-NL"/>
        </w:rPr>
        <w:t xml:space="preserve"> </w:t>
      </w:r>
    </w:p>
    <w:p w14:paraId="04663366" w14:textId="02DEF8B6" w:rsidR="004C2F73" w:rsidRDefault="00AF052B" w:rsidP="00F9312C">
      <w:pPr>
        <w:spacing w:line="360" w:lineRule="auto"/>
        <w:rPr>
          <w:rFonts w:eastAsia="Times New Roman" w:cs="Arial"/>
          <w:szCs w:val="24"/>
          <w:lang w:eastAsia="nl-NL"/>
        </w:rPr>
      </w:pPr>
      <w:r w:rsidRPr="004C2F73">
        <w:rPr>
          <w:rFonts w:eastAsia="Times New Roman" w:cs="Arial"/>
          <w:szCs w:val="24"/>
          <w:lang w:eastAsia="nl-NL"/>
        </w:rPr>
        <w:t>Polic</w:t>
      </w:r>
      <w:r w:rsidR="005B760B">
        <w:rPr>
          <w:rFonts w:eastAsia="Times New Roman" w:cs="Arial"/>
          <w:szCs w:val="24"/>
          <w:lang w:eastAsia="nl-NL"/>
        </w:rPr>
        <w:t>ies</w:t>
      </w:r>
      <w:r w:rsidRPr="004C2F73">
        <w:rPr>
          <w:rFonts w:eastAsia="Times New Roman" w:cs="Arial"/>
          <w:szCs w:val="24"/>
          <w:lang w:eastAsia="nl-NL"/>
        </w:rPr>
        <w:t xml:space="preserve"> related to the provinces and municipalities is devolved to government at these levels, closer to the people and</w:t>
      </w:r>
      <w:r w:rsidR="006773D1">
        <w:rPr>
          <w:rFonts w:eastAsia="Times New Roman" w:cs="Arial"/>
          <w:szCs w:val="24"/>
          <w:lang w:eastAsia="nl-NL"/>
        </w:rPr>
        <w:t xml:space="preserve"> based</w:t>
      </w:r>
      <w:r w:rsidRPr="004C2F73">
        <w:rPr>
          <w:rFonts w:eastAsia="Times New Roman" w:cs="Arial"/>
          <w:szCs w:val="24"/>
          <w:lang w:eastAsia="nl-NL"/>
        </w:rPr>
        <w:t xml:space="preserve"> on the principle of promoting public participation in democracy.</w:t>
      </w:r>
      <w:r w:rsidR="001E0DB2">
        <w:rPr>
          <w:rFonts w:eastAsia="Times New Roman" w:cs="Arial"/>
          <w:szCs w:val="24"/>
          <w:lang w:eastAsia="nl-NL"/>
        </w:rPr>
        <w:t xml:space="preserve"> Provinces and municipalities are mandated to make their own provincial and local legislation.</w:t>
      </w:r>
      <w:r w:rsidR="001E0DB2">
        <w:rPr>
          <w:rStyle w:val="FootnoteReference"/>
          <w:rFonts w:eastAsia="Times New Roman" w:cs="Arial"/>
          <w:szCs w:val="24"/>
          <w:lang w:eastAsia="nl-NL"/>
        </w:rPr>
        <w:footnoteReference w:id="21"/>
      </w:r>
      <w:r w:rsidR="004C2F73">
        <w:rPr>
          <w:rFonts w:eastAsia="Times New Roman" w:cs="Arial"/>
          <w:szCs w:val="24"/>
          <w:lang w:eastAsia="nl-NL"/>
        </w:rPr>
        <w:t xml:space="preserve"> </w:t>
      </w:r>
    </w:p>
    <w:p w14:paraId="5974679C" w14:textId="549BF5B3" w:rsidR="00AF052B" w:rsidRDefault="004C2F73" w:rsidP="00F9312C">
      <w:pPr>
        <w:spacing w:line="360" w:lineRule="auto"/>
      </w:pPr>
      <w:r>
        <w:rPr>
          <w:rFonts w:eastAsia="Times New Roman" w:cs="Arial"/>
          <w:szCs w:val="24"/>
          <w:lang w:eastAsia="nl-NL"/>
        </w:rPr>
        <w:t>In the area of spatial planning, roads and transport, t</w:t>
      </w:r>
      <w:r w:rsidR="00AF052B" w:rsidRPr="004C2F73">
        <w:rPr>
          <w:rFonts w:eastAsia="Times New Roman" w:cs="Arial"/>
          <w:szCs w:val="24"/>
          <w:lang w:eastAsia="nl-NL"/>
        </w:rPr>
        <w:t>he Ministry of Infrastructure and the Environment is responsible for developing policy in the national context</w:t>
      </w:r>
      <w:r>
        <w:rPr>
          <w:rFonts w:eastAsia="Times New Roman" w:cs="Arial"/>
          <w:szCs w:val="24"/>
          <w:lang w:eastAsia="nl-NL"/>
        </w:rPr>
        <w:t>.</w:t>
      </w:r>
      <w:r w:rsidR="00D41C15">
        <w:rPr>
          <w:rStyle w:val="FootnoteReference"/>
          <w:rFonts w:eastAsia="Times New Roman" w:cs="Arial"/>
          <w:szCs w:val="24"/>
          <w:lang w:eastAsia="nl-NL"/>
        </w:rPr>
        <w:footnoteReference w:id="22"/>
      </w:r>
      <w:r w:rsidR="00AF052B" w:rsidRPr="004C2F73">
        <w:rPr>
          <w:rFonts w:eastAsia="Times New Roman" w:cs="Arial"/>
          <w:szCs w:val="24"/>
          <w:lang w:eastAsia="nl-NL"/>
        </w:rPr>
        <w:t xml:space="preserve"> </w:t>
      </w:r>
      <w:r>
        <w:rPr>
          <w:rFonts w:eastAsia="Times New Roman" w:cs="Arial"/>
          <w:szCs w:val="24"/>
          <w:lang w:eastAsia="nl-NL"/>
        </w:rPr>
        <w:t>T</w:t>
      </w:r>
      <w:r w:rsidR="00AF052B" w:rsidRPr="004C2F73">
        <w:rPr>
          <w:rFonts w:eastAsia="Times New Roman" w:cs="Arial"/>
          <w:szCs w:val="24"/>
          <w:lang w:eastAsia="nl-NL"/>
        </w:rPr>
        <w:t xml:space="preserve">he provinces are responsible for translating these guidelines into the regional context. The municipalities have the power and financial means to develop and implement local policy </w:t>
      </w:r>
      <w:r w:rsidR="005B760B">
        <w:rPr>
          <w:rFonts w:eastAsia="Times New Roman" w:cs="Arial"/>
          <w:szCs w:val="24"/>
          <w:lang w:eastAsia="nl-NL"/>
        </w:rPr>
        <w:t>regarding</w:t>
      </w:r>
      <w:r w:rsidR="00AF052B" w:rsidRPr="004C2F73">
        <w:rPr>
          <w:rFonts w:eastAsia="Times New Roman" w:cs="Arial"/>
          <w:szCs w:val="24"/>
          <w:lang w:eastAsia="nl-NL"/>
        </w:rPr>
        <w:t xml:space="preserve"> spatial planning and the environment. Close cooperation between all levels of government </w:t>
      </w:r>
      <w:r w:rsidR="00043F52">
        <w:rPr>
          <w:rFonts w:eastAsia="Times New Roman" w:cs="Arial"/>
          <w:szCs w:val="24"/>
          <w:lang w:eastAsia="nl-NL"/>
        </w:rPr>
        <w:t>is a</w:t>
      </w:r>
      <w:r>
        <w:rPr>
          <w:rFonts w:eastAsia="Times New Roman" w:cs="Arial"/>
          <w:szCs w:val="24"/>
          <w:lang w:eastAsia="nl-NL"/>
        </w:rPr>
        <w:t xml:space="preserve"> characteristic of</w:t>
      </w:r>
      <w:r w:rsidR="00AF052B" w:rsidRPr="004C2F73">
        <w:rPr>
          <w:rFonts w:eastAsia="Times New Roman" w:cs="Arial"/>
          <w:szCs w:val="24"/>
          <w:lang w:eastAsia="nl-NL"/>
        </w:rPr>
        <w:t xml:space="preserve"> the Dutch system </w:t>
      </w:r>
      <w:r>
        <w:rPr>
          <w:rFonts w:eastAsia="Times New Roman" w:cs="Arial"/>
          <w:szCs w:val="24"/>
          <w:lang w:eastAsia="nl-NL"/>
        </w:rPr>
        <w:t xml:space="preserve">and </w:t>
      </w:r>
      <w:r w:rsidR="00AF052B" w:rsidRPr="004C2F73">
        <w:rPr>
          <w:rFonts w:eastAsia="Times New Roman" w:cs="Arial"/>
          <w:szCs w:val="24"/>
          <w:lang w:eastAsia="nl-NL"/>
        </w:rPr>
        <w:t>ensures the necessary checks and balances.</w:t>
      </w:r>
      <w:r>
        <w:rPr>
          <w:rStyle w:val="FootnoteReference"/>
          <w:rFonts w:eastAsia="Times New Roman" w:cs="Arial"/>
          <w:szCs w:val="24"/>
          <w:lang w:eastAsia="nl-NL"/>
        </w:rPr>
        <w:footnoteReference w:id="23"/>
      </w:r>
      <w:r w:rsidR="00AF052B" w:rsidRPr="004C2F73">
        <w:rPr>
          <w:rFonts w:eastAsia="Times New Roman" w:cs="Arial"/>
          <w:szCs w:val="24"/>
          <w:lang w:eastAsia="nl-NL"/>
        </w:rPr>
        <w:t> </w:t>
      </w:r>
    </w:p>
    <w:p w14:paraId="1A34CA54" w14:textId="0EA0AD1D" w:rsidR="002755D8" w:rsidRDefault="004C2F73" w:rsidP="00F9312C">
      <w:pPr>
        <w:spacing w:line="360" w:lineRule="auto"/>
      </w:pPr>
      <w:r>
        <w:t>Cooperation and s</w:t>
      </w:r>
      <w:r w:rsidR="00210FF9">
        <w:t xml:space="preserve">upervision of </w:t>
      </w:r>
      <w:r>
        <w:t>p</w:t>
      </w:r>
      <w:r w:rsidR="00210FF9">
        <w:t>rovinces is regulated in</w:t>
      </w:r>
      <w:r w:rsidR="00BC1033">
        <w:t xml:space="preserve"> article </w:t>
      </w:r>
      <w:r w:rsidR="00E158C7">
        <w:t>121</w:t>
      </w:r>
      <w:r w:rsidR="00210FF9">
        <w:t xml:space="preserve"> Provinc</w:t>
      </w:r>
      <w:r w:rsidR="00275F3F">
        <w:t>es</w:t>
      </w:r>
      <w:r w:rsidR="00210FF9">
        <w:t xml:space="preserve"> Act (</w:t>
      </w:r>
      <w:proofErr w:type="spellStart"/>
      <w:r w:rsidR="00210FF9" w:rsidRPr="00E158C7">
        <w:rPr>
          <w:i/>
          <w:iCs/>
        </w:rPr>
        <w:t>P</w:t>
      </w:r>
      <w:r w:rsidR="00C63B8D" w:rsidRPr="00E158C7">
        <w:rPr>
          <w:i/>
          <w:iCs/>
        </w:rPr>
        <w:t>r</w:t>
      </w:r>
      <w:r w:rsidR="00210FF9" w:rsidRPr="00E158C7">
        <w:rPr>
          <w:i/>
          <w:iCs/>
        </w:rPr>
        <w:t>ovinciewet</w:t>
      </w:r>
      <w:proofErr w:type="spellEnd"/>
      <w:r w:rsidR="00430B31">
        <w:t>)</w:t>
      </w:r>
      <w:r w:rsidR="00E158C7">
        <w:t xml:space="preserve">. </w:t>
      </w:r>
      <w:r w:rsidR="00275F3F">
        <w:t>According to this</w:t>
      </w:r>
      <w:r w:rsidR="00E158C7">
        <w:t xml:space="preserve"> article</w:t>
      </w:r>
      <w:r w:rsidR="00275F3F">
        <w:t xml:space="preserve">, </w:t>
      </w:r>
      <w:r w:rsidR="00E158C7">
        <w:t xml:space="preserve">the </w:t>
      </w:r>
      <w:r w:rsidR="003A1B56">
        <w:t xml:space="preserve">minister has the power to make a decision when the </w:t>
      </w:r>
      <w:r w:rsidR="00E158C7" w:rsidRPr="00E158C7">
        <w:t>provincial</w:t>
      </w:r>
      <w:r w:rsidR="003A1B56">
        <w:t xml:space="preserve"> authorities </w:t>
      </w:r>
      <w:r w:rsidR="00E158C7" w:rsidRPr="00E158C7">
        <w:t>do not properly take a</w:t>
      </w:r>
      <w:r w:rsidR="003A1B56">
        <w:t xml:space="preserve"> timely</w:t>
      </w:r>
      <w:r w:rsidR="00E158C7" w:rsidRPr="00E158C7">
        <w:t xml:space="preserve"> decision pursuant to </w:t>
      </w:r>
      <w:r w:rsidR="003A1B56">
        <w:t xml:space="preserve">relevant </w:t>
      </w:r>
      <w:r w:rsidR="00E158C7" w:rsidRPr="00E158C7">
        <w:t>law</w:t>
      </w:r>
      <w:r w:rsidR="00275F3F">
        <w:t>. The minister</w:t>
      </w:r>
      <w:r w:rsidR="00E158C7" w:rsidRPr="00E158C7">
        <w:t xml:space="preserve"> </w:t>
      </w:r>
      <w:r w:rsidR="00275F3F">
        <w:t>may</w:t>
      </w:r>
      <w:r w:rsidR="003A1B56">
        <w:t xml:space="preserve"> </w:t>
      </w:r>
      <w:r w:rsidR="00E158C7" w:rsidRPr="00E158C7">
        <w:t xml:space="preserve">provide </w:t>
      </w:r>
      <w:r w:rsidR="003A1B56">
        <w:t xml:space="preserve">for an action </w:t>
      </w:r>
      <w:r w:rsidR="00E158C7" w:rsidRPr="00E158C7">
        <w:t xml:space="preserve">on behalf </w:t>
      </w:r>
      <w:r w:rsidR="00D41C15">
        <w:t xml:space="preserve">and on the expense </w:t>
      </w:r>
      <w:r w:rsidR="00E158C7" w:rsidRPr="00E158C7">
        <w:t>of the provincial authority.</w:t>
      </w:r>
      <w:r w:rsidR="00C47B56">
        <w:t xml:space="preserve"> </w:t>
      </w:r>
    </w:p>
    <w:p w14:paraId="46176031" w14:textId="77777777" w:rsidR="00E158C7" w:rsidRDefault="00E158C7" w:rsidP="00F9312C">
      <w:pPr>
        <w:spacing w:line="360" w:lineRule="auto"/>
      </w:pPr>
    </w:p>
    <w:p w14:paraId="17F517D3" w14:textId="1205CA8D" w:rsidR="00240F75" w:rsidRPr="009D796E" w:rsidRDefault="00AD03E4" w:rsidP="00F9312C">
      <w:pPr>
        <w:pStyle w:val="Heading4"/>
        <w:spacing w:line="360" w:lineRule="auto"/>
        <w:rPr>
          <w:b/>
          <w:bCs w:val="0"/>
        </w:rPr>
      </w:pPr>
      <w:r w:rsidRPr="009D796E">
        <w:rPr>
          <w:b/>
          <w:bCs w:val="0"/>
        </w:rPr>
        <w:t>A1.</w:t>
      </w:r>
      <w:r w:rsidR="002C4AB6" w:rsidRPr="009D796E">
        <w:rPr>
          <w:b/>
          <w:bCs w:val="0"/>
        </w:rPr>
        <w:t>2</w:t>
      </w:r>
      <w:r w:rsidRPr="009D796E">
        <w:rPr>
          <w:b/>
          <w:bCs w:val="0"/>
        </w:rPr>
        <w:t xml:space="preserve">.2. </w:t>
      </w:r>
      <w:proofErr w:type="gramStart"/>
      <w:r w:rsidRPr="009D796E">
        <w:rPr>
          <w:b/>
          <w:bCs w:val="0"/>
        </w:rPr>
        <w:t>The</w:t>
      </w:r>
      <w:proofErr w:type="gramEnd"/>
      <w:r w:rsidRPr="009D796E">
        <w:rPr>
          <w:b/>
          <w:bCs w:val="0"/>
        </w:rPr>
        <w:t xml:space="preserve"> p</w:t>
      </w:r>
      <w:r w:rsidR="00240F75" w:rsidRPr="009D796E">
        <w:rPr>
          <w:b/>
          <w:bCs w:val="0"/>
        </w:rPr>
        <w:t>rovinces</w:t>
      </w:r>
    </w:p>
    <w:p w14:paraId="05A41A06" w14:textId="77777777" w:rsidR="00C47B56" w:rsidRDefault="00C47B56" w:rsidP="00F9312C">
      <w:pPr>
        <w:spacing w:line="360" w:lineRule="auto"/>
        <w:rPr>
          <w:rFonts w:cs="Arial"/>
          <w:szCs w:val="24"/>
        </w:rPr>
      </w:pPr>
    </w:p>
    <w:p w14:paraId="122CAEC0" w14:textId="0BC5D8F4" w:rsidR="00C47B56" w:rsidRPr="00C47B56" w:rsidRDefault="00C47B56" w:rsidP="00F9312C">
      <w:pPr>
        <w:spacing w:line="360" w:lineRule="auto"/>
        <w:rPr>
          <w:rFonts w:cs="Arial"/>
          <w:i/>
          <w:iCs/>
          <w:szCs w:val="24"/>
        </w:rPr>
      </w:pPr>
      <w:r w:rsidRPr="00C47B56">
        <w:rPr>
          <w:rFonts w:cs="Arial"/>
          <w:i/>
          <w:iCs/>
          <w:szCs w:val="24"/>
        </w:rPr>
        <w:t>Administration</w:t>
      </w:r>
    </w:p>
    <w:p w14:paraId="6C7B491C" w14:textId="05311621" w:rsidR="003A1B56" w:rsidRDefault="00240F75" w:rsidP="00F9312C">
      <w:pPr>
        <w:spacing w:line="360" w:lineRule="auto"/>
        <w:rPr>
          <w:rFonts w:cs="Arial"/>
          <w:szCs w:val="24"/>
        </w:rPr>
      </w:pPr>
      <w:r w:rsidRPr="00C16776">
        <w:rPr>
          <w:rFonts w:cs="Arial"/>
          <w:szCs w:val="24"/>
        </w:rPr>
        <w:t>The Netherlands are geographically divided into 12 provinces.</w:t>
      </w:r>
      <w:r w:rsidR="00F315AA" w:rsidRPr="00C16776">
        <w:rPr>
          <w:rStyle w:val="FootnoteReference"/>
          <w:rFonts w:cs="Arial"/>
          <w:sz w:val="24"/>
          <w:szCs w:val="24"/>
        </w:rPr>
        <w:footnoteReference w:id="24"/>
      </w:r>
      <w:r w:rsidRPr="00C16776">
        <w:rPr>
          <w:rFonts w:cs="Arial"/>
          <w:szCs w:val="24"/>
        </w:rPr>
        <w:t xml:space="preserve"> </w:t>
      </w:r>
      <w:r w:rsidR="006A5BFD">
        <w:rPr>
          <w:rFonts w:cs="Arial"/>
          <w:szCs w:val="24"/>
        </w:rPr>
        <w:t>Each province has a</w:t>
      </w:r>
      <w:r w:rsidR="003A1B56">
        <w:rPr>
          <w:rFonts w:cs="Arial"/>
          <w:szCs w:val="24"/>
        </w:rPr>
        <w:t xml:space="preserve"> provincial </w:t>
      </w:r>
      <w:r w:rsidR="00134E86">
        <w:rPr>
          <w:rFonts w:cs="Arial"/>
          <w:szCs w:val="24"/>
        </w:rPr>
        <w:t>government</w:t>
      </w:r>
      <w:r w:rsidR="006A5BFD">
        <w:rPr>
          <w:rFonts w:cs="Arial"/>
          <w:szCs w:val="24"/>
        </w:rPr>
        <w:t>, which</w:t>
      </w:r>
      <w:r w:rsidR="003A1B56">
        <w:rPr>
          <w:rFonts w:cs="Arial"/>
          <w:szCs w:val="24"/>
        </w:rPr>
        <w:t xml:space="preserve"> consists of </w:t>
      </w:r>
      <w:r w:rsidR="00134E86">
        <w:rPr>
          <w:rFonts w:cs="Arial"/>
          <w:szCs w:val="24"/>
        </w:rPr>
        <w:t>a</w:t>
      </w:r>
      <w:r w:rsidR="003A1B56">
        <w:rPr>
          <w:rFonts w:cs="Arial"/>
          <w:szCs w:val="24"/>
        </w:rPr>
        <w:t xml:space="preserve"> directly elected provincial council and </w:t>
      </w:r>
      <w:r w:rsidR="00134E86">
        <w:rPr>
          <w:rFonts w:cs="Arial"/>
          <w:szCs w:val="24"/>
        </w:rPr>
        <w:t>a</w:t>
      </w:r>
      <w:r w:rsidR="003A1B56">
        <w:rPr>
          <w:rFonts w:cs="Arial"/>
          <w:szCs w:val="24"/>
        </w:rPr>
        <w:t xml:space="preserve"> provincial executive. </w:t>
      </w:r>
      <w:r w:rsidR="003A1B56">
        <w:t>Each provincial executive is chaired by a King’s Commissioner and has three to seven members. The</w:t>
      </w:r>
      <w:r w:rsidR="00134E86">
        <w:t xml:space="preserve"> members</w:t>
      </w:r>
      <w:r w:rsidR="003A1B56">
        <w:t xml:space="preserve"> are appointed by the provincial council for a four-year term.</w:t>
      </w:r>
      <w:r w:rsidR="003A1B56">
        <w:rPr>
          <w:rFonts w:cs="Arial"/>
          <w:szCs w:val="24"/>
        </w:rPr>
        <w:t xml:space="preserve">  </w:t>
      </w:r>
    </w:p>
    <w:p w14:paraId="56603F95" w14:textId="293A1FDE" w:rsidR="00015155" w:rsidRPr="00C16776" w:rsidRDefault="003A1B56" w:rsidP="00F9312C">
      <w:pPr>
        <w:spacing w:line="360" w:lineRule="auto"/>
        <w:rPr>
          <w:rFonts w:eastAsia="Times New Roman" w:cs="Arial"/>
          <w:szCs w:val="24"/>
          <w:lang w:eastAsia="nl-NL"/>
        </w:rPr>
      </w:pPr>
      <w:r>
        <w:rPr>
          <w:rFonts w:cs="Arial"/>
          <w:szCs w:val="24"/>
        </w:rPr>
        <w:t>In relation to the topic of this report, a</w:t>
      </w:r>
      <w:r w:rsidR="0087389C" w:rsidRPr="00C16776">
        <w:rPr>
          <w:rFonts w:cs="Arial"/>
          <w:szCs w:val="24"/>
        </w:rPr>
        <w:t>n i</w:t>
      </w:r>
      <w:r w:rsidR="001109F6" w:rsidRPr="00C16776">
        <w:rPr>
          <w:rFonts w:cs="Arial"/>
          <w:szCs w:val="24"/>
        </w:rPr>
        <w:t>mportant t</w:t>
      </w:r>
      <w:r w:rsidR="00240F75" w:rsidRPr="00C16776">
        <w:rPr>
          <w:rFonts w:cs="Arial"/>
          <w:szCs w:val="24"/>
        </w:rPr>
        <w:t xml:space="preserve">ask of the provinces </w:t>
      </w:r>
      <w:r w:rsidR="0087389C" w:rsidRPr="00C16776">
        <w:rPr>
          <w:rFonts w:cs="Arial"/>
          <w:szCs w:val="24"/>
        </w:rPr>
        <w:t xml:space="preserve">is </w:t>
      </w:r>
      <w:r w:rsidR="00E47844" w:rsidRPr="00C16776">
        <w:rPr>
          <w:rFonts w:cs="Arial"/>
          <w:szCs w:val="24"/>
        </w:rPr>
        <w:t>to</w:t>
      </w:r>
      <w:r w:rsidR="0087389C" w:rsidRPr="00C16776">
        <w:rPr>
          <w:rFonts w:cs="Arial"/>
          <w:szCs w:val="24"/>
        </w:rPr>
        <w:t xml:space="preserve"> deci</w:t>
      </w:r>
      <w:r w:rsidR="00E47844" w:rsidRPr="00C16776">
        <w:rPr>
          <w:rFonts w:cs="Arial"/>
          <w:szCs w:val="24"/>
        </w:rPr>
        <w:t>de</w:t>
      </w:r>
      <w:r w:rsidR="0087389C" w:rsidRPr="00C16776">
        <w:rPr>
          <w:rFonts w:cs="Arial"/>
          <w:szCs w:val="24"/>
        </w:rPr>
        <w:t xml:space="preserve"> about spatial expansion of </w:t>
      </w:r>
      <w:r w:rsidR="00AD03E4" w:rsidRPr="00C16776">
        <w:rPr>
          <w:rFonts w:eastAsia="Times New Roman" w:cs="Arial"/>
          <w:szCs w:val="24"/>
          <w:lang w:eastAsia="nl-NL"/>
        </w:rPr>
        <w:t xml:space="preserve">towns and villages and </w:t>
      </w:r>
      <w:r w:rsidR="0087389C" w:rsidRPr="00C16776">
        <w:rPr>
          <w:rFonts w:eastAsia="Times New Roman" w:cs="Arial"/>
          <w:szCs w:val="24"/>
          <w:lang w:eastAsia="nl-NL"/>
        </w:rPr>
        <w:t>the development of business area</w:t>
      </w:r>
      <w:r w:rsidR="00AD03E4" w:rsidRPr="00C16776">
        <w:rPr>
          <w:rFonts w:eastAsia="Times New Roman" w:cs="Arial"/>
          <w:szCs w:val="24"/>
          <w:lang w:eastAsia="nl-NL"/>
        </w:rPr>
        <w:t xml:space="preserve">s. This is </w:t>
      </w:r>
      <w:r w:rsidR="0087389C" w:rsidRPr="00C16776">
        <w:rPr>
          <w:rFonts w:eastAsia="Times New Roman" w:cs="Arial"/>
          <w:szCs w:val="24"/>
          <w:lang w:eastAsia="nl-NL"/>
        </w:rPr>
        <w:t>enacted</w:t>
      </w:r>
      <w:r w:rsidR="00AD03E4" w:rsidRPr="00C16776">
        <w:rPr>
          <w:rFonts w:eastAsia="Times New Roman" w:cs="Arial"/>
          <w:szCs w:val="24"/>
          <w:lang w:eastAsia="nl-NL"/>
        </w:rPr>
        <w:t xml:space="preserve"> in the Spatial Planning Ac</w:t>
      </w:r>
      <w:r w:rsidR="00F315AA" w:rsidRPr="00C16776">
        <w:rPr>
          <w:rFonts w:eastAsia="Times New Roman" w:cs="Arial"/>
          <w:szCs w:val="24"/>
          <w:lang w:eastAsia="nl-NL"/>
        </w:rPr>
        <w:t>t.</w:t>
      </w:r>
      <w:r w:rsidR="0087389C" w:rsidRPr="00C16776">
        <w:rPr>
          <w:rStyle w:val="FootnoteReference"/>
          <w:rFonts w:eastAsia="Times New Roman" w:cs="Arial"/>
          <w:sz w:val="24"/>
          <w:szCs w:val="24"/>
          <w:lang w:val="nl-NL" w:eastAsia="nl-NL"/>
        </w:rPr>
        <w:footnoteReference w:id="25"/>
      </w:r>
      <w:r w:rsidR="00F315AA" w:rsidRPr="00C16776">
        <w:rPr>
          <w:rFonts w:eastAsia="Times New Roman" w:cs="Arial"/>
          <w:szCs w:val="24"/>
          <w:lang w:eastAsia="nl-NL"/>
        </w:rPr>
        <w:t xml:space="preserve"> </w:t>
      </w:r>
      <w:r w:rsidR="00015155" w:rsidRPr="00C16776">
        <w:rPr>
          <w:rFonts w:eastAsia="Times New Roman" w:cs="Arial"/>
          <w:szCs w:val="24"/>
          <w:lang w:eastAsia="nl-NL"/>
        </w:rPr>
        <w:t xml:space="preserve">Also, </w:t>
      </w:r>
      <w:r w:rsidR="00846720" w:rsidRPr="00C16776">
        <w:rPr>
          <w:rFonts w:eastAsia="Times New Roman" w:cs="Arial"/>
          <w:szCs w:val="24"/>
          <w:lang w:eastAsia="nl-NL"/>
        </w:rPr>
        <w:t xml:space="preserve">provinces </w:t>
      </w:r>
      <w:r w:rsidR="00AD03E4" w:rsidRPr="00C16776">
        <w:rPr>
          <w:rFonts w:eastAsia="Times New Roman" w:cs="Arial"/>
          <w:szCs w:val="24"/>
          <w:lang w:eastAsia="nl-NL"/>
        </w:rPr>
        <w:t xml:space="preserve">are responsible for building and maintaining </w:t>
      </w:r>
      <w:r w:rsidR="00846720" w:rsidRPr="00C16776">
        <w:rPr>
          <w:rFonts w:eastAsia="Times New Roman" w:cs="Arial"/>
          <w:szCs w:val="24"/>
          <w:lang w:eastAsia="nl-NL"/>
        </w:rPr>
        <w:t>roads, cycle paths and bridges</w:t>
      </w:r>
      <w:r w:rsidR="00134E86">
        <w:rPr>
          <w:rFonts w:eastAsia="Times New Roman" w:cs="Arial"/>
          <w:szCs w:val="24"/>
          <w:lang w:eastAsia="nl-NL"/>
        </w:rPr>
        <w:t xml:space="preserve"> within their geographical area</w:t>
      </w:r>
      <w:r w:rsidR="00846720" w:rsidRPr="00C16776">
        <w:rPr>
          <w:rFonts w:eastAsia="Times New Roman" w:cs="Arial"/>
          <w:szCs w:val="24"/>
          <w:lang w:eastAsia="nl-NL"/>
        </w:rPr>
        <w:t xml:space="preserve">. </w:t>
      </w:r>
    </w:p>
    <w:p w14:paraId="2FC0DAC9" w14:textId="4ABC76B4" w:rsidR="00F315AA" w:rsidRPr="00C16776" w:rsidRDefault="00846720" w:rsidP="00F9312C">
      <w:pPr>
        <w:spacing w:line="360" w:lineRule="auto"/>
        <w:rPr>
          <w:rFonts w:eastAsia="Times New Roman" w:cs="Arial"/>
          <w:szCs w:val="24"/>
          <w:lang w:eastAsia="nl-NL"/>
        </w:rPr>
      </w:pPr>
      <w:r w:rsidRPr="00C16776">
        <w:rPr>
          <w:rFonts w:eastAsia="Times New Roman" w:cs="Arial"/>
          <w:szCs w:val="24"/>
          <w:lang w:eastAsia="nl-NL"/>
        </w:rPr>
        <w:t>In terms of authority, t</w:t>
      </w:r>
      <w:r w:rsidR="00F315AA" w:rsidRPr="00C16776">
        <w:rPr>
          <w:rFonts w:eastAsia="Times New Roman" w:cs="Arial"/>
          <w:szCs w:val="24"/>
          <w:lang w:eastAsia="nl-NL"/>
        </w:rPr>
        <w:t>hey have a supervisory role towards municipalities</w:t>
      </w:r>
      <w:r w:rsidRPr="00C16776">
        <w:rPr>
          <w:rFonts w:eastAsia="Times New Roman" w:cs="Arial"/>
          <w:szCs w:val="24"/>
          <w:lang w:eastAsia="nl-NL"/>
        </w:rPr>
        <w:t>.</w:t>
      </w:r>
      <w:r w:rsidR="00210FF9" w:rsidRPr="00C16776">
        <w:rPr>
          <w:rStyle w:val="FootnoteReference"/>
          <w:rFonts w:eastAsia="Times New Roman" w:cs="Arial"/>
          <w:sz w:val="24"/>
          <w:szCs w:val="24"/>
          <w:lang w:val="nl-NL" w:eastAsia="nl-NL"/>
        </w:rPr>
        <w:footnoteReference w:id="26"/>
      </w:r>
      <w:r w:rsidR="00F315AA" w:rsidRPr="00C16776">
        <w:rPr>
          <w:rFonts w:eastAsia="Times New Roman" w:cs="Arial"/>
          <w:szCs w:val="24"/>
          <w:lang w:eastAsia="nl-NL"/>
        </w:rPr>
        <w:t xml:space="preserve"> </w:t>
      </w:r>
      <w:r w:rsidRPr="00C16776">
        <w:rPr>
          <w:rFonts w:cs="Arial"/>
          <w:szCs w:val="24"/>
        </w:rPr>
        <w:t>P</w:t>
      </w:r>
      <w:r w:rsidR="00F315AA" w:rsidRPr="00C16776">
        <w:rPr>
          <w:rFonts w:cs="Arial"/>
          <w:szCs w:val="24"/>
        </w:rPr>
        <w:t>rovincial</w:t>
      </w:r>
      <w:r w:rsidRPr="00C16776">
        <w:rPr>
          <w:rFonts w:cs="Arial"/>
          <w:szCs w:val="24"/>
        </w:rPr>
        <w:t xml:space="preserve"> </w:t>
      </w:r>
      <w:r w:rsidR="00F315AA" w:rsidRPr="00C16776">
        <w:rPr>
          <w:rFonts w:cs="Arial"/>
          <w:szCs w:val="24"/>
        </w:rPr>
        <w:t xml:space="preserve">authorities </w:t>
      </w:r>
      <w:r w:rsidRPr="00C16776">
        <w:rPr>
          <w:rFonts w:cs="Arial"/>
          <w:szCs w:val="24"/>
        </w:rPr>
        <w:t>may</w:t>
      </w:r>
      <w:r w:rsidR="00F315AA" w:rsidRPr="00C16776">
        <w:rPr>
          <w:rFonts w:cs="Arial"/>
          <w:szCs w:val="24"/>
        </w:rPr>
        <w:t xml:space="preserve"> supervise municipal authorities with regard to spatial planning, construction, the natural environment, housing, monuments and the structural safety of buildings and other works. Municipalities report to the provinces</w:t>
      </w:r>
      <w:r w:rsidR="00015155" w:rsidRPr="00C16776">
        <w:rPr>
          <w:rFonts w:cs="Arial"/>
          <w:szCs w:val="24"/>
        </w:rPr>
        <w:t xml:space="preserve"> annually</w:t>
      </w:r>
      <w:r w:rsidR="00F315AA" w:rsidRPr="00C16776">
        <w:rPr>
          <w:rFonts w:cs="Arial"/>
          <w:szCs w:val="24"/>
        </w:rPr>
        <w:t xml:space="preserve">, </w:t>
      </w:r>
      <w:r w:rsidR="00883AAD" w:rsidRPr="00C16776">
        <w:rPr>
          <w:rFonts w:cs="Arial"/>
          <w:szCs w:val="24"/>
        </w:rPr>
        <w:t xml:space="preserve">and the </w:t>
      </w:r>
      <w:r w:rsidR="00F315AA" w:rsidRPr="00C16776">
        <w:rPr>
          <w:rFonts w:cs="Arial"/>
          <w:szCs w:val="24"/>
        </w:rPr>
        <w:t xml:space="preserve">information </w:t>
      </w:r>
      <w:r w:rsidR="00883AAD" w:rsidRPr="00C16776">
        <w:rPr>
          <w:rFonts w:cs="Arial"/>
          <w:szCs w:val="24"/>
        </w:rPr>
        <w:t>thus obtained can</w:t>
      </w:r>
      <w:r w:rsidR="00F315AA" w:rsidRPr="00C16776">
        <w:rPr>
          <w:rFonts w:cs="Arial"/>
          <w:szCs w:val="24"/>
        </w:rPr>
        <w:t xml:space="preserve"> be used for possible interventions. Provinces may </w:t>
      </w:r>
      <w:r w:rsidR="00F315AA" w:rsidRPr="00C16776">
        <w:rPr>
          <w:rFonts w:eastAsia="Times New Roman" w:cs="Arial"/>
          <w:szCs w:val="24"/>
          <w:lang w:eastAsia="nl-NL"/>
        </w:rPr>
        <w:t xml:space="preserve">decide to intervene </w:t>
      </w:r>
      <w:r w:rsidR="00134E86">
        <w:rPr>
          <w:rFonts w:eastAsia="Times New Roman" w:cs="Arial"/>
          <w:szCs w:val="24"/>
          <w:lang w:eastAsia="nl-NL"/>
        </w:rPr>
        <w:t>in cases of</w:t>
      </w:r>
      <w:r w:rsidR="00F315AA" w:rsidRPr="00C16776">
        <w:rPr>
          <w:rFonts w:eastAsia="Times New Roman" w:cs="Arial"/>
          <w:szCs w:val="24"/>
          <w:lang w:eastAsia="nl-NL"/>
        </w:rPr>
        <w:t xml:space="preserve"> neglect of official duties: if a municipal authority neglects to fulfil a joint administration task, the </w:t>
      </w:r>
      <w:r w:rsidR="00883AAD" w:rsidRPr="00C16776">
        <w:rPr>
          <w:rFonts w:eastAsia="Times New Roman" w:cs="Arial"/>
          <w:szCs w:val="24"/>
          <w:lang w:eastAsia="nl-NL"/>
        </w:rPr>
        <w:t xml:space="preserve">province </w:t>
      </w:r>
      <w:r w:rsidR="00F315AA" w:rsidRPr="00C16776">
        <w:rPr>
          <w:rFonts w:eastAsia="Times New Roman" w:cs="Arial"/>
          <w:szCs w:val="24"/>
          <w:lang w:eastAsia="nl-NL"/>
        </w:rPr>
        <w:t>may interve</w:t>
      </w:r>
      <w:r w:rsidR="00E47844" w:rsidRPr="00C16776">
        <w:rPr>
          <w:rFonts w:eastAsia="Times New Roman" w:cs="Arial"/>
          <w:szCs w:val="24"/>
          <w:lang w:eastAsia="nl-NL"/>
        </w:rPr>
        <w:t>ne and take over that task. It</w:t>
      </w:r>
      <w:r w:rsidR="00F315AA" w:rsidRPr="00C16776">
        <w:rPr>
          <w:rFonts w:eastAsia="Times New Roman" w:cs="Arial"/>
          <w:szCs w:val="24"/>
          <w:lang w:eastAsia="nl-NL"/>
        </w:rPr>
        <w:t xml:space="preserve"> may suspend and annul decisions in the case where a decision by a municipal authority is in conflict with the law or with the public interest. </w:t>
      </w:r>
    </w:p>
    <w:p w14:paraId="561DDFF0" w14:textId="4020BF43" w:rsidR="00F315AA" w:rsidRDefault="00F315AA" w:rsidP="00F9312C">
      <w:pPr>
        <w:spacing w:line="360" w:lineRule="auto"/>
        <w:rPr>
          <w:rFonts w:cs="Arial"/>
          <w:szCs w:val="24"/>
        </w:rPr>
      </w:pPr>
    </w:p>
    <w:p w14:paraId="43565724" w14:textId="70C39E27" w:rsidR="00C47B56" w:rsidRPr="00C47B56" w:rsidRDefault="00C47B56" w:rsidP="00F9312C">
      <w:pPr>
        <w:spacing w:line="360" w:lineRule="auto"/>
        <w:rPr>
          <w:rFonts w:cs="Arial"/>
          <w:i/>
          <w:iCs/>
          <w:szCs w:val="24"/>
        </w:rPr>
      </w:pPr>
      <w:r w:rsidRPr="00C47B56">
        <w:rPr>
          <w:rFonts w:cs="Arial"/>
          <w:i/>
          <w:iCs/>
          <w:szCs w:val="24"/>
        </w:rPr>
        <w:t>Street design</w:t>
      </w:r>
      <w:r>
        <w:rPr>
          <w:rFonts w:cs="Arial"/>
          <w:i/>
          <w:iCs/>
          <w:szCs w:val="24"/>
        </w:rPr>
        <w:t>, management and maintenance</w:t>
      </w:r>
    </w:p>
    <w:p w14:paraId="414E75E6" w14:textId="27B93D95" w:rsidR="006C13A9" w:rsidRPr="00C16776" w:rsidRDefault="006C13A9" w:rsidP="00F9312C">
      <w:pPr>
        <w:spacing w:line="360" w:lineRule="auto"/>
        <w:rPr>
          <w:rFonts w:eastAsia="Times New Roman" w:cs="Arial"/>
          <w:szCs w:val="24"/>
          <w:lang w:eastAsia="nl-NL"/>
        </w:rPr>
      </w:pPr>
      <w:r w:rsidRPr="00C16776">
        <w:rPr>
          <w:rFonts w:cs="Arial"/>
          <w:szCs w:val="24"/>
        </w:rPr>
        <w:t xml:space="preserve">The design of provincial roads is ruled by </w:t>
      </w:r>
      <w:r w:rsidR="00E47844" w:rsidRPr="00C16776">
        <w:rPr>
          <w:rFonts w:cs="Arial"/>
          <w:szCs w:val="24"/>
        </w:rPr>
        <w:t>the provincial ‘</w:t>
      </w:r>
      <w:r w:rsidR="00E47844" w:rsidRPr="00C16776">
        <w:rPr>
          <w:rFonts w:eastAsia="Times New Roman" w:cs="Arial"/>
          <w:szCs w:val="24"/>
          <w:lang w:eastAsia="nl-NL"/>
        </w:rPr>
        <w:t>structural concept’,</w:t>
      </w:r>
      <w:r w:rsidR="00015155" w:rsidRPr="00C16776">
        <w:rPr>
          <w:rFonts w:eastAsia="Times New Roman" w:cs="Arial"/>
          <w:szCs w:val="24"/>
          <w:lang w:eastAsia="nl-NL"/>
        </w:rPr>
        <w:t xml:space="preserve"> </w:t>
      </w:r>
      <w:r w:rsidR="00E47844" w:rsidRPr="00C16776">
        <w:rPr>
          <w:rFonts w:eastAsia="Times New Roman" w:cs="Arial"/>
          <w:szCs w:val="24"/>
          <w:lang w:eastAsia="nl-NL"/>
        </w:rPr>
        <w:t xml:space="preserve">the leading multiannual </w:t>
      </w:r>
      <w:r w:rsidR="00E47844" w:rsidRPr="00C16776">
        <w:rPr>
          <w:rFonts w:cs="Arial"/>
          <w:szCs w:val="24"/>
        </w:rPr>
        <w:t>spatial development strategy</w:t>
      </w:r>
      <w:r w:rsidR="00E47844" w:rsidRPr="00C16776">
        <w:rPr>
          <w:rFonts w:eastAsia="Times New Roman" w:cs="Arial"/>
          <w:szCs w:val="24"/>
          <w:lang w:eastAsia="nl-NL"/>
        </w:rPr>
        <w:t>. This</w:t>
      </w:r>
      <w:r w:rsidR="00015155" w:rsidRPr="00C16776">
        <w:rPr>
          <w:rFonts w:eastAsia="Times New Roman" w:cs="Arial"/>
          <w:szCs w:val="24"/>
          <w:lang w:eastAsia="nl-NL"/>
        </w:rPr>
        <w:t xml:space="preserve"> </w:t>
      </w:r>
      <w:r w:rsidR="00E47844" w:rsidRPr="00C16776">
        <w:rPr>
          <w:rFonts w:eastAsia="Times New Roman" w:cs="Arial"/>
          <w:szCs w:val="24"/>
          <w:lang w:eastAsia="nl-NL"/>
        </w:rPr>
        <w:t xml:space="preserve">policy and development framework </w:t>
      </w:r>
      <w:r w:rsidR="001109F6" w:rsidRPr="00C16776">
        <w:rPr>
          <w:rFonts w:eastAsia="Times New Roman" w:cs="Arial"/>
          <w:szCs w:val="24"/>
          <w:lang w:eastAsia="nl-NL"/>
        </w:rPr>
        <w:t>designate</w:t>
      </w:r>
      <w:r w:rsidR="00E47844" w:rsidRPr="00C16776">
        <w:rPr>
          <w:rFonts w:eastAsia="Times New Roman" w:cs="Arial"/>
          <w:szCs w:val="24"/>
          <w:lang w:eastAsia="nl-NL"/>
        </w:rPr>
        <w:t>s</w:t>
      </w:r>
      <w:r w:rsidR="001109F6" w:rsidRPr="00C16776">
        <w:rPr>
          <w:rFonts w:eastAsia="Times New Roman" w:cs="Arial"/>
          <w:szCs w:val="24"/>
          <w:lang w:eastAsia="nl-NL"/>
        </w:rPr>
        <w:t xml:space="preserve"> where roads, railway lines, shipping routes, and areas for industry, farms, nature and recreation are to be located.</w:t>
      </w:r>
      <w:r w:rsidR="00E47844" w:rsidRPr="00C16776">
        <w:rPr>
          <w:rFonts w:eastAsia="Times New Roman" w:cs="Arial"/>
          <w:szCs w:val="24"/>
          <w:lang w:eastAsia="nl-NL"/>
        </w:rPr>
        <w:t xml:space="preserve"> </w:t>
      </w:r>
    </w:p>
    <w:p w14:paraId="057ABD7E" w14:textId="00DBA6A3" w:rsidR="00240F75" w:rsidRDefault="00015155" w:rsidP="00F9312C">
      <w:pPr>
        <w:spacing w:line="360" w:lineRule="auto"/>
      </w:pPr>
      <w:r>
        <w:t>Where m</w:t>
      </w:r>
      <w:r w:rsidR="006C13A9">
        <w:t>anagement and maintenance of provincial roads is concerned, each province drafts a</w:t>
      </w:r>
      <w:r w:rsidR="0004688F">
        <w:t>n Environment or</w:t>
      </w:r>
      <w:r w:rsidR="006C13A9">
        <w:t xml:space="preserve"> Roads Decree. The purpose of the Decree is</w:t>
      </w:r>
      <w:r w:rsidR="006C13A9" w:rsidRPr="006C13A9">
        <w:t xml:space="preserve"> to protect the roads managed by the province and to ensure the efficient and safe use of those roads. </w:t>
      </w:r>
      <w:r w:rsidR="006F3606">
        <w:t>For enforcement purposes, t</w:t>
      </w:r>
      <w:r w:rsidR="006F3606" w:rsidRPr="006F3606">
        <w:t>he provincial government is authorized to impose an administrative order.</w:t>
      </w:r>
      <w:r w:rsidR="006F3606">
        <w:rPr>
          <w:rStyle w:val="FootnoteReference"/>
        </w:rPr>
        <w:footnoteReference w:id="27"/>
      </w:r>
      <w:r w:rsidR="006F3606">
        <w:t xml:space="preserve"> </w:t>
      </w:r>
      <w:r>
        <w:t>See below under A5 for details relating t</w:t>
      </w:r>
      <w:r w:rsidR="006F3606">
        <w:t>o provincial rules and regulati</w:t>
      </w:r>
      <w:r>
        <w:t>ons regarding accessibility of public spaces.</w:t>
      </w:r>
      <w:r w:rsidR="006C13A9">
        <w:t xml:space="preserve">  </w:t>
      </w:r>
    </w:p>
    <w:p w14:paraId="16A16231" w14:textId="5E294C9F" w:rsidR="00AC6691" w:rsidRDefault="00AC6691" w:rsidP="00F9312C">
      <w:pPr>
        <w:spacing w:line="360" w:lineRule="auto"/>
      </w:pPr>
      <w:r>
        <w:t>For the purposes of this report, in chapte</w:t>
      </w:r>
      <w:r w:rsidRPr="00C44F11">
        <w:t xml:space="preserve">r </w:t>
      </w:r>
      <w:r w:rsidR="00C44F11">
        <w:t>A5</w:t>
      </w:r>
      <w:r>
        <w:t xml:space="preserve"> </w:t>
      </w:r>
      <w:r w:rsidR="00DF36BE">
        <w:t xml:space="preserve">the </w:t>
      </w:r>
      <w:r>
        <w:t>two provinces</w:t>
      </w:r>
      <w:r w:rsidR="00DF36BE">
        <w:t xml:space="preserve"> Utrecht and Flevoland</w:t>
      </w:r>
      <w:r>
        <w:t xml:space="preserve"> will be described</w:t>
      </w:r>
      <w:r w:rsidR="00DF36BE">
        <w:t>.</w:t>
      </w:r>
    </w:p>
    <w:p w14:paraId="0AA612A2" w14:textId="77777777" w:rsidR="00DF36BE" w:rsidRDefault="00DF36BE" w:rsidP="00F9312C">
      <w:pPr>
        <w:spacing w:line="360" w:lineRule="auto"/>
      </w:pPr>
    </w:p>
    <w:p w14:paraId="30FF01AF" w14:textId="1D8BEEBB" w:rsidR="001109F6" w:rsidRPr="009D796E" w:rsidRDefault="001109F6" w:rsidP="00F9312C">
      <w:pPr>
        <w:pStyle w:val="Heading4"/>
        <w:spacing w:line="360" w:lineRule="auto"/>
        <w:rPr>
          <w:b/>
          <w:bCs w:val="0"/>
        </w:rPr>
      </w:pPr>
      <w:r w:rsidRPr="009D796E">
        <w:rPr>
          <w:b/>
          <w:bCs w:val="0"/>
        </w:rPr>
        <w:t>A1.</w:t>
      </w:r>
      <w:r w:rsidR="002C4AB6" w:rsidRPr="009D796E">
        <w:rPr>
          <w:b/>
          <w:bCs w:val="0"/>
        </w:rPr>
        <w:t>2</w:t>
      </w:r>
      <w:r w:rsidRPr="009D796E">
        <w:rPr>
          <w:b/>
          <w:bCs w:val="0"/>
        </w:rPr>
        <w:t>.3. Municipalities</w:t>
      </w:r>
    </w:p>
    <w:p w14:paraId="3E6DE176" w14:textId="77777777" w:rsidR="00C47B56" w:rsidRDefault="00C47B56" w:rsidP="00F9312C">
      <w:pPr>
        <w:spacing w:line="360" w:lineRule="auto"/>
      </w:pPr>
    </w:p>
    <w:p w14:paraId="630D3080" w14:textId="7FA37FE1" w:rsidR="00FE213B" w:rsidRPr="00C47B56" w:rsidRDefault="00C47B56" w:rsidP="00F9312C">
      <w:pPr>
        <w:spacing w:line="360" w:lineRule="auto"/>
        <w:rPr>
          <w:i/>
          <w:iCs/>
        </w:rPr>
      </w:pPr>
      <w:r w:rsidRPr="00C47B56">
        <w:rPr>
          <w:i/>
          <w:iCs/>
        </w:rPr>
        <w:t>Administration</w:t>
      </w:r>
    </w:p>
    <w:p w14:paraId="5BCF80B9" w14:textId="3524F835" w:rsidR="00FE213B" w:rsidRDefault="00FE213B" w:rsidP="00F9312C">
      <w:pPr>
        <w:spacing w:line="360" w:lineRule="auto"/>
      </w:pPr>
      <w:r>
        <w:t>Each province is divided in municipalities.</w:t>
      </w:r>
      <w:r w:rsidR="00C47B56">
        <w:t xml:space="preserve"> Municipalities are responsible for a variety of tasks, ranging from issuing identity documents, registration of births and deaths, </w:t>
      </w:r>
      <w:r w:rsidR="00991E1E">
        <w:t xml:space="preserve">social welfare, housing and street design, management and maintenance. </w:t>
      </w:r>
      <w:r>
        <w:t xml:space="preserve">Over the past decade, a </w:t>
      </w:r>
      <w:proofErr w:type="gramStart"/>
      <w:r>
        <w:t>large scale</w:t>
      </w:r>
      <w:proofErr w:type="gramEnd"/>
      <w:r>
        <w:t xml:space="preserve"> merger of municipalities has taken place. This resulted in a significant decline in the number of towns and cities with their own local administration. On 1 January 2020, 3</w:t>
      </w:r>
      <w:r w:rsidR="00991E1E">
        <w:t>5</w:t>
      </w:r>
      <w:r>
        <w:t>5 municipalities existed in the Netherlands</w:t>
      </w:r>
      <w:r w:rsidR="00817505">
        <w:t>, as opposed to 431 in 2010</w:t>
      </w:r>
      <w:r>
        <w:t>.</w:t>
      </w:r>
      <w:r w:rsidR="00991E1E">
        <w:rPr>
          <w:rStyle w:val="FootnoteReference"/>
        </w:rPr>
        <w:footnoteReference w:id="28"/>
      </w:r>
      <w:r>
        <w:t xml:space="preserve"> As a result, the size of the municipalities </w:t>
      </w:r>
      <w:r w:rsidR="00817505">
        <w:t>increased, both geographically as well as in the number of inhabitants.</w:t>
      </w:r>
    </w:p>
    <w:p w14:paraId="4B32FBC5" w14:textId="3B618EDB" w:rsidR="00FE213B" w:rsidRDefault="00FE213B" w:rsidP="00F9312C">
      <w:pPr>
        <w:spacing w:line="360" w:lineRule="auto"/>
      </w:pPr>
      <w:r>
        <w:t xml:space="preserve">At the same time, the tasks of municipalities increased, notably in de social area. </w:t>
      </w:r>
      <w:r w:rsidR="00817505">
        <w:t>Since 2015, l</w:t>
      </w:r>
      <w:r>
        <w:t xml:space="preserve">ocal authorities </w:t>
      </w:r>
      <w:r w:rsidR="00817505">
        <w:t>have been</w:t>
      </w:r>
      <w:r>
        <w:t xml:space="preserve"> responsible for employment policies, </w:t>
      </w:r>
      <w:r w:rsidR="00817505">
        <w:t>youth care and care services for the elderly and persons with disabilities.</w:t>
      </w:r>
      <w:r w:rsidR="00817505">
        <w:rPr>
          <w:rStyle w:val="FootnoteReference"/>
        </w:rPr>
        <w:footnoteReference w:id="29"/>
      </w:r>
      <w:r w:rsidR="00C36D19">
        <w:t xml:space="preserve"> </w:t>
      </w:r>
      <w:r w:rsidR="00E13BCF">
        <w:t>With the ratification of CRPD in 2016, m</w:t>
      </w:r>
      <w:r w:rsidR="00C36D19">
        <w:t xml:space="preserve">unicipalities </w:t>
      </w:r>
      <w:r w:rsidR="00E13BCF">
        <w:t>have a statutory duty</w:t>
      </w:r>
      <w:r w:rsidR="00C36D19">
        <w:t xml:space="preserve"> to periodically draft a plan about the implementation of CRPD.</w:t>
      </w:r>
      <w:r w:rsidR="00C36D19">
        <w:rPr>
          <w:rStyle w:val="FootnoteReference"/>
        </w:rPr>
        <w:footnoteReference w:id="30"/>
      </w:r>
      <w:r w:rsidR="00E13BCF">
        <w:t xml:space="preserve"> In the parliamentary debate</w:t>
      </w:r>
      <w:r w:rsidR="007B52F7">
        <w:t xml:space="preserve"> about the ratification</w:t>
      </w:r>
      <w:r w:rsidR="00E13BCF">
        <w:t>, an amendment was adopted in which municipalities were obliged to adopt an inclusion agenda for all policy fields.</w:t>
      </w:r>
      <w:r w:rsidR="00E13BCF">
        <w:rPr>
          <w:rStyle w:val="FootnoteReference"/>
        </w:rPr>
        <w:footnoteReference w:id="31"/>
      </w:r>
      <w:r w:rsidR="00C36D19">
        <w:t xml:space="preserve"> </w:t>
      </w:r>
      <w:r w:rsidR="00BC3F66">
        <w:t xml:space="preserve">In 2019, only a small number of municipalities had actually </w:t>
      </w:r>
      <w:r w:rsidR="00E13BCF">
        <w:t>developed</w:t>
      </w:r>
      <w:r w:rsidR="00BC3F66">
        <w:t xml:space="preserve"> </w:t>
      </w:r>
      <w:r w:rsidR="00E13BCF">
        <w:t xml:space="preserve">such a broad </w:t>
      </w:r>
      <w:r w:rsidR="00BC3F66">
        <w:t>inclusion agenda.</w:t>
      </w:r>
      <w:r w:rsidR="00BC3F66">
        <w:rPr>
          <w:rStyle w:val="FootnoteReference"/>
        </w:rPr>
        <w:footnoteReference w:id="32"/>
      </w:r>
    </w:p>
    <w:p w14:paraId="0EEA3E8A" w14:textId="77777777" w:rsidR="00991E1E" w:rsidRDefault="00991E1E" w:rsidP="00F9312C">
      <w:pPr>
        <w:spacing w:line="360" w:lineRule="auto"/>
        <w:rPr>
          <w:rFonts w:cs="Arial"/>
          <w:i/>
          <w:iCs/>
          <w:szCs w:val="24"/>
        </w:rPr>
      </w:pPr>
    </w:p>
    <w:p w14:paraId="17CE857F" w14:textId="68E406EA" w:rsidR="00991E1E" w:rsidRPr="00C47B56" w:rsidRDefault="00991E1E" w:rsidP="00F9312C">
      <w:pPr>
        <w:spacing w:line="360" w:lineRule="auto"/>
        <w:rPr>
          <w:rFonts w:cs="Arial"/>
          <w:i/>
          <w:iCs/>
          <w:szCs w:val="24"/>
        </w:rPr>
      </w:pPr>
      <w:r w:rsidRPr="00C47B56">
        <w:rPr>
          <w:rFonts w:cs="Arial"/>
          <w:i/>
          <w:iCs/>
          <w:szCs w:val="24"/>
        </w:rPr>
        <w:t>Street design</w:t>
      </w:r>
      <w:r>
        <w:rPr>
          <w:rFonts w:cs="Arial"/>
          <w:i/>
          <w:iCs/>
          <w:szCs w:val="24"/>
        </w:rPr>
        <w:t>, management and maintenance</w:t>
      </w:r>
    </w:p>
    <w:p w14:paraId="09E4F03F" w14:textId="397E03C5" w:rsidR="00883AAD" w:rsidRDefault="00883AAD" w:rsidP="00F9312C">
      <w:pPr>
        <w:spacing w:line="360" w:lineRule="auto"/>
      </w:pPr>
      <w:r>
        <w:t xml:space="preserve">The decision to build new roads and streets is governed by local </w:t>
      </w:r>
      <w:r w:rsidR="00431F47">
        <w:t xml:space="preserve">development or </w:t>
      </w:r>
      <w:r w:rsidR="00302D30">
        <w:t>zoning</w:t>
      </w:r>
      <w:r>
        <w:t xml:space="preserve"> plans</w:t>
      </w:r>
      <w:r w:rsidR="008F34CA">
        <w:t xml:space="preserve"> (</w:t>
      </w:r>
      <w:proofErr w:type="spellStart"/>
      <w:r w:rsidR="008F34CA" w:rsidRPr="001A7503">
        <w:rPr>
          <w:i/>
        </w:rPr>
        <w:t>Bestemmingsplan</w:t>
      </w:r>
      <w:proofErr w:type="spellEnd"/>
      <w:r w:rsidR="008F34CA">
        <w:t>)</w:t>
      </w:r>
      <w:r>
        <w:t>.</w:t>
      </w:r>
      <w:r w:rsidR="00AF1D86">
        <w:t xml:space="preserve"> The obligation to establish a development plan derives from the </w:t>
      </w:r>
      <w:r w:rsidR="00AB3F36">
        <w:t xml:space="preserve">Wet </w:t>
      </w:r>
      <w:proofErr w:type="spellStart"/>
      <w:r w:rsidR="00AB3F36">
        <w:t>ruimtelijke</w:t>
      </w:r>
      <w:proofErr w:type="spellEnd"/>
      <w:r w:rsidR="00AB3F36">
        <w:t xml:space="preserve"> </w:t>
      </w:r>
      <w:proofErr w:type="spellStart"/>
      <w:r w:rsidR="00AB3F36">
        <w:t>ordening</w:t>
      </w:r>
      <w:proofErr w:type="spellEnd"/>
      <w:r w:rsidR="00AB3F36">
        <w:t xml:space="preserve"> (‘</w:t>
      </w:r>
      <w:r w:rsidR="00AF1D86" w:rsidRPr="00AB3F36">
        <w:rPr>
          <w:i/>
          <w:iCs/>
        </w:rPr>
        <w:t>Spatial Planning Act</w:t>
      </w:r>
      <w:r w:rsidR="00AB3F36">
        <w:t>’)</w:t>
      </w:r>
      <w:r w:rsidR="00CE6D65">
        <w:t>.</w:t>
      </w:r>
      <w:r w:rsidR="00AF1D86">
        <w:rPr>
          <w:rStyle w:val="FootnoteReference"/>
        </w:rPr>
        <w:footnoteReference w:id="33"/>
      </w:r>
      <w:r w:rsidR="00AF1D86">
        <w:t xml:space="preserve"> </w:t>
      </w:r>
      <w:r w:rsidR="005B1453" w:rsidRPr="005B1453">
        <w:t xml:space="preserve">A </w:t>
      </w:r>
      <w:r w:rsidR="009A35C5">
        <w:t xml:space="preserve">development </w:t>
      </w:r>
      <w:r w:rsidR="005B1453" w:rsidRPr="005B1453">
        <w:t>plan consists of destinations and rules. A destination indicates for each piece of land for which it may be used. A zoning plan is usually a mix of management (combating unwanted development) and implementation (enabling development).</w:t>
      </w:r>
      <w:r w:rsidR="00302D30">
        <w:t xml:space="preserve"> </w:t>
      </w:r>
      <w:r w:rsidRPr="005B1453">
        <w:t xml:space="preserve">When, for instance, a new </w:t>
      </w:r>
      <w:r w:rsidR="00CE6D65" w:rsidRPr="005B1453">
        <w:t xml:space="preserve">residential </w:t>
      </w:r>
      <w:r w:rsidRPr="005B1453">
        <w:t xml:space="preserve">area is being planned, the </w:t>
      </w:r>
      <w:r w:rsidR="00302D30">
        <w:t>zoning</w:t>
      </w:r>
      <w:r w:rsidRPr="005B1453">
        <w:t xml:space="preserve"> plan describes land use and the layout of houses, commercial and educational buildings, roads and pavements. </w:t>
      </w:r>
      <w:r w:rsidR="008F34CA">
        <w:t xml:space="preserve">After agreement by the local </w:t>
      </w:r>
      <w:r w:rsidR="00302D30">
        <w:t>c</w:t>
      </w:r>
      <w:r w:rsidR="008F34CA">
        <w:t xml:space="preserve">ouncil, the plan needs to be </w:t>
      </w:r>
      <w:r w:rsidR="00AF1D86">
        <w:t>approved</w:t>
      </w:r>
      <w:r w:rsidR="008F34CA">
        <w:t xml:space="preserve"> by the province. The plan is</w:t>
      </w:r>
      <w:r w:rsidR="001853BF">
        <w:t xml:space="preserve"> then</w:t>
      </w:r>
      <w:r w:rsidR="008F34CA">
        <w:t xml:space="preserve"> leading in the destination and development of the area concerned. It has a legal status and </w:t>
      </w:r>
      <w:r w:rsidR="007B02EC">
        <w:t>any construction activity</w:t>
      </w:r>
      <w:r w:rsidR="00CE6D65">
        <w:t xml:space="preserve"> by inhabitants </w:t>
      </w:r>
      <w:r w:rsidR="007B02EC">
        <w:t>requires a prior permit. Construction without a permit is an administrative</w:t>
      </w:r>
      <w:r w:rsidR="001A7503">
        <w:t xml:space="preserve"> offense </w:t>
      </w:r>
      <w:r w:rsidR="007B02EC">
        <w:t>and will lead to enforcement measures by the local authorities.</w:t>
      </w:r>
    </w:p>
    <w:p w14:paraId="6FAAD03E" w14:textId="6DA9C712" w:rsidR="007B02EC" w:rsidRDefault="007B02EC" w:rsidP="00F9312C">
      <w:pPr>
        <w:spacing w:line="360" w:lineRule="auto"/>
      </w:pPr>
      <w:r>
        <w:t>The Spatial Planning Act does not contain any provisi</w:t>
      </w:r>
      <w:r w:rsidR="001A7503">
        <w:t>on con</w:t>
      </w:r>
      <w:r>
        <w:t>cerning access</w:t>
      </w:r>
      <w:r w:rsidR="001A7503">
        <w:t>i</w:t>
      </w:r>
      <w:r>
        <w:t>bility</w:t>
      </w:r>
      <w:r w:rsidR="001A7503">
        <w:t xml:space="preserve"> of persons with disabilities. The</w:t>
      </w:r>
      <w:r w:rsidR="00302D30">
        <w:t xml:space="preserve"> Act</w:t>
      </w:r>
      <w:r w:rsidR="001A7503">
        <w:t xml:space="preserve"> </w:t>
      </w:r>
      <w:r w:rsidR="00302D30">
        <w:t xml:space="preserve">therefore does not provide a </w:t>
      </w:r>
      <w:r w:rsidR="001A7503">
        <w:t xml:space="preserve">legal obligation for municipalities to include accessibility in their local </w:t>
      </w:r>
      <w:r w:rsidR="00302D30">
        <w:t>zoning</w:t>
      </w:r>
      <w:r w:rsidR="001A7503">
        <w:t xml:space="preserve"> plans.</w:t>
      </w:r>
    </w:p>
    <w:p w14:paraId="46672731" w14:textId="2562D3CF" w:rsidR="00C4023C" w:rsidRDefault="00C26B87" w:rsidP="00F9312C">
      <w:pPr>
        <w:spacing w:line="360" w:lineRule="auto"/>
      </w:pPr>
      <w:r>
        <w:t>U</w:t>
      </w:r>
      <w:r w:rsidR="00C4023C">
        <w:t xml:space="preserve">nder the coming </w:t>
      </w:r>
      <w:proofErr w:type="spellStart"/>
      <w:r w:rsidR="00AB3F36">
        <w:t>Omgevingswet</w:t>
      </w:r>
      <w:proofErr w:type="spellEnd"/>
      <w:r w:rsidR="00AB3F36">
        <w:t xml:space="preserve"> (‘</w:t>
      </w:r>
      <w:r w:rsidR="00AB3F36" w:rsidRPr="00324923">
        <w:rPr>
          <w:i/>
          <w:iCs/>
          <w:szCs w:val="24"/>
        </w:rPr>
        <w:t>Environment and Planning Bill</w:t>
      </w:r>
      <w:r w:rsidR="00AB3F36">
        <w:rPr>
          <w:i/>
          <w:iCs/>
          <w:szCs w:val="24"/>
        </w:rPr>
        <w:t>”)</w:t>
      </w:r>
      <w:r w:rsidR="00C4023C">
        <w:t>,</w:t>
      </w:r>
      <w:r w:rsidRPr="00C26B87">
        <w:t xml:space="preserve"> </w:t>
      </w:r>
      <w:r>
        <w:t>a</w:t>
      </w:r>
      <w:r w:rsidRPr="00C26B87">
        <w:t xml:space="preserve"> municipality </w:t>
      </w:r>
      <w:r>
        <w:t xml:space="preserve">could </w:t>
      </w:r>
      <w:r w:rsidRPr="00C26B87">
        <w:t>includ</w:t>
      </w:r>
      <w:r>
        <w:t>e</w:t>
      </w:r>
      <w:r w:rsidRPr="00C26B87">
        <w:t xml:space="preserve"> an accessibility paragraph in its </w:t>
      </w:r>
      <w:r>
        <w:t>E</w:t>
      </w:r>
      <w:r w:rsidRPr="00C26B87">
        <w:t xml:space="preserve">nvironmental </w:t>
      </w:r>
      <w:r>
        <w:t>V</w:t>
      </w:r>
      <w:r w:rsidRPr="00C26B87">
        <w:t xml:space="preserve">ision. </w:t>
      </w:r>
      <w:r>
        <w:t xml:space="preserve">It can introduce </w:t>
      </w:r>
      <w:r w:rsidRPr="00C26B87">
        <w:t xml:space="preserve">an implementation paragraph in the environmental vision, containing an environmental agenda. An environmental agenda </w:t>
      </w:r>
      <w:r>
        <w:t>comes into being through a</w:t>
      </w:r>
      <w:r w:rsidRPr="00C26B87">
        <w:t xml:space="preserve"> consultation </w:t>
      </w:r>
      <w:r>
        <w:t xml:space="preserve">process </w:t>
      </w:r>
      <w:r w:rsidRPr="00C26B87">
        <w:t xml:space="preserve">that </w:t>
      </w:r>
      <w:r>
        <w:t xml:space="preserve">tackles </w:t>
      </w:r>
      <w:r w:rsidRPr="00C26B87">
        <w:t xml:space="preserve">a certain problem. </w:t>
      </w:r>
    </w:p>
    <w:p w14:paraId="0879F968" w14:textId="77777777" w:rsidR="00C4023C" w:rsidRDefault="00C4023C" w:rsidP="00F9312C">
      <w:pPr>
        <w:spacing w:line="360" w:lineRule="auto"/>
      </w:pPr>
    </w:p>
    <w:p w14:paraId="4D1F5768" w14:textId="2DA356FE" w:rsidR="001D7871" w:rsidRPr="009D796E" w:rsidRDefault="001D7871" w:rsidP="00F9312C">
      <w:pPr>
        <w:pStyle w:val="Heading4"/>
        <w:spacing w:line="360" w:lineRule="auto"/>
        <w:rPr>
          <w:b/>
          <w:bCs w:val="0"/>
        </w:rPr>
      </w:pPr>
      <w:r w:rsidRPr="009D796E">
        <w:rPr>
          <w:b/>
          <w:bCs w:val="0"/>
        </w:rPr>
        <w:t>A1.2.4 Water Boards</w:t>
      </w:r>
    </w:p>
    <w:p w14:paraId="37BADA95" w14:textId="77777777" w:rsidR="001853BF" w:rsidRDefault="001853BF" w:rsidP="00F9312C">
      <w:pPr>
        <w:spacing w:line="360" w:lineRule="auto"/>
      </w:pPr>
    </w:p>
    <w:p w14:paraId="6E4D2962" w14:textId="7F4FE96C" w:rsidR="001D7871" w:rsidRPr="001853BF" w:rsidRDefault="001853BF" w:rsidP="00F9312C">
      <w:pPr>
        <w:spacing w:line="360" w:lineRule="auto"/>
        <w:rPr>
          <w:i/>
          <w:iCs/>
        </w:rPr>
      </w:pPr>
      <w:r w:rsidRPr="001853BF">
        <w:rPr>
          <w:i/>
          <w:iCs/>
        </w:rPr>
        <w:t>Administration</w:t>
      </w:r>
    </w:p>
    <w:p w14:paraId="442D6D23" w14:textId="4FB733AE" w:rsidR="001853BF" w:rsidRDefault="00AD7775" w:rsidP="00F9312C">
      <w:pPr>
        <w:spacing w:line="360" w:lineRule="auto"/>
      </w:pPr>
      <w:r>
        <w:t>Historically, s</w:t>
      </w:r>
      <w:r w:rsidR="001D7871">
        <w:t>urface water management has been an important issue in the Netherlands.</w:t>
      </w:r>
      <w:r w:rsidR="00F25373">
        <w:t xml:space="preserve"> For centuries, the Low Countries have been exposed to</w:t>
      </w:r>
      <w:r w:rsidR="002874E3">
        <w:t xml:space="preserve"> coastal and river</w:t>
      </w:r>
      <w:r w:rsidR="00F25373">
        <w:t xml:space="preserve"> flooding</w:t>
      </w:r>
      <w:r w:rsidR="002874E3">
        <w:t>.</w:t>
      </w:r>
      <w:r w:rsidR="00F25373">
        <w:t xml:space="preserve"> For the prevention of flooding and the management of river</w:t>
      </w:r>
      <w:r w:rsidR="002874E3">
        <w:t>s and the coastal area</w:t>
      </w:r>
      <w:r w:rsidR="00F25373">
        <w:t xml:space="preserve">, specific </w:t>
      </w:r>
      <w:r w:rsidR="002874E3">
        <w:t xml:space="preserve">water management </w:t>
      </w:r>
      <w:r w:rsidR="00F25373">
        <w:t>authorities have been established</w:t>
      </w:r>
      <w:r w:rsidR="002874E3">
        <w:t xml:space="preserve"> as early as the 14</w:t>
      </w:r>
      <w:r w:rsidR="002874E3" w:rsidRPr="002874E3">
        <w:rPr>
          <w:vertAlign w:val="superscript"/>
        </w:rPr>
        <w:t>th</w:t>
      </w:r>
      <w:r w:rsidR="002874E3">
        <w:t xml:space="preserve"> Century.</w:t>
      </w:r>
      <w:r w:rsidR="001D7871">
        <w:t xml:space="preserve"> The country is divided in 21</w:t>
      </w:r>
      <w:r w:rsidR="002874E3">
        <w:t xml:space="preserve"> of these</w:t>
      </w:r>
      <w:r w:rsidR="001D7871">
        <w:t xml:space="preserve"> </w:t>
      </w:r>
      <w:r w:rsidR="002874E3">
        <w:t>w</w:t>
      </w:r>
      <w:r w:rsidR="001D7871">
        <w:t xml:space="preserve">ater </w:t>
      </w:r>
      <w:r w:rsidR="002874E3">
        <w:t>b</w:t>
      </w:r>
      <w:r w:rsidR="001D7871">
        <w:t>oard areas</w:t>
      </w:r>
      <w:r w:rsidR="007D4FAD">
        <w:t>.</w:t>
      </w:r>
      <w:r w:rsidR="001D7871">
        <w:t xml:space="preserve"> </w:t>
      </w:r>
      <w:r w:rsidR="007D4FAD">
        <w:t xml:space="preserve">Water </w:t>
      </w:r>
      <w:r w:rsidR="002874E3">
        <w:t>b</w:t>
      </w:r>
      <w:r w:rsidR="007D4FAD">
        <w:t>oards</w:t>
      </w:r>
      <w:r w:rsidR="001853BF">
        <w:t xml:space="preserve"> </w:t>
      </w:r>
      <w:r w:rsidR="007D4FAD">
        <w:t>are functional public organisations</w:t>
      </w:r>
      <w:r w:rsidR="00134E86">
        <w:t xml:space="preserve">. The boards are democratically elected. At the head of the executive is the </w:t>
      </w:r>
      <w:r w:rsidR="00B72402">
        <w:t>dike warden (</w:t>
      </w:r>
      <w:r w:rsidR="00B72402" w:rsidRPr="00B72402">
        <w:rPr>
          <w:i/>
          <w:iCs/>
        </w:rPr>
        <w:t>‘</w:t>
      </w:r>
      <w:proofErr w:type="spellStart"/>
      <w:r w:rsidR="00B72402" w:rsidRPr="00B72402">
        <w:rPr>
          <w:i/>
          <w:iCs/>
        </w:rPr>
        <w:t>Dijkgraaf</w:t>
      </w:r>
      <w:proofErr w:type="spellEnd"/>
      <w:r w:rsidR="00B72402" w:rsidRPr="00B72402">
        <w:rPr>
          <w:i/>
          <w:iCs/>
        </w:rPr>
        <w:t>’</w:t>
      </w:r>
      <w:r w:rsidR="00B72402">
        <w:t xml:space="preserve">), who is appointed by the central government for a period of </w:t>
      </w:r>
      <w:r w:rsidR="00F25373">
        <w:t>six</w:t>
      </w:r>
      <w:r w:rsidR="00B72402">
        <w:t xml:space="preserve"> years.</w:t>
      </w:r>
      <w:r w:rsidR="00F25373">
        <w:rPr>
          <w:rStyle w:val="FootnoteReference"/>
        </w:rPr>
        <w:footnoteReference w:id="34"/>
      </w:r>
      <w:r w:rsidR="007D4FAD">
        <w:t xml:space="preserve"> </w:t>
      </w:r>
      <w:r w:rsidR="00134E86">
        <w:t xml:space="preserve">It is the </w:t>
      </w:r>
      <w:r w:rsidR="002874E3">
        <w:t>w</w:t>
      </w:r>
      <w:r w:rsidR="00134E86">
        <w:t xml:space="preserve">ater </w:t>
      </w:r>
      <w:r w:rsidR="002874E3">
        <w:t>b</w:t>
      </w:r>
      <w:r w:rsidR="00134E86">
        <w:t xml:space="preserve">oards’ </w:t>
      </w:r>
      <w:r w:rsidR="001D7871">
        <w:t>task to manage water level and water quality management,</w:t>
      </w:r>
      <w:r w:rsidR="007D4FAD">
        <w:t xml:space="preserve"> maintain</w:t>
      </w:r>
      <w:r w:rsidR="001D7871">
        <w:t xml:space="preserve"> </w:t>
      </w:r>
      <w:r w:rsidR="007D4FAD">
        <w:t>navigable waterways</w:t>
      </w:r>
      <w:r w:rsidR="001D7871">
        <w:t xml:space="preserve"> and </w:t>
      </w:r>
      <w:r w:rsidR="007D4FAD">
        <w:t xml:space="preserve">carry out </w:t>
      </w:r>
      <w:r w:rsidR="001D7871">
        <w:t>wastewater treatment.</w:t>
      </w:r>
      <w:r w:rsidR="007D4FAD">
        <w:t xml:space="preserve"> </w:t>
      </w:r>
      <w:r>
        <w:t>The statutory tasks</w:t>
      </w:r>
      <w:r w:rsidR="00A01368">
        <w:t xml:space="preserve"> of the </w:t>
      </w:r>
      <w:r w:rsidR="002874E3">
        <w:t>b</w:t>
      </w:r>
      <w:r w:rsidR="00A01368">
        <w:t>oards</w:t>
      </w:r>
      <w:r>
        <w:t xml:space="preserve"> are codified in the </w:t>
      </w:r>
      <w:proofErr w:type="spellStart"/>
      <w:r w:rsidR="00826780" w:rsidRPr="00826780">
        <w:t>Waterschapswet</w:t>
      </w:r>
      <w:proofErr w:type="spellEnd"/>
      <w:r w:rsidR="00826780">
        <w:t xml:space="preserve"> (’</w:t>
      </w:r>
      <w:r w:rsidRPr="00826780">
        <w:rPr>
          <w:i/>
          <w:iCs/>
        </w:rPr>
        <w:t xml:space="preserve">Regional Water </w:t>
      </w:r>
      <w:r w:rsidR="00A01368" w:rsidRPr="00826780">
        <w:rPr>
          <w:i/>
          <w:iCs/>
        </w:rPr>
        <w:t>Boards</w:t>
      </w:r>
      <w:r w:rsidRPr="00826780">
        <w:rPr>
          <w:i/>
          <w:iCs/>
        </w:rPr>
        <w:t xml:space="preserve"> Act</w:t>
      </w:r>
      <w:r w:rsidR="00826780">
        <w:t>’</w:t>
      </w:r>
      <w:r>
        <w:t>).</w:t>
      </w:r>
      <w:r w:rsidR="00A01368">
        <w:rPr>
          <w:rStyle w:val="FootnoteReference"/>
        </w:rPr>
        <w:footnoteReference w:id="35"/>
      </w:r>
      <w:r>
        <w:t xml:space="preserve"> </w:t>
      </w:r>
      <w:r w:rsidR="007D4FAD">
        <w:t>The regional areas are determined by water-related geographical factors such as catchment basins, d</w:t>
      </w:r>
      <w:r w:rsidR="00F25373">
        <w:t>i</w:t>
      </w:r>
      <w:r w:rsidR="007D4FAD">
        <w:t>ke rings, pumping and water storage areas. Because the boards are functional public entities, they do not correspond with provincial or municipal boundaries.</w:t>
      </w:r>
    </w:p>
    <w:p w14:paraId="05CFB619" w14:textId="77777777" w:rsidR="001853BF" w:rsidRDefault="001853BF" w:rsidP="00F9312C">
      <w:pPr>
        <w:spacing w:line="360" w:lineRule="auto"/>
      </w:pPr>
    </w:p>
    <w:p w14:paraId="775E8EC0" w14:textId="77777777" w:rsidR="001853BF" w:rsidRPr="00C47B56" w:rsidRDefault="001853BF" w:rsidP="00F9312C">
      <w:pPr>
        <w:spacing w:line="360" w:lineRule="auto"/>
        <w:rPr>
          <w:rFonts w:cs="Arial"/>
          <w:i/>
          <w:iCs/>
          <w:szCs w:val="24"/>
        </w:rPr>
      </w:pPr>
      <w:r w:rsidRPr="00C47B56">
        <w:rPr>
          <w:rFonts w:cs="Arial"/>
          <w:i/>
          <w:iCs/>
          <w:szCs w:val="24"/>
        </w:rPr>
        <w:t>Street design</w:t>
      </w:r>
      <w:r>
        <w:rPr>
          <w:rFonts w:cs="Arial"/>
          <w:i/>
          <w:iCs/>
          <w:szCs w:val="24"/>
        </w:rPr>
        <w:t>, management and maintenance</w:t>
      </w:r>
    </w:p>
    <w:p w14:paraId="38567CDC" w14:textId="5AD2CBD8" w:rsidR="001D7871" w:rsidRDefault="00AD7775" w:rsidP="00F9312C">
      <w:pPr>
        <w:spacing w:line="360" w:lineRule="auto"/>
      </w:pPr>
      <w:r>
        <w:t>Part of the responsibility</w:t>
      </w:r>
      <w:r w:rsidR="001853BF">
        <w:t xml:space="preserve"> </w:t>
      </w:r>
      <w:r>
        <w:t xml:space="preserve">of the </w:t>
      </w:r>
      <w:r w:rsidR="00F25373">
        <w:t>w</w:t>
      </w:r>
      <w:r>
        <w:t xml:space="preserve">ater </w:t>
      </w:r>
      <w:r w:rsidR="00F25373">
        <w:t>b</w:t>
      </w:r>
      <w:r>
        <w:t xml:space="preserve">oards is maintenance of roads within their direct service areas. </w:t>
      </w:r>
      <w:r w:rsidR="00AF052B">
        <w:t xml:space="preserve">However, </w:t>
      </w:r>
      <w:r>
        <w:t xml:space="preserve">road management is applicable in </w:t>
      </w:r>
      <w:r w:rsidR="00AF052B">
        <w:t xml:space="preserve">only </w:t>
      </w:r>
      <w:r w:rsidR="00A01368">
        <w:t>five</w:t>
      </w:r>
      <w:r>
        <w:t xml:space="preserve"> of the 21 Water Boards</w:t>
      </w:r>
      <w:r w:rsidR="005821D8">
        <w:t>.</w:t>
      </w:r>
      <w:r w:rsidR="001914AF">
        <w:rPr>
          <w:rStyle w:val="FootnoteReference"/>
        </w:rPr>
        <w:footnoteReference w:id="36"/>
      </w:r>
      <w:r w:rsidR="00A01368">
        <w:t xml:space="preserve"> </w:t>
      </w:r>
      <w:r w:rsidR="00A9351C">
        <w:t xml:space="preserve">Currently, four of these </w:t>
      </w:r>
      <w:r w:rsidR="00F25373">
        <w:t>b</w:t>
      </w:r>
      <w:r w:rsidR="00A9351C">
        <w:t>oards are discussing the transfer of road management to municipalities</w:t>
      </w:r>
      <w:r w:rsidR="00AC5CE8">
        <w:t>.</w:t>
      </w:r>
      <w:r w:rsidR="00AC5CE8">
        <w:rPr>
          <w:rStyle w:val="FootnoteReference"/>
        </w:rPr>
        <w:footnoteReference w:id="37"/>
      </w:r>
      <w:r w:rsidR="00A9351C">
        <w:t xml:space="preserve"> </w:t>
      </w:r>
      <w:r w:rsidR="005821D8">
        <w:t xml:space="preserve">Other </w:t>
      </w:r>
      <w:r w:rsidR="00F25373">
        <w:t xml:space="preserve">water boards </w:t>
      </w:r>
      <w:r w:rsidR="005821D8">
        <w:t xml:space="preserve">have no responsibility for road management. Roads </w:t>
      </w:r>
      <w:r w:rsidR="00AF052B">
        <w:t>with</w:t>
      </w:r>
      <w:r w:rsidR="005821D8">
        <w:t>in their</w:t>
      </w:r>
      <w:r w:rsidR="00A9351C">
        <w:t xml:space="preserve"> service</w:t>
      </w:r>
      <w:r w:rsidR="005821D8">
        <w:t xml:space="preserve"> areas are managed by provinces or municipalities. </w:t>
      </w:r>
    </w:p>
    <w:p w14:paraId="04006400" w14:textId="14C9284A" w:rsidR="00FE213B" w:rsidRPr="00A9351C" w:rsidRDefault="00A9351C" w:rsidP="00F9312C">
      <w:pPr>
        <w:spacing w:line="360" w:lineRule="auto"/>
        <w:rPr>
          <w:rFonts w:eastAsia="Times New Roman" w:cs="Arial"/>
          <w:szCs w:val="24"/>
          <w:lang w:eastAsia="nl-NL"/>
        </w:rPr>
      </w:pPr>
      <w:r w:rsidRPr="00A9351C">
        <w:rPr>
          <w:rFonts w:eastAsia="Times New Roman" w:cs="Arial"/>
          <w:szCs w:val="24"/>
          <w:lang w:eastAsia="nl-NL"/>
        </w:rPr>
        <w:t xml:space="preserve">Applicable </w:t>
      </w:r>
      <w:r w:rsidR="005821D8" w:rsidRPr="00A9351C">
        <w:rPr>
          <w:rFonts w:eastAsia="Times New Roman" w:cs="Arial"/>
          <w:szCs w:val="24"/>
          <w:lang w:eastAsia="nl-NL"/>
        </w:rPr>
        <w:t xml:space="preserve">rules and regulations relating to </w:t>
      </w:r>
      <w:r w:rsidRPr="00A9351C">
        <w:rPr>
          <w:rFonts w:eastAsia="Times New Roman" w:cs="Arial"/>
          <w:szCs w:val="24"/>
          <w:lang w:eastAsia="nl-NL"/>
        </w:rPr>
        <w:t xml:space="preserve">road management are </w:t>
      </w:r>
      <w:r>
        <w:rPr>
          <w:rFonts w:eastAsia="Times New Roman" w:cs="Arial"/>
          <w:szCs w:val="24"/>
          <w:lang w:eastAsia="nl-NL"/>
        </w:rPr>
        <w:t>guided by the Roads Act.</w:t>
      </w:r>
      <w:r w:rsidR="00AC5CE8">
        <w:rPr>
          <w:rFonts w:eastAsia="Times New Roman" w:cs="Arial"/>
          <w:szCs w:val="24"/>
          <w:lang w:eastAsia="nl-NL"/>
        </w:rPr>
        <w:t xml:space="preserve"> </w:t>
      </w:r>
      <w:proofErr w:type="gramStart"/>
      <w:r w:rsidR="00F25373">
        <w:rPr>
          <w:rFonts w:eastAsia="Times New Roman" w:cs="Arial"/>
          <w:szCs w:val="24"/>
          <w:lang w:eastAsia="nl-NL"/>
        </w:rPr>
        <w:t>water</w:t>
      </w:r>
      <w:proofErr w:type="gramEnd"/>
      <w:r w:rsidR="00F25373">
        <w:rPr>
          <w:rFonts w:eastAsia="Times New Roman" w:cs="Arial"/>
          <w:szCs w:val="24"/>
          <w:lang w:eastAsia="nl-NL"/>
        </w:rPr>
        <w:t xml:space="preserve"> boards </w:t>
      </w:r>
      <w:r w:rsidR="00AC5CE8">
        <w:rPr>
          <w:rFonts w:eastAsia="Times New Roman" w:cs="Arial"/>
          <w:szCs w:val="24"/>
          <w:lang w:eastAsia="nl-NL"/>
        </w:rPr>
        <w:t xml:space="preserve">do not specifically </w:t>
      </w:r>
      <w:r w:rsidR="00F25373">
        <w:rPr>
          <w:rFonts w:eastAsia="Times New Roman" w:cs="Arial"/>
          <w:szCs w:val="24"/>
          <w:lang w:eastAsia="nl-NL"/>
        </w:rPr>
        <w:t>act in the</w:t>
      </w:r>
      <w:r w:rsidR="00AC5CE8">
        <w:rPr>
          <w:rFonts w:eastAsia="Times New Roman" w:cs="Arial"/>
          <w:szCs w:val="24"/>
          <w:lang w:eastAsia="nl-NL"/>
        </w:rPr>
        <w:t xml:space="preserve"> development plans for roads. Because of their functional nature, the boards are involved in advising water management aspects in municipal spatial plans.</w:t>
      </w:r>
      <w:r w:rsidR="00AC5CE8">
        <w:rPr>
          <w:rStyle w:val="FootnoteReference"/>
          <w:rFonts w:eastAsia="Times New Roman" w:cs="Arial"/>
          <w:szCs w:val="24"/>
          <w:lang w:eastAsia="nl-NL"/>
        </w:rPr>
        <w:footnoteReference w:id="38"/>
      </w:r>
      <w:r w:rsidR="00AC5CE8">
        <w:rPr>
          <w:rFonts w:eastAsia="Times New Roman" w:cs="Arial"/>
          <w:szCs w:val="24"/>
          <w:lang w:eastAsia="nl-NL"/>
        </w:rPr>
        <w:t xml:space="preserve"> </w:t>
      </w:r>
      <w:r w:rsidR="00210F4F">
        <w:rPr>
          <w:rFonts w:eastAsia="Times New Roman" w:cs="Arial"/>
          <w:szCs w:val="24"/>
          <w:lang w:eastAsia="nl-NL"/>
        </w:rPr>
        <w:t xml:space="preserve">In view of these circumstances, the report will not </w:t>
      </w:r>
      <w:r w:rsidR="00AF052B">
        <w:rPr>
          <w:rFonts w:eastAsia="Times New Roman" w:cs="Arial"/>
          <w:szCs w:val="24"/>
          <w:lang w:eastAsia="nl-NL"/>
        </w:rPr>
        <w:t xml:space="preserve">further </w:t>
      </w:r>
      <w:r w:rsidR="00210F4F">
        <w:rPr>
          <w:rFonts w:eastAsia="Times New Roman" w:cs="Arial"/>
          <w:szCs w:val="24"/>
          <w:lang w:eastAsia="nl-NL"/>
        </w:rPr>
        <w:t xml:space="preserve">refer to water board rules and regulations relating to accessibility of streets. </w:t>
      </w:r>
    </w:p>
    <w:p w14:paraId="72D0FB96" w14:textId="77777777" w:rsidR="001109F6" w:rsidRPr="00AC5CE8" w:rsidRDefault="001109F6" w:rsidP="00F9312C">
      <w:pPr>
        <w:spacing w:line="360" w:lineRule="auto"/>
        <w:rPr>
          <w:szCs w:val="24"/>
        </w:rPr>
      </w:pPr>
    </w:p>
    <w:p w14:paraId="5FA46C36" w14:textId="4644A750" w:rsidR="005F0C1F" w:rsidRPr="00694BCE" w:rsidRDefault="005F0C1F" w:rsidP="00F9312C">
      <w:pPr>
        <w:pStyle w:val="Heading2"/>
        <w:spacing w:line="360" w:lineRule="auto"/>
      </w:pPr>
      <w:r w:rsidRPr="00694BCE">
        <w:t>A2</w:t>
      </w:r>
      <w:r w:rsidR="00E614DE" w:rsidRPr="00694BCE">
        <w:t xml:space="preserve"> </w:t>
      </w:r>
      <w:r w:rsidRPr="00694BCE">
        <w:t>International Commitments</w:t>
      </w:r>
    </w:p>
    <w:p w14:paraId="41D830C1" w14:textId="77777777" w:rsidR="00192E65" w:rsidRPr="00B21844" w:rsidRDefault="00192E65" w:rsidP="00F9312C">
      <w:pPr>
        <w:spacing w:line="360" w:lineRule="auto"/>
        <w:ind w:left="720"/>
      </w:pPr>
    </w:p>
    <w:p w14:paraId="1DD32D7D" w14:textId="77777777" w:rsidR="005F0C1F" w:rsidRPr="009D796E" w:rsidRDefault="005F0C1F" w:rsidP="00F9312C">
      <w:pPr>
        <w:pStyle w:val="Heading3"/>
        <w:spacing w:line="360" w:lineRule="auto"/>
        <w:rPr>
          <w:b/>
          <w:bCs w:val="0"/>
        </w:rPr>
      </w:pPr>
      <w:r w:rsidRPr="009D796E">
        <w:rPr>
          <w:b/>
          <w:bCs w:val="0"/>
        </w:rPr>
        <w:t>A2.1</w:t>
      </w:r>
      <w:r w:rsidR="00E614DE" w:rsidRPr="009D796E">
        <w:rPr>
          <w:b/>
          <w:bCs w:val="0"/>
        </w:rPr>
        <w:tab/>
      </w:r>
      <w:r w:rsidRPr="009D796E">
        <w:rPr>
          <w:b/>
          <w:bCs w:val="0"/>
        </w:rPr>
        <w:t>UN Convention on the Rights of Persons with Disabilities</w:t>
      </w:r>
    </w:p>
    <w:p w14:paraId="4984D1ED" w14:textId="6A235530" w:rsidR="00192E65" w:rsidRDefault="00192E65" w:rsidP="00F9312C">
      <w:pPr>
        <w:spacing w:line="360" w:lineRule="auto"/>
        <w:ind w:left="720"/>
      </w:pPr>
    </w:p>
    <w:p w14:paraId="6EA670B2" w14:textId="3165C40D" w:rsidR="00C6657B" w:rsidRPr="00C6657B" w:rsidRDefault="00C6657B" w:rsidP="00F9312C">
      <w:pPr>
        <w:spacing w:line="360" w:lineRule="auto"/>
        <w:rPr>
          <w:i/>
          <w:iCs/>
        </w:rPr>
      </w:pPr>
      <w:r w:rsidRPr="00C6657B">
        <w:rPr>
          <w:i/>
          <w:iCs/>
        </w:rPr>
        <w:t>Ratification and implementation</w:t>
      </w:r>
    </w:p>
    <w:p w14:paraId="4A7F055D" w14:textId="77777777" w:rsidR="009B6548" w:rsidRDefault="00030D5B" w:rsidP="00F9312C">
      <w:pPr>
        <w:spacing w:line="360" w:lineRule="auto"/>
      </w:pPr>
      <w:r>
        <w:t>The Netherlands signed the Convention on the Rights of Persons with Disabilities on 30 March 2007.</w:t>
      </w:r>
      <w:r w:rsidR="00636371">
        <w:rPr>
          <w:rStyle w:val="FootnoteReference"/>
        </w:rPr>
        <w:footnoteReference w:id="39"/>
      </w:r>
      <w:r>
        <w:t xml:space="preserve"> Ratification took place on 14 June 2016</w:t>
      </w:r>
      <w:r w:rsidR="00C6657B">
        <w:t>, more than nine years later</w:t>
      </w:r>
      <w:r>
        <w:t>.</w:t>
      </w:r>
      <w:r w:rsidR="009C5980">
        <w:rPr>
          <w:rStyle w:val="FootnoteReference"/>
        </w:rPr>
        <w:footnoteReference w:id="40"/>
      </w:r>
      <w:r>
        <w:t xml:space="preserve"> </w:t>
      </w:r>
    </w:p>
    <w:p w14:paraId="6DF2CEF9" w14:textId="507C4565" w:rsidR="00030D5B" w:rsidRDefault="009C5980" w:rsidP="00F9312C">
      <w:pPr>
        <w:spacing w:line="360" w:lineRule="auto"/>
      </w:pPr>
      <w:r>
        <w:t>At the time of ratifying, the Netherlands government submitted se</w:t>
      </w:r>
      <w:r w:rsidR="00C27A9F">
        <w:t>ven interpretative declarations</w:t>
      </w:r>
      <w:r w:rsidR="00981EC8">
        <w:t xml:space="preserve"> to the Convention</w:t>
      </w:r>
      <w:r>
        <w:t>. The content of the</w:t>
      </w:r>
      <w:r w:rsidR="00981EC8">
        <w:t>se</w:t>
      </w:r>
      <w:r>
        <w:t xml:space="preserve"> declarations has been criticized, among others by the National Institute for Human Rights in its independent report </w:t>
      </w:r>
      <w:r w:rsidR="005C5330">
        <w:t>to the CRPD committee</w:t>
      </w:r>
      <w:r>
        <w:t>.</w:t>
      </w:r>
      <w:r w:rsidR="005C5330">
        <w:rPr>
          <w:rStyle w:val="FootnoteReference"/>
        </w:rPr>
        <w:footnoteReference w:id="41"/>
      </w:r>
      <w:r>
        <w:t xml:space="preserve"> </w:t>
      </w:r>
      <w:r w:rsidR="00E55288">
        <w:t>H</w:t>
      </w:r>
      <w:r w:rsidR="00981EC8">
        <w:t>owever, none of the declarations relates to the accessibility of public space.</w:t>
      </w:r>
    </w:p>
    <w:p w14:paraId="60695386" w14:textId="3C6663DC" w:rsidR="009E62CC" w:rsidRDefault="009E62CC" w:rsidP="00F9312C">
      <w:pPr>
        <w:spacing w:line="360" w:lineRule="auto"/>
      </w:pPr>
      <w:r>
        <w:t>Within the government, the minister for Health</w:t>
      </w:r>
      <w:r w:rsidR="00981EC8">
        <w:t>,</w:t>
      </w:r>
      <w:r>
        <w:t xml:space="preserve"> Welfare and Sport was appointed as the coordinating minister.</w:t>
      </w:r>
      <w:r w:rsidR="00EF1A79">
        <w:rPr>
          <w:rStyle w:val="FootnoteReference"/>
        </w:rPr>
        <w:footnoteReference w:id="42"/>
      </w:r>
      <w:r>
        <w:t xml:space="preserve"> </w:t>
      </w:r>
    </w:p>
    <w:p w14:paraId="6979E002" w14:textId="77777777" w:rsidR="00E55288" w:rsidRDefault="00E55288" w:rsidP="00F9312C">
      <w:pPr>
        <w:spacing w:line="360" w:lineRule="auto"/>
      </w:pPr>
    </w:p>
    <w:p w14:paraId="7767DF97" w14:textId="5286892C" w:rsidR="00981EC8" w:rsidRPr="00E55288" w:rsidRDefault="00E55288" w:rsidP="00F9312C">
      <w:pPr>
        <w:spacing w:line="360" w:lineRule="auto"/>
        <w:rPr>
          <w:i/>
          <w:iCs/>
        </w:rPr>
      </w:pPr>
      <w:r w:rsidRPr="00E55288">
        <w:rPr>
          <w:i/>
          <w:iCs/>
        </w:rPr>
        <w:t>Amended legislation</w:t>
      </w:r>
      <w:r w:rsidR="00981EC8" w:rsidRPr="00E55288">
        <w:rPr>
          <w:i/>
          <w:iCs/>
        </w:rPr>
        <w:t xml:space="preserve"> </w:t>
      </w:r>
    </w:p>
    <w:p w14:paraId="2AD9CA01" w14:textId="78D62384" w:rsidR="00636371" w:rsidRDefault="00981EC8" w:rsidP="00F9312C">
      <w:pPr>
        <w:spacing w:line="360" w:lineRule="auto"/>
      </w:pPr>
      <w:r>
        <w:t xml:space="preserve">In order to implement the Convention, the government proposed changes in </w:t>
      </w:r>
      <w:r w:rsidR="005B0048">
        <w:t>five</w:t>
      </w:r>
      <w:r>
        <w:t xml:space="preserve"> laws</w:t>
      </w:r>
      <w:r w:rsidR="005B0048">
        <w:t xml:space="preserve"> in the Implementation Bill</w:t>
      </w:r>
      <w:r>
        <w:t>.</w:t>
      </w:r>
      <w:r w:rsidR="005F511B">
        <w:rPr>
          <w:rStyle w:val="FootnoteReference"/>
        </w:rPr>
        <w:footnoteReference w:id="43"/>
      </w:r>
      <w:r>
        <w:t xml:space="preserve"> The Voting Act (</w:t>
      </w:r>
      <w:proofErr w:type="spellStart"/>
      <w:r w:rsidRPr="00A6608E">
        <w:rPr>
          <w:i/>
        </w:rPr>
        <w:t>Kieswet</w:t>
      </w:r>
      <w:proofErr w:type="spellEnd"/>
      <w:r>
        <w:t>) and the Act on Equal Treatment on grounds of disability and chronic illness (</w:t>
      </w:r>
      <w:r w:rsidR="00A6608E">
        <w:t xml:space="preserve">further referred to with its Dutch acronym </w:t>
      </w:r>
      <w:proofErr w:type="spellStart"/>
      <w:r w:rsidR="00A6608E" w:rsidRPr="00981EC8">
        <w:rPr>
          <w:i/>
        </w:rPr>
        <w:t>Wgbh</w:t>
      </w:r>
      <w:proofErr w:type="spellEnd"/>
      <w:r w:rsidR="00A6608E" w:rsidRPr="00981EC8">
        <w:rPr>
          <w:i/>
        </w:rPr>
        <w:t>/</w:t>
      </w:r>
      <w:proofErr w:type="spellStart"/>
      <w:r w:rsidR="00A6608E" w:rsidRPr="00981EC8">
        <w:rPr>
          <w:i/>
        </w:rPr>
        <w:t>cz</w:t>
      </w:r>
      <w:proofErr w:type="spellEnd"/>
      <w:r w:rsidR="00A6608E">
        <w:rPr>
          <w:i/>
        </w:rPr>
        <w:t xml:space="preserve"> (</w:t>
      </w:r>
      <w:r w:rsidRPr="00981EC8">
        <w:rPr>
          <w:i/>
        </w:rPr>
        <w:t xml:space="preserve">Wet </w:t>
      </w:r>
      <w:proofErr w:type="spellStart"/>
      <w:r w:rsidRPr="00981EC8">
        <w:rPr>
          <w:i/>
        </w:rPr>
        <w:t>gelijke</w:t>
      </w:r>
      <w:proofErr w:type="spellEnd"/>
      <w:r w:rsidRPr="00981EC8">
        <w:rPr>
          <w:i/>
        </w:rPr>
        <w:t xml:space="preserve"> </w:t>
      </w:r>
      <w:proofErr w:type="spellStart"/>
      <w:r w:rsidRPr="00981EC8">
        <w:rPr>
          <w:i/>
        </w:rPr>
        <w:t>behandeling</w:t>
      </w:r>
      <w:proofErr w:type="spellEnd"/>
      <w:r w:rsidRPr="00981EC8">
        <w:rPr>
          <w:i/>
        </w:rPr>
        <w:t xml:space="preserve"> op </w:t>
      </w:r>
      <w:proofErr w:type="spellStart"/>
      <w:r w:rsidRPr="00981EC8">
        <w:rPr>
          <w:i/>
        </w:rPr>
        <w:t>grond</w:t>
      </w:r>
      <w:proofErr w:type="spellEnd"/>
      <w:r w:rsidRPr="00981EC8">
        <w:rPr>
          <w:i/>
        </w:rPr>
        <w:t xml:space="preserve"> van handicap/</w:t>
      </w:r>
      <w:proofErr w:type="spellStart"/>
      <w:r w:rsidRPr="00981EC8">
        <w:rPr>
          <w:i/>
        </w:rPr>
        <w:t>chronische</w:t>
      </w:r>
      <w:proofErr w:type="spellEnd"/>
      <w:r w:rsidRPr="00981EC8">
        <w:rPr>
          <w:i/>
        </w:rPr>
        <w:t xml:space="preserve"> </w:t>
      </w:r>
      <w:proofErr w:type="spellStart"/>
      <w:r w:rsidRPr="00981EC8">
        <w:rPr>
          <w:i/>
        </w:rPr>
        <w:t>ziekte</w:t>
      </w:r>
      <w:proofErr w:type="spellEnd"/>
      <w:r>
        <w:t>)</w:t>
      </w:r>
      <w:r w:rsidR="00A6608E">
        <w:t>)</w:t>
      </w:r>
      <w:r>
        <w:t xml:space="preserve"> were </w:t>
      </w:r>
      <w:r w:rsidR="00636371">
        <w:t>amended</w:t>
      </w:r>
      <w:r>
        <w:t xml:space="preserve"> so as to </w:t>
      </w:r>
      <w:r w:rsidR="00DC1317">
        <w:t>bring them in line with</w:t>
      </w:r>
      <w:r>
        <w:t xml:space="preserve"> the CRPD.</w:t>
      </w:r>
      <w:r w:rsidR="005B0048">
        <w:t xml:space="preserve"> </w:t>
      </w:r>
    </w:p>
    <w:p w14:paraId="7D826960" w14:textId="1A41723A" w:rsidR="00152219" w:rsidRDefault="00981EC8" w:rsidP="00F9312C">
      <w:pPr>
        <w:spacing w:line="360" w:lineRule="auto"/>
      </w:pPr>
      <w:r>
        <w:t>The equal treatment act was extended with</w:t>
      </w:r>
      <w:r w:rsidR="003606CA">
        <w:t xml:space="preserve"> a prohibition of discrimination on grounds of disability in</w:t>
      </w:r>
      <w:r>
        <w:t xml:space="preserve"> the access to and supply of goods and services.</w:t>
      </w:r>
      <w:r w:rsidR="00A6608E">
        <w:rPr>
          <w:rStyle w:val="FootnoteReference"/>
        </w:rPr>
        <w:footnoteReference w:id="44"/>
      </w:r>
      <w:r w:rsidR="005B0048">
        <w:t xml:space="preserve"> </w:t>
      </w:r>
    </w:p>
    <w:p w14:paraId="78E2E10D" w14:textId="14635593" w:rsidR="005B0048" w:rsidRDefault="005B0048" w:rsidP="00F9312C">
      <w:pPr>
        <w:spacing w:line="360" w:lineRule="auto"/>
      </w:pPr>
      <w:r>
        <w:t xml:space="preserve">The Implementation Bill amended </w:t>
      </w:r>
      <w:r w:rsidRPr="005B0048">
        <w:t xml:space="preserve">the regulation in the </w:t>
      </w:r>
      <w:r>
        <w:t xml:space="preserve">Voting Act so that </w:t>
      </w:r>
      <w:r w:rsidR="001853BF">
        <w:t>‘</w:t>
      </w:r>
      <w:r>
        <w:t>as many</w:t>
      </w:r>
      <w:r w:rsidRPr="005B0048">
        <w:t xml:space="preserve"> as possible</w:t>
      </w:r>
      <w:r w:rsidR="001853BF">
        <w:t>’</w:t>
      </w:r>
      <w:r w:rsidRPr="005B0048">
        <w:t xml:space="preserve"> but at least 25% of the polling stations in the municipality must be located and furnished in such a way that voters with a physical disability can vote as independently as possible.</w:t>
      </w:r>
      <w:r>
        <w:t xml:space="preserve"> In the parliamentary </w:t>
      </w:r>
      <w:r w:rsidR="00022DAF">
        <w:t>process</w:t>
      </w:r>
      <w:r>
        <w:t xml:space="preserve">, the percentage of 25% was dropped and replaced by the obligation for municipalities to </w:t>
      </w:r>
      <w:r w:rsidR="00152219">
        <w:t>guarantee</w:t>
      </w:r>
      <w:r>
        <w:t xml:space="preserve"> that </w:t>
      </w:r>
      <w:r w:rsidRPr="005B0048">
        <w:rPr>
          <w:i/>
        </w:rPr>
        <w:t>all</w:t>
      </w:r>
      <w:r>
        <w:t xml:space="preserve"> polling stations must be located and furnished to </w:t>
      </w:r>
      <w:r w:rsidR="00152219">
        <w:t>accommodate</w:t>
      </w:r>
      <w:r>
        <w:t xml:space="preserve"> voters with a physical disability.</w:t>
      </w:r>
      <w:r w:rsidR="00152219">
        <w:rPr>
          <w:rStyle w:val="FootnoteReference"/>
        </w:rPr>
        <w:footnoteReference w:id="45"/>
      </w:r>
    </w:p>
    <w:p w14:paraId="7F856CBA" w14:textId="61D98F96" w:rsidR="00152219" w:rsidRPr="00DC1317" w:rsidRDefault="00DC1317" w:rsidP="00F9312C">
      <w:pPr>
        <w:pStyle w:val="Default"/>
        <w:spacing w:line="360" w:lineRule="auto"/>
        <w:rPr>
          <w:rFonts w:ascii="Arial" w:hAnsi="Arial" w:cs="Arial"/>
          <w:lang w:val="en-GB"/>
        </w:rPr>
      </w:pPr>
      <w:r w:rsidRPr="00DC1317">
        <w:rPr>
          <w:rFonts w:ascii="Arial" w:hAnsi="Arial" w:cs="Arial"/>
          <w:lang w:val="en-GB"/>
        </w:rPr>
        <w:t xml:space="preserve">Furthermore, </w:t>
      </w:r>
      <w:r>
        <w:rPr>
          <w:rFonts w:ascii="Arial" w:hAnsi="Arial" w:cs="Arial"/>
          <w:lang w:val="en-GB"/>
        </w:rPr>
        <w:t xml:space="preserve">three other acts were amended: </w:t>
      </w:r>
      <w:r w:rsidRPr="00DC1317">
        <w:rPr>
          <w:rFonts w:ascii="Arial" w:hAnsi="Arial" w:cs="Arial"/>
          <w:lang w:val="en-GB"/>
        </w:rPr>
        <w:t>the Participation Act, the Youth Act and the Social Support Act 2015</w:t>
      </w:r>
      <w:r>
        <w:rPr>
          <w:rFonts w:ascii="Arial" w:hAnsi="Arial" w:cs="Arial"/>
          <w:lang w:val="en-GB"/>
        </w:rPr>
        <w:t>.</w:t>
      </w:r>
      <w:r w:rsidRPr="00DC1317">
        <w:rPr>
          <w:rFonts w:ascii="Arial" w:hAnsi="Arial" w:cs="Arial"/>
          <w:lang w:val="en-GB"/>
        </w:rPr>
        <w:t xml:space="preserve"> </w:t>
      </w:r>
      <w:r w:rsidR="00152219" w:rsidRPr="00DC1317">
        <w:rPr>
          <w:rFonts w:ascii="Arial" w:hAnsi="Arial" w:cs="Arial"/>
          <w:lang w:val="en-GB"/>
        </w:rPr>
        <w:t>In the</w:t>
      </w:r>
      <w:r>
        <w:rPr>
          <w:rFonts w:ascii="Arial" w:hAnsi="Arial" w:cs="Arial"/>
          <w:lang w:val="en-GB"/>
        </w:rPr>
        <w:t>se</w:t>
      </w:r>
      <w:r w:rsidR="00152219" w:rsidRPr="00DC1317">
        <w:rPr>
          <w:rFonts w:ascii="Arial" w:hAnsi="Arial" w:cs="Arial"/>
          <w:lang w:val="en-GB"/>
        </w:rPr>
        <w:t xml:space="preserve"> </w:t>
      </w:r>
      <w:r>
        <w:rPr>
          <w:rFonts w:ascii="Arial" w:hAnsi="Arial" w:cs="Arial"/>
          <w:lang w:val="en-GB"/>
        </w:rPr>
        <w:t>a</w:t>
      </w:r>
      <w:r w:rsidR="00152219" w:rsidRPr="00DC1317">
        <w:rPr>
          <w:rFonts w:ascii="Arial" w:hAnsi="Arial" w:cs="Arial"/>
          <w:lang w:val="en-GB"/>
        </w:rPr>
        <w:t>ct</w:t>
      </w:r>
      <w:r>
        <w:rPr>
          <w:rFonts w:ascii="Arial" w:hAnsi="Arial" w:cs="Arial"/>
          <w:lang w:val="en-GB"/>
        </w:rPr>
        <w:t>s</w:t>
      </w:r>
      <w:r w:rsidR="00152219" w:rsidRPr="00DC1317">
        <w:rPr>
          <w:rFonts w:ascii="Arial" w:hAnsi="Arial" w:cs="Arial"/>
          <w:lang w:val="en-GB"/>
        </w:rPr>
        <w:t>, sections were inserted</w:t>
      </w:r>
      <w:r w:rsidR="001853BF">
        <w:rPr>
          <w:rFonts w:ascii="Arial" w:hAnsi="Arial" w:cs="Arial"/>
          <w:lang w:val="en-GB"/>
        </w:rPr>
        <w:t xml:space="preserve">, </w:t>
      </w:r>
      <w:r w:rsidR="005964C1" w:rsidRPr="00DC1317">
        <w:rPr>
          <w:rFonts w:ascii="Arial" w:hAnsi="Arial" w:cs="Arial"/>
          <w:lang w:val="en-GB"/>
        </w:rPr>
        <w:t>lay</w:t>
      </w:r>
      <w:r w:rsidR="001853BF">
        <w:rPr>
          <w:rFonts w:ascii="Arial" w:hAnsi="Arial" w:cs="Arial"/>
          <w:lang w:val="en-GB"/>
        </w:rPr>
        <w:t>ing</w:t>
      </w:r>
      <w:r w:rsidR="005964C1" w:rsidRPr="00DC1317">
        <w:rPr>
          <w:rFonts w:ascii="Arial" w:hAnsi="Arial" w:cs="Arial"/>
          <w:lang w:val="en-GB"/>
        </w:rPr>
        <w:t xml:space="preserve"> down </w:t>
      </w:r>
      <w:r w:rsidR="00152219" w:rsidRPr="00DC1317">
        <w:rPr>
          <w:rFonts w:ascii="Arial" w:hAnsi="Arial" w:cs="Arial"/>
          <w:lang w:val="en-GB"/>
        </w:rPr>
        <w:t>the obligation for each city council to periodically dra</w:t>
      </w:r>
      <w:r>
        <w:rPr>
          <w:rFonts w:ascii="Arial" w:hAnsi="Arial" w:cs="Arial"/>
          <w:lang w:val="en-GB"/>
        </w:rPr>
        <w:t xml:space="preserve">ft </w:t>
      </w:r>
      <w:r w:rsidR="00152219" w:rsidRPr="00DC1317">
        <w:rPr>
          <w:rFonts w:ascii="Arial" w:hAnsi="Arial" w:cs="Arial"/>
          <w:lang w:val="en-GB"/>
        </w:rPr>
        <w:t>a plan on how</w:t>
      </w:r>
      <w:r w:rsidR="00636371" w:rsidRPr="00DC1317">
        <w:rPr>
          <w:rFonts w:ascii="Arial" w:hAnsi="Arial" w:cs="Arial"/>
          <w:lang w:val="en-GB"/>
        </w:rPr>
        <w:t xml:space="preserve"> </w:t>
      </w:r>
      <w:r w:rsidR="00152219" w:rsidRPr="00DC1317">
        <w:rPr>
          <w:rFonts w:ascii="Arial" w:hAnsi="Arial" w:cs="Arial"/>
          <w:lang w:val="en-GB"/>
        </w:rPr>
        <w:t>the municipality will implement the CRPD.</w:t>
      </w:r>
      <w:r w:rsidR="005F511B" w:rsidRPr="00336D93">
        <w:rPr>
          <w:rStyle w:val="FootnoteReference"/>
          <w:rFonts w:cs="Arial"/>
          <w:sz w:val="24"/>
        </w:rPr>
        <w:footnoteReference w:id="46"/>
      </w:r>
      <w:r>
        <w:rPr>
          <w:rFonts w:ascii="Arial" w:hAnsi="Arial" w:cs="Arial"/>
          <w:lang w:val="en-GB"/>
        </w:rPr>
        <w:t xml:space="preserve"> The question how the implementation should take place is left to the discretion of each municipality. </w:t>
      </w:r>
    </w:p>
    <w:p w14:paraId="3175F0CF" w14:textId="4A17A081" w:rsidR="00D020EA" w:rsidRPr="002C4AB6" w:rsidRDefault="00D020EA" w:rsidP="00F9312C">
      <w:pPr>
        <w:spacing w:line="360" w:lineRule="auto"/>
        <w:rPr>
          <w:szCs w:val="24"/>
        </w:rPr>
      </w:pPr>
    </w:p>
    <w:p w14:paraId="07755D9E" w14:textId="610A6744" w:rsidR="007913E0" w:rsidRPr="00E55288" w:rsidRDefault="007913E0" w:rsidP="00F9312C">
      <w:pPr>
        <w:spacing w:line="360" w:lineRule="auto"/>
        <w:rPr>
          <w:i/>
          <w:iCs/>
          <w:szCs w:val="24"/>
        </w:rPr>
      </w:pPr>
      <w:r w:rsidRPr="00E55288">
        <w:rPr>
          <w:i/>
          <w:iCs/>
          <w:szCs w:val="24"/>
        </w:rPr>
        <w:t xml:space="preserve">Reporting </w:t>
      </w:r>
    </w:p>
    <w:p w14:paraId="5C2A758E" w14:textId="6449AFEF" w:rsidR="00CE65AB" w:rsidRDefault="00D020EA" w:rsidP="00F9312C">
      <w:pPr>
        <w:spacing w:line="360" w:lineRule="auto"/>
        <w:rPr>
          <w:szCs w:val="24"/>
        </w:rPr>
      </w:pPr>
      <w:r>
        <w:rPr>
          <w:szCs w:val="24"/>
        </w:rPr>
        <w:t xml:space="preserve">The initial </w:t>
      </w:r>
      <w:r w:rsidR="00DC1317">
        <w:rPr>
          <w:szCs w:val="24"/>
        </w:rPr>
        <w:t xml:space="preserve">government </w:t>
      </w:r>
      <w:r>
        <w:rPr>
          <w:szCs w:val="24"/>
        </w:rPr>
        <w:t>report on the state of implementation in the Netherlands was submitted to the UN CRPD committee on 14 June 2018, two years after ratification</w:t>
      </w:r>
      <w:r w:rsidR="007913E0">
        <w:rPr>
          <w:szCs w:val="24"/>
        </w:rPr>
        <w:t>.</w:t>
      </w:r>
      <w:r w:rsidR="00B869E8">
        <w:rPr>
          <w:rStyle w:val="FootnoteReference"/>
          <w:szCs w:val="24"/>
        </w:rPr>
        <w:footnoteReference w:id="47"/>
      </w:r>
      <w:r w:rsidR="00E55288">
        <w:rPr>
          <w:szCs w:val="24"/>
        </w:rPr>
        <w:t xml:space="preserve"> </w:t>
      </w:r>
      <w:r w:rsidR="00CE65AB">
        <w:rPr>
          <w:szCs w:val="24"/>
        </w:rPr>
        <w:t xml:space="preserve">As far as </w:t>
      </w:r>
      <w:proofErr w:type="gramStart"/>
      <w:r w:rsidR="00CE65AB">
        <w:rPr>
          <w:szCs w:val="24"/>
        </w:rPr>
        <w:t>accessible public spaces is</w:t>
      </w:r>
      <w:proofErr w:type="gramEnd"/>
      <w:r w:rsidR="00CE65AB">
        <w:rPr>
          <w:szCs w:val="24"/>
        </w:rPr>
        <w:t xml:space="preserve"> concerned, the government states that this usually is a policy priority of municipalities. </w:t>
      </w:r>
      <w:r w:rsidR="00E55288">
        <w:rPr>
          <w:szCs w:val="24"/>
        </w:rPr>
        <w:t xml:space="preserve">The report refers to </w:t>
      </w:r>
      <w:r w:rsidR="00CE65AB">
        <w:rPr>
          <w:szCs w:val="24"/>
        </w:rPr>
        <w:t>various projects to improve the accessibility of local shopping and leisure areas.</w:t>
      </w:r>
    </w:p>
    <w:p w14:paraId="54AF6D87" w14:textId="634EE47A" w:rsidR="00803A72" w:rsidRDefault="00E55288" w:rsidP="00F9312C">
      <w:pPr>
        <w:spacing w:line="360" w:lineRule="auto"/>
      </w:pPr>
      <w:r>
        <w:rPr>
          <w:szCs w:val="24"/>
        </w:rPr>
        <w:t xml:space="preserve">The report </w:t>
      </w:r>
      <w:r w:rsidR="00CE65AB">
        <w:rPr>
          <w:szCs w:val="24"/>
        </w:rPr>
        <w:t>mentions</w:t>
      </w:r>
      <w:r>
        <w:rPr>
          <w:szCs w:val="24"/>
        </w:rPr>
        <w:t xml:space="preserve"> the </w:t>
      </w:r>
      <w:r w:rsidR="00CE65AB">
        <w:rPr>
          <w:szCs w:val="24"/>
        </w:rPr>
        <w:t>coming</w:t>
      </w:r>
      <w:r>
        <w:rPr>
          <w:szCs w:val="24"/>
        </w:rPr>
        <w:t xml:space="preserve"> Environmental and Planning Act, which </w:t>
      </w:r>
      <w:r w:rsidR="002D10DB">
        <w:rPr>
          <w:szCs w:val="24"/>
        </w:rPr>
        <w:t xml:space="preserve">requires </w:t>
      </w:r>
      <w:r w:rsidR="000B246C" w:rsidRPr="000B246C">
        <w:t>the municipal environmental plan to take account of efforts to enhance accessibility.</w:t>
      </w:r>
      <w:r w:rsidR="000B246C">
        <w:rPr>
          <w:rStyle w:val="FootnoteReference"/>
        </w:rPr>
        <w:footnoteReference w:id="48"/>
      </w:r>
      <w:r w:rsidR="000B246C" w:rsidRPr="000B246C">
        <w:t xml:space="preserve"> </w:t>
      </w:r>
    </w:p>
    <w:p w14:paraId="654973EC" w14:textId="4FDDEE14" w:rsidR="00F058D2" w:rsidRPr="00F058D2" w:rsidRDefault="00803A72" w:rsidP="00F9312C">
      <w:pPr>
        <w:spacing w:line="360" w:lineRule="auto"/>
      </w:pPr>
      <w:r>
        <w:t>In 2018, the National Institute for Human Rights</w:t>
      </w:r>
      <w:r w:rsidR="009449A2">
        <w:t xml:space="preserve"> </w:t>
      </w:r>
      <w:r>
        <w:t xml:space="preserve">presented </w:t>
      </w:r>
      <w:r w:rsidR="009449A2">
        <w:t xml:space="preserve">its independent </w:t>
      </w:r>
      <w:r>
        <w:t>report to the CRPD committee.</w:t>
      </w:r>
      <w:r w:rsidR="009449A2">
        <w:rPr>
          <w:rStyle w:val="FootnoteReference"/>
        </w:rPr>
        <w:footnoteReference w:id="49"/>
      </w:r>
      <w:r w:rsidR="009449A2">
        <w:t xml:space="preserve"> In 2019 a coalition of NGOs presented their shadow report and submitted it to the Committee.</w:t>
      </w:r>
      <w:r w:rsidR="009449A2">
        <w:rPr>
          <w:rStyle w:val="FootnoteReference"/>
        </w:rPr>
        <w:footnoteReference w:id="50"/>
      </w:r>
      <w:r w:rsidR="009449A2">
        <w:t xml:space="preserve"> </w:t>
      </w:r>
      <w:r w:rsidR="00F058D2">
        <w:t xml:space="preserve">One of the issues raised in the NGO report is the development of the </w:t>
      </w:r>
      <w:r w:rsidR="00F058D2" w:rsidRPr="000E007A">
        <w:t>shared space concept</w:t>
      </w:r>
      <w:r w:rsidR="004B308A" w:rsidRPr="000E007A">
        <w:t xml:space="preserve"> </w:t>
      </w:r>
      <w:r w:rsidR="000E007A" w:rsidRPr="000E007A">
        <w:t>(</w:t>
      </w:r>
      <w:r w:rsidR="004B308A" w:rsidRPr="000E007A">
        <w:t>see below chapter</w:t>
      </w:r>
      <w:r w:rsidR="000E007A" w:rsidRPr="000E007A">
        <w:t xml:space="preserve"> E1.1)</w:t>
      </w:r>
      <w:r w:rsidR="00F058D2">
        <w:t>. Persons with visual and other disabilities report that where these</w:t>
      </w:r>
      <w:r w:rsidR="004B308A">
        <w:t xml:space="preserve"> spaces</w:t>
      </w:r>
      <w:r w:rsidR="00F058D2">
        <w:t xml:space="preserve"> are developed, there are no secure pedestrian zones any longer. Some </w:t>
      </w:r>
      <w:r w:rsidR="002D10DB">
        <w:t>people</w:t>
      </w:r>
      <w:r w:rsidR="00F058D2">
        <w:t xml:space="preserve"> avoid going out in public places for fear of being run over.</w:t>
      </w:r>
      <w:r w:rsidR="00F058D2">
        <w:rPr>
          <w:rStyle w:val="FootnoteReference"/>
        </w:rPr>
        <w:footnoteReference w:id="51"/>
      </w:r>
      <w:r w:rsidR="00F058D2">
        <w:t xml:space="preserve"> </w:t>
      </w:r>
    </w:p>
    <w:p w14:paraId="030CF692" w14:textId="77777777" w:rsidR="00030D5B" w:rsidRPr="00F058D2" w:rsidRDefault="00030D5B" w:rsidP="00F9312C">
      <w:pPr>
        <w:spacing w:line="360" w:lineRule="auto"/>
      </w:pPr>
    </w:p>
    <w:p w14:paraId="0BE72BE5" w14:textId="3EEEE029" w:rsidR="0044779B" w:rsidRPr="009D796E" w:rsidRDefault="0044779B" w:rsidP="00F9312C">
      <w:pPr>
        <w:spacing w:line="360" w:lineRule="auto"/>
        <w:rPr>
          <w:b/>
          <w:bCs/>
          <w:i/>
          <w:iCs/>
        </w:rPr>
      </w:pPr>
      <w:r w:rsidRPr="009D796E">
        <w:rPr>
          <w:i/>
          <w:iCs/>
        </w:rPr>
        <w:t xml:space="preserve">Applicability CRPD in case law in the Netherlands </w:t>
      </w:r>
    </w:p>
    <w:p w14:paraId="10C769A1" w14:textId="7F4617B4" w:rsidR="0044779B" w:rsidRDefault="00657D6A" w:rsidP="00F9312C">
      <w:pPr>
        <w:spacing w:line="360" w:lineRule="auto"/>
        <w:rPr>
          <w:b/>
          <w:bCs/>
        </w:rPr>
      </w:pPr>
      <w:r>
        <w:t xml:space="preserve">Since the adoption of the CRPD, several court cases have </w:t>
      </w:r>
      <w:r w:rsidR="00D63E74">
        <w:t>taken place</w:t>
      </w:r>
      <w:r>
        <w:t xml:space="preserve"> </w:t>
      </w:r>
      <w:r w:rsidR="00D63E74">
        <w:t xml:space="preserve">in </w:t>
      </w:r>
      <w:r>
        <w:t>which a reference to the Convention was made</w:t>
      </w:r>
      <w:r w:rsidR="00D63E74">
        <w:t xml:space="preserve">. In order </w:t>
      </w:r>
      <w:r>
        <w:t>to illustrate how (lower) courts in the Netherlands refer to CRPD, three examples are given</w:t>
      </w:r>
      <w:r w:rsidR="00D63E74">
        <w:t xml:space="preserve"> below</w:t>
      </w:r>
      <w:r>
        <w:t xml:space="preserve">. In general, if </w:t>
      </w:r>
      <w:r w:rsidR="0044779B" w:rsidRPr="00B25D49">
        <w:t xml:space="preserve">courts </w:t>
      </w:r>
      <w:r w:rsidR="005964C1">
        <w:t>refer to</w:t>
      </w:r>
      <w:r w:rsidR="0044779B" w:rsidRPr="00B25D49">
        <w:t xml:space="preserve"> CRPD in their case law</w:t>
      </w:r>
      <w:r>
        <w:t>, they do so to interpret domestic legislation.</w:t>
      </w:r>
      <w:r w:rsidR="00A6275D">
        <w:rPr>
          <w:rStyle w:val="FootnoteReference"/>
          <w:rFonts w:cs="Arial"/>
          <w:szCs w:val="24"/>
        </w:rPr>
        <w:footnoteReference w:id="52"/>
      </w:r>
      <w:r>
        <w:t xml:space="preserve"> In some cases, the court considers the direct effect of </w:t>
      </w:r>
      <w:r w:rsidR="00204A1E">
        <w:t xml:space="preserve">the </w:t>
      </w:r>
      <w:r>
        <w:t xml:space="preserve">treaty provisions and concludes that the </w:t>
      </w:r>
      <w:r w:rsidR="00A6275D">
        <w:t xml:space="preserve">wording of the CRPD </w:t>
      </w:r>
      <w:r>
        <w:t xml:space="preserve">provision is </w:t>
      </w:r>
      <w:r w:rsidR="00A6275D">
        <w:t>not</w:t>
      </w:r>
      <w:r w:rsidR="00A6275D" w:rsidRPr="00A6275D">
        <w:t xml:space="preserve"> unconditional and sufficiently precise to be applied as an objective right</w:t>
      </w:r>
      <w:r w:rsidR="00A6275D">
        <w:t>.</w:t>
      </w:r>
      <w:r w:rsidR="00D63E74" w:rsidRPr="00D63E74">
        <w:t xml:space="preserve"> </w:t>
      </w:r>
      <w:r w:rsidR="00D63E74">
        <w:t>So far, no case</w:t>
      </w:r>
      <w:r w:rsidR="00EF1A79">
        <w:t xml:space="preserve"> law</w:t>
      </w:r>
      <w:r w:rsidR="00D63E74">
        <w:t xml:space="preserve"> related to the accessibility of public spaces ha</w:t>
      </w:r>
      <w:r w:rsidR="00EF1A79">
        <w:t>s</w:t>
      </w:r>
      <w:r w:rsidR="00D63E74">
        <w:t xml:space="preserve"> been published.</w:t>
      </w:r>
    </w:p>
    <w:p w14:paraId="4D2BFCC9" w14:textId="77777777" w:rsidR="0044779B" w:rsidRDefault="0044779B" w:rsidP="00F9312C">
      <w:pPr>
        <w:spacing w:line="360" w:lineRule="auto"/>
      </w:pPr>
    </w:p>
    <w:p w14:paraId="7D4EEDA8" w14:textId="77777777" w:rsidR="00A6275D" w:rsidRDefault="00A6275D" w:rsidP="00F9312C">
      <w:pPr>
        <w:spacing w:line="360" w:lineRule="auto"/>
      </w:pPr>
      <w:proofErr w:type="gramStart"/>
      <w:r>
        <w:t>Case 1.</w:t>
      </w:r>
      <w:proofErr w:type="gramEnd"/>
    </w:p>
    <w:p w14:paraId="2B8D86CF" w14:textId="408AB2F2" w:rsidR="0044779B" w:rsidRPr="00B25D49" w:rsidRDefault="0044779B" w:rsidP="00F9312C">
      <w:pPr>
        <w:spacing w:line="360" w:lineRule="auto"/>
        <w:rPr>
          <w:rFonts w:eastAsia="Times New Roman"/>
          <w:lang w:eastAsia="nl-NL"/>
        </w:rPr>
      </w:pPr>
      <w:r w:rsidRPr="00A6275D">
        <w:rPr>
          <w:i/>
        </w:rPr>
        <w:t>Family law example</w:t>
      </w:r>
      <w:r w:rsidRPr="00B25D49">
        <w:t xml:space="preserve">: </w:t>
      </w:r>
      <w:r w:rsidR="00A6275D">
        <w:t xml:space="preserve">The </w:t>
      </w:r>
      <w:r w:rsidRPr="00B25D49">
        <w:t xml:space="preserve">termination of parental authority in the case of a mother with intellectual disabilities. </w:t>
      </w:r>
      <w:r w:rsidR="00A6275D">
        <w:t>The d</w:t>
      </w:r>
      <w:r w:rsidRPr="00B25D49">
        <w:t>istrict court Amsterdam referred to article 23 CRPD in combination with article 8 ECHR to decide that having a disability in itself is no</w:t>
      </w:r>
      <w:r w:rsidR="00987BA8">
        <w:t>t a</w:t>
      </w:r>
      <w:r>
        <w:t xml:space="preserve"> decisive factor to determine </w:t>
      </w:r>
      <w:r w:rsidRPr="00B25D49">
        <w:t>that a parent cannot care for a child. No reason to terminate parental authority, even whe</w:t>
      </w:r>
      <w:r>
        <w:t>n previous children had be</w:t>
      </w:r>
      <w:r w:rsidR="002D10DB">
        <w:t>en</w:t>
      </w:r>
      <w:r>
        <w:t xml:space="preserve"> </w:t>
      </w:r>
      <w:r w:rsidRPr="00B25D49">
        <w:t>placed</w:t>
      </w:r>
      <w:r>
        <w:t xml:space="preserve"> under guardianship</w:t>
      </w:r>
      <w:r w:rsidRPr="00B25D49">
        <w:t>.</w:t>
      </w:r>
      <w:r w:rsidR="00A6275D">
        <w:rPr>
          <w:rStyle w:val="FootnoteReference"/>
          <w:rFonts w:cs="Arial"/>
          <w:szCs w:val="24"/>
        </w:rPr>
        <w:footnoteReference w:id="53"/>
      </w:r>
      <w:r w:rsidRPr="00B25D49">
        <w:t xml:space="preserve"> </w:t>
      </w:r>
    </w:p>
    <w:p w14:paraId="6F797A3B" w14:textId="77777777" w:rsidR="0044779B" w:rsidRPr="00B25D49" w:rsidRDefault="0044779B" w:rsidP="00F9312C">
      <w:pPr>
        <w:spacing w:line="360" w:lineRule="auto"/>
        <w:rPr>
          <w:rFonts w:eastAsia="Times New Roman"/>
          <w:lang w:eastAsia="nl-NL"/>
        </w:rPr>
      </w:pPr>
    </w:p>
    <w:p w14:paraId="7A0A13E1" w14:textId="77777777" w:rsidR="00A6275D" w:rsidRDefault="00A6275D" w:rsidP="00F9312C">
      <w:pPr>
        <w:spacing w:line="360" w:lineRule="auto"/>
        <w:rPr>
          <w:rFonts w:eastAsia="Times New Roman"/>
          <w:lang w:eastAsia="nl-NL"/>
        </w:rPr>
      </w:pPr>
      <w:proofErr w:type="gramStart"/>
      <w:r>
        <w:rPr>
          <w:rFonts w:eastAsia="Times New Roman"/>
          <w:lang w:eastAsia="nl-NL"/>
        </w:rPr>
        <w:t>Case 2.</w:t>
      </w:r>
      <w:proofErr w:type="gramEnd"/>
    </w:p>
    <w:p w14:paraId="22530AC5" w14:textId="6EE59CD7" w:rsidR="0044779B" w:rsidRPr="00B25D49" w:rsidRDefault="0044779B" w:rsidP="00F9312C">
      <w:pPr>
        <w:spacing w:line="360" w:lineRule="auto"/>
      </w:pPr>
      <w:r w:rsidRPr="00A6275D">
        <w:rPr>
          <w:rFonts w:eastAsia="Times New Roman"/>
          <w:i/>
          <w:lang w:eastAsia="nl-NL"/>
        </w:rPr>
        <w:t>Administrative law example</w:t>
      </w:r>
      <w:r w:rsidR="00A6275D">
        <w:rPr>
          <w:rFonts w:eastAsia="Times New Roman"/>
          <w:i/>
          <w:lang w:eastAsia="nl-NL"/>
        </w:rPr>
        <w:t>:</w:t>
      </w:r>
      <w:r w:rsidR="00BC1033">
        <w:rPr>
          <w:rFonts w:eastAsia="Times New Roman"/>
          <w:lang w:eastAsia="nl-NL"/>
        </w:rPr>
        <w:t xml:space="preserve"> article </w:t>
      </w:r>
      <w:r w:rsidRPr="00B25D49">
        <w:rPr>
          <w:rFonts w:eastAsia="Times New Roman"/>
          <w:lang w:eastAsia="nl-NL"/>
        </w:rPr>
        <w:t xml:space="preserve">20 CRPD </w:t>
      </w:r>
      <w:r w:rsidR="00A6275D">
        <w:rPr>
          <w:rFonts w:eastAsia="Times New Roman"/>
          <w:lang w:eastAsia="nl-NL"/>
        </w:rPr>
        <w:t xml:space="preserve">is </w:t>
      </w:r>
      <w:r w:rsidRPr="00B25D49">
        <w:rPr>
          <w:rFonts w:eastAsia="Times New Roman"/>
          <w:lang w:eastAsia="nl-NL"/>
        </w:rPr>
        <w:t>not directly applicable in a case where a motorcyclist with one leg applied for driving license to ride a motorcycl</w:t>
      </w:r>
      <w:r w:rsidR="005964C1">
        <w:rPr>
          <w:rFonts w:eastAsia="Times New Roman"/>
          <w:lang w:eastAsia="nl-NL"/>
        </w:rPr>
        <w:t>e with a ‘feetless bike system’. This is</w:t>
      </w:r>
      <w:r w:rsidRPr="00B25D49">
        <w:rPr>
          <w:rFonts w:eastAsia="Times New Roman"/>
          <w:lang w:eastAsia="nl-NL"/>
        </w:rPr>
        <w:t xml:space="preserve"> a system </w:t>
      </w:r>
      <w:r w:rsidR="005964C1">
        <w:rPr>
          <w:rFonts w:eastAsia="Times New Roman"/>
          <w:lang w:eastAsia="nl-NL"/>
        </w:rPr>
        <w:t xml:space="preserve">where </w:t>
      </w:r>
      <w:r w:rsidR="00A6275D">
        <w:rPr>
          <w:rFonts w:eastAsia="Times New Roman"/>
          <w:lang w:eastAsia="nl-NL"/>
        </w:rPr>
        <w:t>a</w:t>
      </w:r>
      <w:r w:rsidR="005964C1">
        <w:rPr>
          <w:rFonts w:eastAsia="Times New Roman"/>
          <w:lang w:eastAsia="nl-NL"/>
        </w:rPr>
        <w:t xml:space="preserve"> motorcycle is equipped </w:t>
      </w:r>
      <w:r w:rsidRPr="00B25D49">
        <w:rPr>
          <w:rFonts w:eastAsia="Times New Roman"/>
          <w:lang w:eastAsia="nl-NL"/>
        </w:rPr>
        <w:t>with two expendable wheels</w:t>
      </w:r>
      <w:r w:rsidR="005964C1">
        <w:rPr>
          <w:rFonts w:eastAsia="Times New Roman"/>
          <w:lang w:eastAsia="nl-NL"/>
        </w:rPr>
        <w:t xml:space="preserve"> for balance</w:t>
      </w:r>
      <w:r w:rsidRPr="00B25D49">
        <w:rPr>
          <w:rFonts w:eastAsia="Times New Roman"/>
          <w:lang w:eastAsia="nl-NL"/>
        </w:rPr>
        <w:t>. The di</w:t>
      </w:r>
      <w:r w:rsidR="005964C1">
        <w:rPr>
          <w:rFonts w:eastAsia="Times New Roman"/>
          <w:lang w:eastAsia="nl-NL"/>
        </w:rPr>
        <w:t xml:space="preserve">strict court </w:t>
      </w:r>
      <w:proofErr w:type="spellStart"/>
      <w:r w:rsidR="005964C1">
        <w:rPr>
          <w:rFonts w:eastAsia="Times New Roman"/>
          <w:lang w:eastAsia="nl-NL"/>
        </w:rPr>
        <w:t>Overijssel</w:t>
      </w:r>
      <w:proofErr w:type="spellEnd"/>
      <w:r w:rsidR="005964C1">
        <w:rPr>
          <w:rFonts w:eastAsia="Times New Roman"/>
          <w:lang w:eastAsia="nl-NL"/>
        </w:rPr>
        <w:t xml:space="preserve"> held that</w:t>
      </w:r>
      <w:r w:rsidR="00BC1033">
        <w:rPr>
          <w:rFonts w:eastAsia="Times New Roman"/>
          <w:lang w:eastAsia="nl-NL"/>
        </w:rPr>
        <w:t xml:space="preserve"> article </w:t>
      </w:r>
      <w:r w:rsidRPr="00B25D49">
        <w:rPr>
          <w:rFonts w:eastAsia="Times New Roman"/>
          <w:lang w:eastAsia="nl-NL"/>
        </w:rPr>
        <w:t>20 CRPD only includes an in general terms formulated objective for States to take effective measures in order to guarantee the personal mobil</w:t>
      </w:r>
      <w:r w:rsidR="00987BA8">
        <w:rPr>
          <w:rFonts w:eastAsia="Times New Roman"/>
          <w:lang w:eastAsia="nl-NL"/>
        </w:rPr>
        <w:t>ity of persons with disabilities</w:t>
      </w:r>
      <w:r w:rsidRPr="00B25D49">
        <w:rPr>
          <w:rFonts w:eastAsia="Times New Roman"/>
          <w:lang w:eastAsia="nl-NL"/>
        </w:rPr>
        <w:t>.</w:t>
      </w:r>
      <w:r w:rsidR="00987BA8">
        <w:rPr>
          <w:rFonts w:eastAsia="Times New Roman"/>
          <w:lang w:eastAsia="nl-NL"/>
        </w:rPr>
        <w:t xml:space="preserve"> </w:t>
      </w:r>
      <w:r w:rsidRPr="00B25D49">
        <w:rPr>
          <w:rFonts w:eastAsia="Times New Roman"/>
          <w:lang w:eastAsia="nl-NL"/>
        </w:rPr>
        <w:t xml:space="preserve">The provision is </w:t>
      </w:r>
      <w:r w:rsidR="005964C1">
        <w:rPr>
          <w:rFonts w:eastAsia="Times New Roman"/>
          <w:lang w:eastAsia="nl-NL"/>
        </w:rPr>
        <w:t>not of a nature that it can be a</w:t>
      </w:r>
      <w:r w:rsidRPr="00B25D49">
        <w:rPr>
          <w:rFonts w:eastAsia="Times New Roman"/>
          <w:lang w:eastAsia="nl-NL"/>
        </w:rPr>
        <w:t xml:space="preserve">pplied as objective law and thus has no direct </w:t>
      </w:r>
      <w:r w:rsidR="005964C1">
        <w:rPr>
          <w:rFonts w:eastAsia="Times New Roman"/>
          <w:lang w:eastAsia="nl-NL"/>
        </w:rPr>
        <w:t>effectiveness</w:t>
      </w:r>
      <w:r w:rsidRPr="00B25D49">
        <w:rPr>
          <w:rFonts w:eastAsia="Times New Roman"/>
          <w:lang w:eastAsia="nl-NL"/>
        </w:rPr>
        <w:t>.</w:t>
      </w:r>
      <w:r w:rsidR="00336D93">
        <w:rPr>
          <w:rStyle w:val="FootnoteReference"/>
          <w:rFonts w:cs="Arial"/>
          <w:szCs w:val="24"/>
        </w:rPr>
        <w:footnoteReference w:id="54"/>
      </w:r>
    </w:p>
    <w:p w14:paraId="66D0D93E" w14:textId="77777777" w:rsidR="0044779B" w:rsidRPr="00B25D49" w:rsidRDefault="0044779B" w:rsidP="00F9312C">
      <w:pPr>
        <w:spacing w:line="360" w:lineRule="auto"/>
        <w:rPr>
          <w:lang w:bidi="en-US"/>
        </w:rPr>
      </w:pPr>
    </w:p>
    <w:p w14:paraId="1AF2A396" w14:textId="77777777" w:rsidR="00336D93" w:rsidRDefault="00336D93" w:rsidP="00F9312C">
      <w:pPr>
        <w:spacing w:line="360" w:lineRule="auto"/>
        <w:rPr>
          <w:lang w:bidi="en-US"/>
        </w:rPr>
      </w:pPr>
      <w:proofErr w:type="gramStart"/>
      <w:r>
        <w:rPr>
          <w:lang w:bidi="en-US"/>
        </w:rPr>
        <w:t>Case 3.</w:t>
      </w:r>
      <w:proofErr w:type="gramEnd"/>
    </w:p>
    <w:p w14:paraId="49B75FE4" w14:textId="2A1E89E6" w:rsidR="0044779B" w:rsidRPr="00DC1317" w:rsidRDefault="0044779B" w:rsidP="00F9312C">
      <w:pPr>
        <w:spacing w:line="360" w:lineRule="auto"/>
      </w:pPr>
      <w:r w:rsidRPr="00336D93">
        <w:rPr>
          <w:i/>
          <w:lang w:bidi="en-US"/>
        </w:rPr>
        <w:t>Administrative law example</w:t>
      </w:r>
      <w:r w:rsidRPr="00B25D49">
        <w:rPr>
          <w:lang w:bidi="en-US"/>
        </w:rPr>
        <w:t>: A person</w:t>
      </w:r>
      <w:r w:rsidR="00336D93">
        <w:rPr>
          <w:lang w:bidi="en-US"/>
        </w:rPr>
        <w:t xml:space="preserve"> with a disability</w:t>
      </w:r>
      <w:r w:rsidRPr="00B25D49">
        <w:rPr>
          <w:lang w:bidi="en-US"/>
        </w:rPr>
        <w:t xml:space="preserve"> applies for a social benefit based on</w:t>
      </w:r>
      <w:r>
        <w:rPr>
          <w:lang w:bidi="en-US"/>
        </w:rPr>
        <w:t xml:space="preserve"> the</w:t>
      </w:r>
      <w:r w:rsidRPr="00B25D49">
        <w:rPr>
          <w:lang w:bidi="en-US"/>
        </w:rPr>
        <w:t xml:space="preserve"> Participati</w:t>
      </w:r>
      <w:r>
        <w:rPr>
          <w:lang w:bidi="en-US"/>
        </w:rPr>
        <w:t>on Act</w:t>
      </w:r>
      <w:r w:rsidRPr="00B25D49">
        <w:rPr>
          <w:lang w:bidi="en-US"/>
        </w:rPr>
        <w:t xml:space="preserve">, </w:t>
      </w:r>
      <w:r>
        <w:rPr>
          <w:lang w:bidi="en-US"/>
        </w:rPr>
        <w:t xml:space="preserve">to cover </w:t>
      </w:r>
      <w:r w:rsidR="00336D93">
        <w:rPr>
          <w:lang w:bidi="en-US"/>
        </w:rPr>
        <w:t>the</w:t>
      </w:r>
      <w:r w:rsidRPr="00B25D49">
        <w:rPr>
          <w:lang w:bidi="en-US"/>
        </w:rPr>
        <w:t xml:space="preserve"> monthly municipal parking fees</w:t>
      </w:r>
      <w:r w:rsidR="00336D93">
        <w:rPr>
          <w:lang w:bidi="en-US"/>
        </w:rPr>
        <w:t xml:space="preserve"> for his modified vehicle</w:t>
      </w:r>
      <w:r w:rsidRPr="00B25D49">
        <w:rPr>
          <w:lang w:bidi="en-US"/>
        </w:rPr>
        <w:t>.</w:t>
      </w:r>
      <w:r w:rsidR="00987BA8">
        <w:rPr>
          <w:lang w:bidi="en-US"/>
        </w:rPr>
        <w:t xml:space="preserve"> </w:t>
      </w:r>
      <w:r w:rsidR="00336D93">
        <w:rPr>
          <w:lang w:bidi="en-US"/>
        </w:rPr>
        <w:t>The a</w:t>
      </w:r>
      <w:r w:rsidRPr="00B25D49">
        <w:rPr>
          <w:lang w:bidi="en-US"/>
        </w:rPr>
        <w:t>pplicant refers to</w:t>
      </w:r>
      <w:r w:rsidR="00BC1033">
        <w:rPr>
          <w:lang w:bidi="en-US"/>
        </w:rPr>
        <w:t xml:space="preserve"> article </w:t>
      </w:r>
      <w:r w:rsidRPr="00B25D49">
        <w:rPr>
          <w:lang w:bidi="en-US"/>
        </w:rPr>
        <w:t xml:space="preserve">4 CRPD. The court deals with the question whether article 4 CRPD is unconditional and sufficiently precise to be applied as an objective right in the national legal order. It concludes that the article </w:t>
      </w:r>
      <w:r w:rsidRPr="00B25D49">
        <w:rPr>
          <w:rFonts w:eastAsia="Times New Roman"/>
          <w:lang w:eastAsia="nl-NL"/>
        </w:rPr>
        <w:t>only includes an in general terms formulated objective for States to</w:t>
      </w:r>
      <w:r w:rsidRPr="00B25D49">
        <w:t xml:space="preserve"> ensure and promote the full realization of all human rights and fundamental freedoms for all persons with disabilities without discrimination of any kind on the basis of disability. Because of this general objective and instruction, the claimant cannot directly derive a concrete claim </w:t>
      </w:r>
      <w:r w:rsidR="00336D93">
        <w:t>for</w:t>
      </w:r>
      <w:r w:rsidRPr="00B25D49">
        <w:t xml:space="preserve"> the reimbursement of transport costs, including parking fees.</w:t>
      </w:r>
      <w:r w:rsidR="00336D93">
        <w:rPr>
          <w:rStyle w:val="FootnoteReference"/>
          <w:rFonts w:cs="Arial"/>
          <w:bCs/>
          <w:szCs w:val="24"/>
          <w:lang w:val="nl-NL"/>
        </w:rPr>
        <w:footnoteReference w:id="55"/>
      </w:r>
    </w:p>
    <w:p w14:paraId="5059A648" w14:textId="589A374D" w:rsidR="0044779B" w:rsidRPr="0044779B" w:rsidRDefault="0044779B" w:rsidP="00F9312C">
      <w:pPr>
        <w:spacing w:line="360" w:lineRule="auto"/>
      </w:pPr>
    </w:p>
    <w:p w14:paraId="07764FD0" w14:textId="77777777" w:rsidR="005F0C1F" w:rsidRPr="009D796E" w:rsidRDefault="005F0C1F" w:rsidP="00F9312C">
      <w:pPr>
        <w:pStyle w:val="Heading3"/>
        <w:spacing w:line="360" w:lineRule="auto"/>
        <w:rPr>
          <w:b/>
          <w:bCs w:val="0"/>
        </w:rPr>
      </w:pPr>
      <w:r w:rsidRPr="009D796E">
        <w:rPr>
          <w:b/>
          <w:bCs w:val="0"/>
        </w:rPr>
        <w:t>A2.2</w:t>
      </w:r>
      <w:r w:rsidR="00E614DE" w:rsidRPr="009D796E">
        <w:rPr>
          <w:b/>
          <w:bCs w:val="0"/>
        </w:rPr>
        <w:tab/>
      </w:r>
      <w:r w:rsidRPr="009D796E">
        <w:rPr>
          <w:b/>
          <w:bCs w:val="0"/>
        </w:rPr>
        <w:t>UN Sustainable Development Goals</w:t>
      </w:r>
    </w:p>
    <w:p w14:paraId="60E08274" w14:textId="66488449" w:rsidR="00192E65" w:rsidRDefault="00192E65" w:rsidP="00F9312C">
      <w:pPr>
        <w:spacing w:line="360" w:lineRule="auto"/>
        <w:ind w:left="720"/>
      </w:pPr>
    </w:p>
    <w:p w14:paraId="2D61CCD7" w14:textId="6434AA29" w:rsidR="000B246C" w:rsidRDefault="000B246C" w:rsidP="00F9312C">
      <w:pPr>
        <w:spacing w:line="360" w:lineRule="auto"/>
      </w:pPr>
      <w:r>
        <w:t>The Netherlands have adopted the UN Sustainable Development Goals.</w:t>
      </w:r>
      <w:r w:rsidR="00EC67BB">
        <w:t xml:space="preserve"> The central government, local governments and social </w:t>
      </w:r>
      <w:r w:rsidR="000A6F52">
        <w:t>stakeholders</w:t>
      </w:r>
      <w:r>
        <w:t xml:space="preserve"> </w:t>
      </w:r>
      <w:r w:rsidR="00EC67BB">
        <w:t>have developed a national SDG agenda and are working on the implementation.</w:t>
      </w:r>
      <w:r w:rsidR="000A6F52">
        <w:rPr>
          <w:rStyle w:val="FootnoteReference"/>
        </w:rPr>
        <w:footnoteReference w:id="56"/>
      </w:r>
      <w:r w:rsidR="00EC67BB">
        <w:t xml:space="preserve"> </w:t>
      </w:r>
      <w:r w:rsidR="0028073D">
        <w:t>The inclusion of persons with disabilities is one of the issues on the agenda. According to the third national report, local governments promote inclusion though local inclusion agendas</w:t>
      </w:r>
      <w:r w:rsidR="000A6F52">
        <w:t xml:space="preserve">. </w:t>
      </w:r>
      <w:r w:rsidR="00AF052B">
        <w:t>In the</w:t>
      </w:r>
      <w:r w:rsidR="00794462">
        <w:t xml:space="preserve"> report</w:t>
      </w:r>
      <w:r w:rsidR="00AF052B">
        <w:t xml:space="preserve"> it is not</w:t>
      </w:r>
      <w:r w:rsidR="00794462">
        <w:t>ed that s</w:t>
      </w:r>
      <w:r w:rsidR="000A6F52">
        <w:t>mall and medium sized enterprises are involved by promoting accessibility</w:t>
      </w:r>
      <w:r w:rsidR="0028073D">
        <w:t>.</w:t>
      </w:r>
      <w:r w:rsidR="0028073D">
        <w:rPr>
          <w:rStyle w:val="FootnoteReference"/>
        </w:rPr>
        <w:footnoteReference w:id="57"/>
      </w:r>
      <w:r w:rsidR="00EB2F66">
        <w:t xml:space="preserve"> </w:t>
      </w:r>
      <w:r w:rsidR="00204A1E">
        <w:t>The report contains no information about accessibility of streets.</w:t>
      </w:r>
    </w:p>
    <w:p w14:paraId="0707E181" w14:textId="472F0BC2" w:rsidR="000B246C" w:rsidRDefault="000B246C" w:rsidP="00F9312C">
      <w:pPr>
        <w:spacing w:line="360" w:lineRule="auto"/>
      </w:pPr>
    </w:p>
    <w:p w14:paraId="54E4BB9E" w14:textId="77777777" w:rsidR="005F0C1F" w:rsidRPr="00694BCE" w:rsidRDefault="005F0C1F" w:rsidP="00F9312C">
      <w:pPr>
        <w:pStyle w:val="Heading2"/>
        <w:spacing w:line="360" w:lineRule="auto"/>
      </w:pPr>
      <w:r w:rsidRPr="00694BCE">
        <w:t>A3</w:t>
      </w:r>
      <w:r w:rsidR="00E614DE" w:rsidRPr="00694BCE">
        <w:t xml:space="preserve"> </w:t>
      </w:r>
      <w:r w:rsidR="00237704" w:rsidRPr="00694BCE">
        <w:t xml:space="preserve">Multinational </w:t>
      </w:r>
      <w:r w:rsidRPr="00694BCE">
        <w:t>Law and Policy</w:t>
      </w:r>
    </w:p>
    <w:p w14:paraId="65FE921C" w14:textId="77777777" w:rsidR="00192E65" w:rsidRDefault="00192E65" w:rsidP="00F9312C">
      <w:pPr>
        <w:spacing w:line="360" w:lineRule="auto"/>
        <w:ind w:left="720"/>
      </w:pPr>
    </w:p>
    <w:p w14:paraId="723823B8" w14:textId="06A769BF" w:rsidR="00192E65" w:rsidRPr="009D796E" w:rsidRDefault="005F0C1F" w:rsidP="00F9312C">
      <w:pPr>
        <w:pStyle w:val="Heading3"/>
        <w:spacing w:line="360" w:lineRule="auto"/>
        <w:rPr>
          <w:b/>
          <w:bCs w:val="0"/>
        </w:rPr>
      </w:pPr>
      <w:r w:rsidRPr="009D796E">
        <w:rPr>
          <w:b/>
          <w:bCs w:val="0"/>
        </w:rPr>
        <w:t>A3.1</w:t>
      </w:r>
      <w:r w:rsidR="00E614DE" w:rsidRPr="009D796E">
        <w:rPr>
          <w:b/>
          <w:bCs w:val="0"/>
        </w:rPr>
        <w:t xml:space="preserve"> </w:t>
      </w:r>
      <w:r w:rsidR="00AA02AC" w:rsidRPr="009D796E">
        <w:rPr>
          <w:b/>
          <w:bCs w:val="0"/>
        </w:rPr>
        <w:t>European Union</w:t>
      </w:r>
    </w:p>
    <w:p w14:paraId="35390EA2" w14:textId="77777777" w:rsidR="009D796E" w:rsidRDefault="009D796E" w:rsidP="00F9312C">
      <w:pPr>
        <w:pStyle w:val="Title"/>
        <w:spacing w:line="360" w:lineRule="auto"/>
        <w:jc w:val="left"/>
        <w:rPr>
          <w:b w:val="0"/>
          <w:bCs/>
          <w:sz w:val="24"/>
          <w:szCs w:val="24"/>
        </w:rPr>
      </w:pPr>
    </w:p>
    <w:p w14:paraId="46475474" w14:textId="0529F217" w:rsidR="00694BCE" w:rsidRPr="00694BCE" w:rsidRDefault="00694BCE" w:rsidP="00F9312C">
      <w:pPr>
        <w:pStyle w:val="Title"/>
        <w:spacing w:line="360" w:lineRule="auto"/>
        <w:jc w:val="left"/>
        <w:rPr>
          <w:b w:val="0"/>
          <w:bCs/>
          <w:sz w:val="24"/>
          <w:szCs w:val="24"/>
        </w:rPr>
      </w:pPr>
      <w:r w:rsidRPr="00694BCE">
        <w:rPr>
          <w:b w:val="0"/>
          <w:bCs/>
          <w:sz w:val="24"/>
          <w:szCs w:val="24"/>
        </w:rPr>
        <w:t>See</w:t>
      </w:r>
      <w:r>
        <w:rPr>
          <w:b w:val="0"/>
          <w:bCs/>
          <w:sz w:val="24"/>
          <w:szCs w:val="24"/>
        </w:rPr>
        <w:t>:</w:t>
      </w:r>
      <w:r w:rsidRPr="00694BCE">
        <w:rPr>
          <w:b w:val="0"/>
          <w:bCs/>
          <w:sz w:val="24"/>
          <w:szCs w:val="24"/>
        </w:rPr>
        <w:t xml:space="preserve"> Inclusive Public Space Project: Legal Report</w:t>
      </w:r>
      <w:r>
        <w:rPr>
          <w:b w:val="0"/>
          <w:bCs/>
          <w:sz w:val="24"/>
          <w:szCs w:val="24"/>
        </w:rPr>
        <w:t xml:space="preserve">, </w:t>
      </w:r>
      <w:r w:rsidRPr="00694BCE">
        <w:rPr>
          <w:b w:val="0"/>
          <w:bCs/>
          <w:sz w:val="24"/>
          <w:szCs w:val="24"/>
        </w:rPr>
        <w:t>United Kingdom</w:t>
      </w:r>
      <w:r>
        <w:rPr>
          <w:b w:val="0"/>
          <w:bCs/>
          <w:sz w:val="24"/>
          <w:szCs w:val="24"/>
        </w:rPr>
        <w:t xml:space="preserve">, </w:t>
      </w:r>
      <w:r w:rsidRPr="00694BCE">
        <w:rPr>
          <w:b w:val="0"/>
          <w:bCs/>
          <w:sz w:val="24"/>
          <w:szCs w:val="24"/>
        </w:rPr>
        <w:t>chapter A3.1</w:t>
      </w:r>
      <w:r>
        <w:rPr>
          <w:b w:val="0"/>
          <w:bCs/>
          <w:sz w:val="24"/>
          <w:szCs w:val="24"/>
        </w:rPr>
        <w:t>:</w:t>
      </w:r>
      <w:r w:rsidRPr="00694BCE">
        <w:rPr>
          <w:b w:val="0"/>
          <w:bCs/>
          <w:sz w:val="24"/>
          <w:szCs w:val="24"/>
        </w:rPr>
        <w:t xml:space="preserve"> </w:t>
      </w:r>
      <w:r>
        <w:rPr>
          <w:b w:val="0"/>
          <w:bCs/>
          <w:sz w:val="24"/>
          <w:szCs w:val="24"/>
        </w:rPr>
        <w:t>European Union</w:t>
      </w:r>
    </w:p>
    <w:p w14:paraId="691EB331" w14:textId="7FB61F3D" w:rsidR="00694BCE" w:rsidRDefault="00694BCE" w:rsidP="00F9312C">
      <w:pPr>
        <w:spacing w:line="360" w:lineRule="auto"/>
      </w:pPr>
    </w:p>
    <w:p w14:paraId="7B109FDA" w14:textId="730CD9E5" w:rsidR="00192E65" w:rsidRPr="009D796E" w:rsidRDefault="00192E65" w:rsidP="00F9312C">
      <w:pPr>
        <w:pStyle w:val="Heading3"/>
        <w:spacing w:line="360" w:lineRule="auto"/>
        <w:rPr>
          <w:b/>
          <w:bCs w:val="0"/>
        </w:rPr>
      </w:pPr>
      <w:r w:rsidRPr="009D796E">
        <w:rPr>
          <w:b/>
          <w:bCs w:val="0"/>
        </w:rPr>
        <w:t xml:space="preserve">A3.2 </w:t>
      </w:r>
      <w:r w:rsidR="00AA02AC" w:rsidRPr="009D796E">
        <w:rPr>
          <w:b/>
          <w:bCs w:val="0"/>
        </w:rPr>
        <w:t>Council of Europe</w:t>
      </w:r>
    </w:p>
    <w:p w14:paraId="59434011" w14:textId="77777777" w:rsidR="009D796E" w:rsidRDefault="009D796E" w:rsidP="00F9312C">
      <w:pPr>
        <w:spacing w:line="360" w:lineRule="auto"/>
        <w:rPr>
          <w:bCs/>
          <w:szCs w:val="24"/>
        </w:rPr>
      </w:pPr>
    </w:p>
    <w:p w14:paraId="4F1017A2" w14:textId="03D9E56D" w:rsidR="00694BCE" w:rsidRDefault="00694BCE" w:rsidP="00F9312C">
      <w:pPr>
        <w:spacing w:line="360" w:lineRule="auto"/>
      </w:pPr>
      <w:r w:rsidRPr="00694BCE">
        <w:rPr>
          <w:bCs/>
          <w:szCs w:val="24"/>
        </w:rPr>
        <w:t>See</w:t>
      </w:r>
      <w:r>
        <w:rPr>
          <w:b/>
          <w:bCs/>
          <w:szCs w:val="24"/>
        </w:rPr>
        <w:t>:</w:t>
      </w:r>
      <w:r w:rsidRPr="00694BCE">
        <w:rPr>
          <w:bCs/>
          <w:szCs w:val="24"/>
        </w:rPr>
        <w:t xml:space="preserve"> Inclusive Public Space Project: Legal Report</w:t>
      </w:r>
      <w:r>
        <w:rPr>
          <w:b/>
          <w:bCs/>
          <w:szCs w:val="24"/>
        </w:rPr>
        <w:t xml:space="preserve">, </w:t>
      </w:r>
      <w:r w:rsidRPr="00694BCE">
        <w:rPr>
          <w:bCs/>
          <w:szCs w:val="24"/>
        </w:rPr>
        <w:t>United Kingdom</w:t>
      </w:r>
      <w:r>
        <w:rPr>
          <w:b/>
          <w:bCs/>
          <w:szCs w:val="24"/>
        </w:rPr>
        <w:t xml:space="preserve">, </w:t>
      </w:r>
      <w:r w:rsidRPr="00694BCE">
        <w:rPr>
          <w:bCs/>
          <w:szCs w:val="24"/>
        </w:rPr>
        <w:t>chapter A3.</w:t>
      </w:r>
      <w:r>
        <w:rPr>
          <w:bCs/>
          <w:szCs w:val="24"/>
        </w:rPr>
        <w:t>2: Council of</w:t>
      </w:r>
      <w:r w:rsidRPr="00694BCE">
        <w:rPr>
          <w:bCs/>
          <w:szCs w:val="24"/>
        </w:rPr>
        <w:t xml:space="preserve"> </w:t>
      </w:r>
      <w:r w:rsidRPr="00694BCE">
        <w:rPr>
          <w:szCs w:val="24"/>
        </w:rPr>
        <w:t>Europe</w:t>
      </w:r>
    </w:p>
    <w:p w14:paraId="73DD02F5" w14:textId="77777777" w:rsidR="005F0C1F" w:rsidRDefault="005F0C1F" w:rsidP="00F9312C">
      <w:pPr>
        <w:spacing w:line="360" w:lineRule="auto"/>
      </w:pPr>
    </w:p>
    <w:p w14:paraId="00C76C0A" w14:textId="45EB19F8" w:rsidR="005F0C1F" w:rsidRPr="00EF1A79" w:rsidRDefault="005F0C1F" w:rsidP="00F9312C">
      <w:pPr>
        <w:pStyle w:val="Heading2"/>
        <w:spacing w:line="360" w:lineRule="auto"/>
      </w:pPr>
      <w:r w:rsidRPr="00EF1A79">
        <w:t>A4</w:t>
      </w:r>
      <w:r w:rsidR="00E614DE" w:rsidRPr="00EF1A79">
        <w:t xml:space="preserve"> </w:t>
      </w:r>
      <w:r w:rsidRPr="00EF1A79">
        <w:t>National Strategy, Law and Policy</w:t>
      </w:r>
    </w:p>
    <w:p w14:paraId="7D8878FF" w14:textId="77777777" w:rsidR="005F0C1F" w:rsidRDefault="005F0C1F" w:rsidP="00F9312C">
      <w:pPr>
        <w:spacing w:line="360" w:lineRule="auto"/>
      </w:pPr>
    </w:p>
    <w:p w14:paraId="7796C5C5" w14:textId="1270D067" w:rsidR="005F0C1F" w:rsidRPr="009D796E" w:rsidRDefault="005F0C1F" w:rsidP="00F9312C">
      <w:pPr>
        <w:pStyle w:val="Heading3"/>
        <w:spacing w:line="360" w:lineRule="auto"/>
        <w:rPr>
          <w:b/>
          <w:bCs w:val="0"/>
        </w:rPr>
      </w:pPr>
      <w:r w:rsidRPr="009D796E">
        <w:rPr>
          <w:b/>
          <w:bCs w:val="0"/>
        </w:rPr>
        <w:t>A4.1</w:t>
      </w:r>
      <w:r w:rsidR="00E614DE" w:rsidRPr="009D796E">
        <w:rPr>
          <w:b/>
          <w:bCs w:val="0"/>
        </w:rPr>
        <w:t xml:space="preserve"> </w:t>
      </w:r>
      <w:r w:rsidRPr="009D796E">
        <w:rPr>
          <w:b/>
          <w:bCs w:val="0"/>
        </w:rPr>
        <w:t>Equality</w:t>
      </w:r>
      <w:r w:rsidR="009A7BE1" w:rsidRPr="009D796E">
        <w:rPr>
          <w:b/>
          <w:bCs w:val="0"/>
        </w:rPr>
        <w:t xml:space="preserve"> and</w:t>
      </w:r>
      <w:r w:rsidRPr="009D796E">
        <w:rPr>
          <w:b/>
          <w:bCs w:val="0"/>
        </w:rPr>
        <w:t xml:space="preserve"> Inclusion </w:t>
      </w:r>
    </w:p>
    <w:p w14:paraId="65D33EC0" w14:textId="77777777" w:rsidR="00D47303" w:rsidRDefault="00D47303" w:rsidP="00F9312C">
      <w:pPr>
        <w:spacing w:line="360" w:lineRule="auto"/>
        <w:ind w:left="720"/>
      </w:pPr>
    </w:p>
    <w:p w14:paraId="543278D9" w14:textId="6DFC4A83" w:rsidR="00D47303" w:rsidRPr="009D796E" w:rsidRDefault="009A7BE1" w:rsidP="00F9312C">
      <w:pPr>
        <w:pStyle w:val="Heading4"/>
        <w:spacing w:line="360" w:lineRule="auto"/>
        <w:rPr>
          <w:b/>
          <w:bCs w:val="0"/>
        </w:rPr>
      </w:pPr>
      <w:r w:rsidRPr="009D796E">
        <w:rPr>
          <w:b/>
          <w:bCs w:val="0"/>
        </w:rPr>
        <w:t>A4.1.1. Equality</w:t>
      </w:r>
    </w:p>
    <w:p w14:paraId="1C6A87F6" w14:textId="77777777" w:rsidR="00C13D26" w:rsidRDefault="00C13D26" w:rsidP="00F9312C">
      <w:pPr>
        <w:spacing w:line="360" w:lineRule="auto"/>
        <w:rPr>
          <w:i/>
          <w:iCs/>
        </w:rPr>
      </w:pPr>
    </w:p>
    <w:p w14:paraId="141D35FB" w14:textId="42F3C21C" w:rsidR="002463E9" w:rsidRPr="002463E9" w:rsidRDefault="002463E9" w:rsidP="00F9312C">
      <w:pPr>
        <w:spacing w:line="360" w:lineRule="auto"/>
        <w:rPr>
          <w:i/>
          <w:iCs/>
        </w:rPr>
      </w:pPr>
      <w:r w:rsidRPr="002463E9">
        <w:rPr>
          <w:i/>
          <w:iCs/>
        </w:rPr>
        <w:t>Equality laws</w:t>
      </w:r>
    </w:p>
    <w:p w14:paraId="5BCCF93B" w14:textId="479D0163" w:rsidR="00BC291F" w:rsidRDefault="00AA02AC" w:rsidP="00F9312C">
      <w:pPr>
        <w:spacing w:line="360" w:lineRule="auto"/>
      </w:pPr>
      <w:r>
        <w:t>Equal</w:t>
      </w:r>
      <w:r w:rsidR="00D47303">
        <w:t xml:space="preserve"> treatment</w:t>
      </w:r>
      <w:r>
        <w:t xml:space="preserve"> legislation relating to persons with disabilities has been introduce</w:t>
      </w:r>
      <w:r w:rsidR="00E835AA">
        <w:t>d in the Netherlands in 2003</w:t>
      </w:r>
      <w:r>
        <w:t>. The</w:t>
      </w:r>
      <w:r w:rsidR="00826780">
        <w:t xml:space="preserve"> Wet </w:t>
      </w:r>
      <w:proofErr w:type="spellStart"/>
      <w:r w:rsidR="00826780">
        <w:t>gelijke</w:t>
      </w:r>
      <w:proofErr w:type="spellEnd"/>
      <w:r w:rsidR="00826780">
        <w:t xml:space="preserve"> </w:t>
      </w:r>
      <w:proofErr w:type="spellStart"/>
      <w:r w:rsidR="00826780">
        <w:t>behandeling</w:t>
      </w:r>
      <w:proofErr w:type="spellEnd"/>
      <w:r w:rsidR="00826780">
        <w:t xml:space="preserve"> op </w:t>
      </w:r>
      <w:proofErr w:type="spellStart"/>
      <w:r w:rsidR="00826780">
        <w:t>grond</w:t>
      </w:r>
      <w:proofErr w:type="spellEnd"/>
      <w:r w:rsidR="00826780">
        <w:t xml:space="preserve"> van handicap of </w:t>
      </w:r>
      <w:proofErr w:type="spellStart"/>
      <w:r w:rsidR="00826780">
        <w:t>chronische</w:t>
      </w:r>
      <w:proofErr w:type="spellEnd"/>
      <w:r w:rsidR="00826780">
        <w:t xml:space="preserve"> </w:t>
      </w:r>
      <w:proofErr w:type="spellStart"/>
      <w:r w:rsidR="00826780">
        <w:t>ziekte</w:t>
      </w:r>
      <w:proofErr w:type="spellEnd"/>
      <w:r w:rsidR="00826780">
        <w:t xml:space="preserve"> (‘</w:t>
      </w:r>
      <w:r w:rsidR="00794462" w:rsidRPr="00826780">
        <w:rPr>
          <w:i/>
          <w:iCs/>
        </w:rPr>
        <w:t xml:space="preserve">Act on </w:t>
      </w:r>
      <w:r w:rsidRPr="00826780">
        <w:rPr>
          <w:i/>
          <w:iCs/>
        </w:rPr>
        <w:t>Equal treatment on grounds of disability/chronic illness</w:t>
      </w:r>
      <w:r w:rsidR="00826780">
        <w:t>’)</w:t>
      </w:r>
      <w:r w:rsidR="00B74F64">
        <w:rPr>
          <w:rStyle w:val="FootnoteReference"/>
        </w:rPr>
        <w:footnoteReference w:id="58"/>
      </w:r>
      <w:r>
        <w:t xml:space="preserve"> was </w:t>
      </w:r>
      <w:r w:rsidR="00C44F11">
        <w:t>then adopted</w:t>
      </w:r>
      <w:proofErr w:type="gramStart"/>
      <w:r w:rsidR="00C44F11">
        <w:t xml:space="preserve">. </w:t>
      </w:r>
      <w:r>
        <w:t xml:space="preserve"> </w:t>
      </w:r>
      <w:proofErr w:type="gramEnd"/>
      <w:r w:rsidR="00C44F11">
        <w:t xml:space="preserve">The Act was a result of the transposition </w:t>
      </w:r>
      <w:r w:rsidR="00E835AA">
        <w:t>of EU Directive 2000</w:t>
      </w:r>
      <w:r>
        <w:t>/78.</w:t>
      </w:r>
      <w:r w:rsidR="00C44F11">
        <w:rPr>
          <w:rStyle w:val="FootnoteReference"/>
        </w:rPr>
        <w:footnoteReference w:id="59"/>
      </w:r>
    </w:p>
    <w:p w14:paraId="412BE00D" w14:textId="0FBFDF4B" w:rsidR="00E835AA" w:rsidRDefault="00E835AA" w:rsidP="00F9312C">
      <w:pPr>
        <w:spacing w:line="360" w:lineRule="auto"/>
      </w:pPr>
      <w:r w:rsidRPr="00E835AA">
        <w:t xml:space="preserve">This </w:t>
      </w:r>
      <w:r>
        <w:t>Act</w:t>
      </w:r>
      <w:r w:rsidRPr="00E835AA">
        <w:t xml:space="preserve"> focuses on protection against discrimination on the grounds of disability or chronic illness.</w:t>
      </w:r>
      <w:r>
        <w:t xml:space="preserve"> </w:t>
      </w:r>
      <w:r w:rsidR="00D47303">
        <w:t xml:space="preserve">The law names ‘chronic </w:t>
      </w:r>
      <w:proofErr w:type="gramStart"/>
      <w:r w:rsidR="00D47303">
        <w:t>illness’</w:t>
      </w:r>
      <w:proofErr w:type="gramEnd"/>
      <w:r w:rsidR="00D47303">
        <w:t xml:space="preserve"> as a (separate) non-discrimination ground, next to ‘disability’. </w:t>
      </w:r>
      <w:r w:rsidR="00B74F64">
        <w:t xml:space="preserve">While </w:t>
      </w:r>
      <w:r>
        <w:t>in the EU Directive and in other international legal instruments, such as the CRPD, only the term ‘disability’ is used</w:t>
      </w:r>
      <w:r w:rsidR="00B74F64">
        <w:t>, the Dutch governm</w:t>
      </w:r>
      <w:bookmarkStart w:id="0" w:name="_GoBack"/>
      <w:bookmarkEnd w:id="0"/>
      <w:r w:rsidR="00B74F64">
        <w:t>ent motivated the inclusion of ‘chronic illness’ in the Act as follows:</w:t>
      </w:r>
      <w:r>
        <w:t xml:space="preserve"> “</w:t>
      </w:r>
      <w:r w:rsidRPr="00E835AA">
        <w:t xml:space="preserve">The grounds </w:t>
      </w:r>
      <w:r>
        <w:t>of</w:t>
      </w:r>
      <w:r w:rsidRPr="00E835AA">
        <w:t xml:space="preserve"> disability or chronic illness have so many similarities and entail so many comparable situations that discrimination on both grounds will fall under this bill. Moreover, in the Netherlands there are historical grounds for talking about people with a disability an</w:t>
      </w:r>
      <w:r>
        <w:t xml:space="preserve">d people with a chronic illness. </w:t>
      </w:r>
      <w:r w:rsidRPr="00E835AA">
        <w:t>Every citizen is protected on the basis of this bill; this is not about having a disability or chronic illness, but about being discriminated against compared to the person who does not or does not have that disability.</w:t>
      </w:r>
      <w:r>
        <w:t>”</w:t>
      </w:r>
      <w:r>
        <w:rPr>
          <w:rStyle w:val="FootnoteReference"/>
        </w:rPr>
        <w:footnoteReference w:id="60"/>
      </w:r>
      <w:r w:rsidR="008E6EA5">
        <w:t xml:space="preserve"> The position of the government on the topic has not been disputed in parliament or in literature.</w:t>
      </w:r>
    </w:p>
    <w:p w14:paraId="572392CA" w14:textId="1A38B234" w:rsidR="00E835AA" w:rsidRDefault="00E835AA" w:rsidP="00F9312C">
      <w:pPr>
        <w:spacing w:line="360" w:lineRule="auto"/>
      </w:pPr>
      <w:r>
        <w:t>With the introduction of the Act</w:t>
      </w:r>
      <w:r w:rsidR="00770CEF">
        <w:t xml:space="preserve"> in 2003</w:t>
      </w:r>
      <w:r>
        <w:t xml:space="preserve">, the scope was limited to the </w:t>
      </w:r>
      <w:r w:rsidR="00D47303">
        <w:t>specific</w:t>
      </w:r>
      <w:r>
        <w:t xml:space="preserve"> areas mentioned in the Fr</w:t>
      </w:r>
      <w:r w:rsidR="00770CEF">
        <w:t>amework Directive</w:t>
      </w:r>
      <w:r w:rsidR="00D47303">
        <w:t>:</w:t>
      </w:r>
      <w:r w:rsidR="00770CEF">
        <w:t xml:space="preserve"> employment and vocational training. While limiting the scope to these areas, the government announced that in later stages the Act would be expanded to other areas. The Act was described as legislation under construction</w:t>
      </w:r>
      <w:r w:rsidR="00154594">
        <w:t xml:space="preserve"> (‘</w:t>
      </w:r>
      <w:proofErr w:type="spellStart"/>
      <w:r w:rsidR="00154594" w:rsidRPr="00154594">
        <w:rPr>
          <w:i/>
        </w:rPr>
        <w:t>aanbouwwet</w:t>
      </w:r>
      <w:proofErr w:type="spellEnd"/>
      <w:r w:rsidR="00154594">
        <w:t>’).</w:t>
      </w:r>
      <w:r w:rsidR="00154594">
        <w:rPr>
          <w:rStyle w:val="FootnoteReference"/>
        </w:rPr>
        <w:footnoteReference w:id="61"/>
      </w:r>
    </w:p>
    <w:p w14:paraId="2E25A265" w14:textId="77777777" w:rsidR="002D10DB" w:rsidRDefault="00770CEF" w:rsidP="00F9312C">
      <w:pPr>
        <w:spacing w:line="360" w:lineRule="auto"/>
      </w:pPr>
      <w:r>
        <w:t xml:space="preserve">In 2009, the </w:t>
      </w:r>
      <w:r w:rsidR="00154594">
        <w:t>areas of housing and general education were added to the law and in 2012 the area of public transport</w:t>
      </w:r>
      <w:r w:rsidR="002D10DB">
        <w:t xml:space="preserve"> was added</w:t>
      </w:r>
      <w:r w:rsidR="00154594">
        <w:t xml:space="preserve">. In 2016, with the implementation of CRPD in the Netherlands, the area of </w:t>
      </w:r>
      <w:r w:rsidR="005D54EA">
        <w:t xml:space="preserve">access to and the supply </w:t>
      </w:r>
      <w:r w:rsidR="00154594">
        <w:t xml:space="preserve">of goods and services </w:t>
      </w:r>
      <w:proofErr w:type="gramStart"/>
      <w:r w:rsidR="00154594">
        <w:t>was</w:t>
      </w:r>
      <w:proofErr w:type="gramEnd"/>
      <w:r w:rsidR="00154594">
        <w:t xml:space="preserve"> introduced into the law.</w:t>
      </w:r>
      <w:r w:rsidR="005D54EA">
        <w:rPr>
          <w:rStyle w:val="FootnoteReference"/>
        </w:rPr>
        <w:footnoteReference w:id="62"/>
      </w:r>
    </w:p>
    <w:p w14:paraId="3B47141B" w14:textId="77777777" w:rsidR="002D10DB" w:rsidRDefault="002D10DB" w:rsidP="00F9312C">
      <w:pPr>
        <w:spacing w:line="360" w:lineRule="auto"/>
      </w:pPr>
    </w:p>
    <w:p w14:paraId="2E77F1D5" w14:textId="2FB7AB14" w:rsidR="00C63538" w:rsidRDefault="002D10DB" w:rsidP="00F9312C">
      <w:pPr>
        <w:spacing w:line="360" w:lineRule="auto"/>
      </w:pPr>
      <w:r>
        <w:t xml:space="preserve">Equality legislation relating to older people as such does not exist. Also as a </w:t>
      </w:r>
      <w:r w:rsidR="002253F3">
        <w:t>consequence</w:t>
      </w:r>
      <w:r>
        <w:t xml:space="preserve"> of </w:t>
      </w:r>
      <w:r w:rsidR="002253F3">
        <w:t xml:space="preserve">the </w:t>
      </w:r>
      <w:r w:rsidR="00C44F11">
        <w:t>transposition</w:t>
      </w:r>
      <w:r w:rsidR="002253F3">
        <w:t xml:space="preserve"> of EU Directive 2000/78, legislation on equal treatment on the ground of age was introduced in the Netherlands in 2003.</w:t>
      </w:r>
      <w:r w:rsidR="002253F3">
        <w:rPr>
          <w:rStyle w:val="FootnoteReference"/>
        </w:rPr>
        <w:footnoteReference w:id="63"/>
      </w:r>
      <w:r w:rsidR="002253F3">
        <w:t xml:space="preserve"> The legislation forbids discrimination on grounds of age in the area of employment. In employment relations, older people may derive protection against discrimination. Where accessibility of streets is concerned, the law is not applicable.</w:t>
      </w:r>
    </w:p>
    <w:p w14:paraId="531D72B3" w14:textId="51AB1DD1" w:rsidR="00321374" w:rsidRPr="00236174" w:rsidRDefault="00C63538" w:rsidP="00F9312C">
      <w:pPr>
        <w:spacing w:line="360" w:lineRule="auto"/>
      </w:pPr>
      <w:proofErr w:type="gramStart"/>
      <w:r>
        <w:t>As with the other equal treatment legislation in the Netherlands, t</w:t>
      </w:r>
      <w:r w:rsidR="00102596">
        <w:t xml:space="preserve">he scope of </w:t>
      </w:r>
      <w:r w:rsidR="002253F3">
        <w:t xml:space="preserve">both </w:t>
      </w:r>
      <w:r w:rsidR="00102596">
        <w:t>the Act</w:t>
      </w:r>
      <w:r w:rsidR="002253F3">
        <w:t>s</w:t>
      </w:r>
      <w:r w:rsidR="00102596">
        <w:t xml:space="preserve"> </w:t>
      </w:r>
      <w:r w:rsidR="002253F3">
        <w:t>is restricted to</w:t>
      </w:r>
      <w:r w:rsidR="00102596">
        <w:t xml:space="preserve"> situations where a contractual relation exist</w:t>
      </w:r>
      <w:r w:rsidR="002253F3">
        <w:t>s</w:t>
      </w:r>
      <w:r w:rsidR="00102596">
        <w:t>.</w:t>
      </w:r>
      <w:proofErr w:type="gramEnd"/>
      <w:r w:rsidR="00102596">
        <w:t xml:space="preserve"> As a consequence, u</w:t>
      </w:r>
      <w:r w:rsidR="00321374">
        <w:t xml:space="preserve">nilateral government acts </w:t>
      </w:r>
      <w:r w:rsidR="00981EC8">
        <w:t>(‘</w:t>
      </w:r>
      <w:proofErr w:type="spellStart"/>
      <w:r w:rsidR="00981EC8">
        <w:rPr>
          <w:i/>
        </w:rPr>
        <w:t>e</w:t>
      </w:r>
      <w:r w:rsidR="00981EC8" w:rsidRPr="00981EC8">
        <w:rPr>
          <w:i/>
        </w:rPr>
        <w:t>enzijdig</w:t>
      </w:r>
      <w:proofErr w:type="spellEnd"/>
      <w:r w:rsidR="00981EC8" w:rsidRPr="00981EC8">
        <w:rPr>
          <w:i/>
        </w:rPr>
        <w:t xml:space="preserve"> </w:t>
      </w:r>
      <w:proofErr w:type="spellStart"/>
      <w:r w:rsidR="00981EC8" w:rsidRPr="00981EC8">
        <w:rPr>
          <w:i/>
        </w:rPr>
        <w:t>overheidshandelen</w:t>
      </w:r>
      <w:proofErr w:type="spellEnd"/>
      <w:r w:rsidR="00981EC8">
        <w:rPr>
          <w:i/>
        </w:rPr>
        <w:t>’</w:t>
      </w:r>
      <w:r w:rsidR="00981EC8">
        <w:t xml:space="preserve">) </w:t>
      </w:r>
      <w:r w:rsidR="00321374">
        <w:t xml:space="preserve">are excluded from the </w:t>
      </w:r>
      <w:r w:rsidR="00102596">
        <w:t>Act</w:t>
      </w:r>
      <w:r w:rsidR="00321374">
        <w:t>. According to the government,</w:t>
      </w:r>
      <w:r w:rsidR="00987BA8">
        <w:t xml:space="preserve"> “</w:t>
      </w:r>
      <w:r w:rsidR="00321374" w:rsidRPr="00321374">
        <w:t xml:space="preserve">unilateral government action has room for freedom </w:t>
      </w:r>
      <w:r w:rsidR="00102596">
        <w:t xml:space="preserve">of </w:t>
      </w:r>
      <w:r w:rsidR="00102596" w:rsidRPr="00321374">
        <w:t xml:space="preserve">policy </w:t>
      </w:r>
      <w:r w:rsidR="00321374" w:rsidRPr="00321374">
        <w:t xml:space="preserve">which, in principle, is not tested by the </w:t>
      </w:r>
      <w:r w:rsidR="00321374">
        <w:t>N</w:t>
      </w:r>
      <w:r w:rsidR="00102596">
        <w:t xml:space="preserve">etherlands </w:t>
      </w:r>
      <w:r w:rsidR="00321374">
        <w:t>H</w:t>
      </w:r>
      <w:r w:rsidR="00102596">
        <w:t xml:space="preserve">uman </w:t>
      </w:r>
      <w:r w:rsidR="00321374">
        <w:t>R</w:t>
      </w:r>
      <w:r w:rsidR="00102596">
        <w:t xml:space="preserve">ights </w:t>
      </w:r>
      <w:r w:rsidR="00321374">
        <w:t>I</w:t>
      </w:r>
      <w:r w:rsidR="00102596">
        <w:t>nstitute</w:t>
      </w:r>
      <w:r w:rsidR="00321374" w:rsidRPr="00321374">
        <w:t xml:space="preserve"> against the </w:t>
      </w:r>
      <w:r w:rsidR="00987BA8">
        <w:t>equal treatment legislation</w:t>
      </w:r>
      <w:r w:rsidR="00321374" w:rsidRPr="00321374">
        <w:t xml:space="preserve">. The government cannot </w:t>
      </w:r>
      <w:r w:rsidR="00321374">
        <w:t>discriminate</w:t>
      </w:r>
      <w:r w:rsidR="00321374" w:rsidRPr="00321374">
        <w:t>, as</w:t>
      </w:r>
      <w:r w:rsidR="00BC1033">
        <w:t xml:space="preserve"> article </w:t>
      </w:r>
      <w:r w:rsidR="00321374" w:rsidRPr="00321374">
        <w:t xml:space="preserve">1 of the Constitution prohibits that. Unilateral government actions can be tested against the </w:t>
      </w:r>
      <w:r w:rsidR="00321374">
        <w:t>General Administrative</w:t>
      </w:r>
      <w:r w:rsidR="009462DF">
        <w:t xml:space="preserve"> Law</w:t>
      </w:r>
      <w:r w:rsidR="00321374">
        <w:t xml:space="preserve"> Act </w:t>
      </w:r>
      <w:r w:rsidR="007A0B5F">
        <w:t>(</w:t>
      </w:r>
      <w:r w:rsidR="00954636">
        <w:t>‘</w:t>
      </w:r>
      <w:proofErr w:type="spellStart"/>
      <w:r w:rsidR="007A0B5F" w:rsidRPr="007A0B5F">
        <w:rPr>
          <w:i/>
          <w:iCs/>
        </w:rPr>
        <w:t>Algemene</w:t>
      </w:r>
      <w:proofErr w:type="spellEnd"/>
      <w:r w:rsidR="007A0B5F" w:rsidRPr="007A0B5F">
        <w:rPr>
          <w:i/>
          <w:iCs/>
        </w:rPr>
        <w:t xml:space="preserve"> wet </w:t>
      </w:r>
      <w:proofErr w:type="spellStart"/>
      <w:r w:rsidR="007A0B5F" w:rsidRPr="007A0B5F">
        <w:rPr>
          <w:i/>
          <w:iCs/>
        </w:rPr>
        <w:t>bestuursrecht</w:t>
      </w:r>
      <w:proofErr w:type="spellEnd"/>
      <w:r w:rsidR="00954636">
        <w:rPr>
          <w:i/>
          <w:iCs/>
        </w:rPr>
        <w:t>’</w:t>
      </w:r>
      <w:r w:rsidR="007A0B5F">
        <w:t>)</w:t>
      </w:r>
      <w:r w:rsidR="00321374" w:rsidRPr="00321374">
        <w:t>, the general principles of good administration or poss</w:t>
      </w:r>
      <w:r w:rsidR="00321374">
        <w:t>ibly</w:t>
      </w:r>
      <w:r w:rsidR="00347D40">
        <w:t xml:space="preserve"> public </w:t>
      </w:r>
      <w:r w:rsidR="00321374" w:rsidRPr="005174E3">
        <w:t>tort</w:t>
      </w:r>
      <w:r w:rsidR="00347D40">
        <w:t xml:space="preserve"> connected with breach of statutory duty</w:t>
      </w:r>
      <w:r w:rsidR="00321374" w:rsidRPr="00321374">
        <w:t xml:space="preserve"> in the Civil Code. So there are enough options to ensure that un</w:t>
      </w:r>
      <w:r w:rsidR="00987BA8">
        <w:t>ilateral government action meet</w:t>
      </w:r>
      <w:r w:rsidR="007A0B5F">
        <w:t>s</w:t>
      </w:r>
      <w:r w:rsidR="00321374" w:rsidRPr="00321374">
        <w:t xml:space="preserve"> the standards of the treaty.</w:t>
      </w:r>
      <w:r w:rsidR="00321374" w:rsidRPr="00236174">
        <w:t>"</w:t>
      </w:r>
      <w:r w:rsidR="00321374">
        <w:rPr>
          <w:rStyle w:val="FootnoteReference"/>
        </w:rPr>
        <w:footnoteReference w:id="64"/>
      </w:r>
    </w:p>
    <w:p w14:paraId="450B8A4F" w14:textId="79D2252A" w:rsidR="007A0B5F" w:rsidRPr="007A0B5F" w:rsidRDefault="007A0B5F" w:rsidP="00F9312C">
      <w:pPr>
        <w:spacing w:line="360" w:lineRule="auto"/>
      </w:pPr>
      <w:r w:rsidRPr="007A0B5F">
        <w:t xml:space="preserve">For the purposes of this report, this means that action against </w:t>
      </w:r>
      <w:r>
        <w:t>inaccessible public space cannot be based on the existing equal treatment legislation</w:t>
      </w:r>
      <w:r w:rsidR="002755D8">
        <w:t>.</w:t>
      </w:r>
    </w:p>
    <w:p w14:paraId="316DBB55" w14:textId="77777777" w:rsidR="002463E9" w:rsidRDefault="002463E9" w:rsidP="00F9312C">
      <w:pPr>
        <w:spacing w:line="360" w:lineRule="auto"/>
      </w:pPr>
    </w:p>
    <w:p w14:paraId="50F3C99D" w14:textId="4E347306" w:rsidR="00E835AA" w:rsidRDefault="002463E9" w:rsidP="00F9312C">
      <w:pPr>
        <w:spacing w:line="360" w:lineRule="auto"/>
        <w:rPr>
          <w:i/>
          <w:iCs/>
        </w:rPr>
      </w:pPr>
      <w:r w:rsidRPr="002463E9">
        <w:rPr>
          <w:i/>
          <w:iCs/>
        </w:rPr>
        <w:t>Criminal Code</w:t>
      </w:r>
    </w:p>
    <w:p w14:paraId="39CE9354" w14:textId="58BCE146" w:rsidR="00251830" w:rsidRPr="00E116AC" w:rsidRDefault="00251830" w:rsidP="00F9312C">
      <w:pPr>
        <w:spacing w:line="360" w:lineRule="auto"/>
      </w:pPr>
      <w:r>
        <w:t>Disability is one of the non-discrimination grounds addressed in t</w:t>
      </w:r>
      <w:r w:rsidR="002463E9">
        <w:t>he D</w:t>
      </w:r>
      <w:r>
        <w:t>u</w:t>
      </w:r>
      <w:r w:rsidR="002463E9">
        <w:t>tch Criminal Code</w:t>
      </w:r>
      <w:r w:rsidR="00E116AC">
        <w:t>. Incitement to hatred</w:t>
      </w:r>
      <w:r>
        <w:t xml:space="preserve"> or discrimination or violence against a person because of their disability is a criminal offence</w:t>
      </w:r>
      <w:r w:rsidR="00E116AC">
        <w:t>, as well as supporting</w:t>
      </w:r>
      <w:r w:rsidR="00E116AC" w:rsidRPr="00E116AC">
        <w:rPr>
          <w:rFonts w:cs="Arial"/>
          <w:szCs w:val="24"/>
        </w:rPr>
        <w:t xml:space="preserve"> </w:t>
      </w:r>
      <w:r w:rsidR="00E116AC" w:rsidRPr="00E116AC">
        <w:rPr>
          <w:rFonts w:eastAsiaTheme="minorHAnsi" w:cs="Arial"/>
          <w:color w:val="000000"/>
          <w:szCs w:val="24"/>
          <w:lang w:eastAsia="en-US"/>
        </w:rPr>
        <w:t>activities aimed at discrimination against persons because of</w:t>
      </w:r>
      <w:r w:rsidR="00E116AC">
        <w:t xml:space="preserve"> their disability.</w:t>
      </w:r>
      <w:r w:rsidR="00E116AC">
        <w:rPr>
          <w:rStyle w:val="FootnoteReference"/>
        </w:rPr>
        <w:footnoteReference w:id="65"/>
      </w:r>
      <w:r w:rsidR="00E116AC">
        <w:t xml:space="preserve"> In the area of supplying employment or goods and services,</w:t>
      </w:r>
      <w:r w:rsidR="00E116AC" w:rsidRPr="00E116AC">
        <w:rPr>
          <w:rFonts w:cs="Arial"/>
          <w:szCs w:val="24"/>
        </w:rPr>
        <w:t xml:space="preserve"> </w:t>
      </w:r>
      <w:r w:rsidR="00E116AC" w:rsidRPr="00E116AC">
        <w:rPr>
          <w:rFonts w:eastAsiaTheme="minorHAnsi" w:cs="Arial"/>
          <w:color w:val="000000"/>
          <w:szCs w:val="24"/>
          <w:lang w:eastAsia="en-US"/>
        </w:rPr>
        <w:t>it is a criminal offence if ‘any person who, in the discharge of his office, practice of a profession or in conducting a business, undertakes or refrains from undertaking, for no reasonable grounds, certain acts which can have the purpose or effect in regard of persons with a physical, psychological or mental disability of nullifying or impairing the recognition, enjoyment or exercise, on an equal footing, of human rights and fundamental freedoms</w:t>
      </w:r>
      <w:r w:rsidR="00E116AC">
        <w:rPr>
          <w:rFonts w:eastAsiaTheme="minorHAnsi" w:cs="Arial"/>
          <w:color w:val="000000"/>
          <w:szCs w:val="24"/>
          <w:lang w:eastAsia="en-US"/>
        </w:rPr>
        <w:t>’.</w:t>
      </w:r>
      <w:r w:rsidR="00E116AC">
        <w:rPr>
          <w:rStyle w:val="FootnoteReference"/>
          <w:rFonts w:eastAsiaTheme="minorHAnsi" w:cs="Arial"/>
          <w:color w:val="000000"/>
          <w:szCs w:val="24"/>
          <w:lang w:eastAsia="en-US"/>
        </w:rPr>
        <w:footnoteReference w:id="66"/>
      </w:r>
    </w:p>
    <w:p w14:paraId="2A702689" w14:textId="77777777" w:rsidR="002253F3" w:rsidRDefault="00E116AC" w:rsidP="00F9312C">
      <w:pPr>
        <w:spacing w:line="360" w:lineRule="auto"/>
      </w:pPr>
      <w:r>
        <w:t xml:space="preserve">This last provision allows police and </w:t>
      </w:r>
      <w:r w:rsidR="002253F3">
        <w:t xml:space="preserve">the </w:t>
      </w:r>
      <w:r>
        <w:t xml:space="preserve">public prosecutor to prosecute persons who, in the course of their profession or business, discriminate </w:t>
      </w:r>
      <w:r w:rsidR="00B164AA">
        <w:t xml:space="preserve">against persons with disabilities. This article can be seen as the penal counterpart of the </w:t>
      </w:r>
      <w:r w:rsidR="002253F3">
        <w:t>Equal Treatment A</w:t>
      </w:r>
      <w:r w:rsidR="00B164AA">
        <w:t xml:space="preserve">ct. </w:t>
      </w:r>
    </w:p>
    <w:p w14:paraId="29A20E02" w14:textId="3543F911" w:rsidR="00251830" w:rsidRDefault="00EF1F9B" w:rsidP="00F9312C">
      <w:pPr>
        <w:spacing w:line="360" w:lineRule="auto"/>
      </w:pPr>
      <w:r>
        <w:t>In 2019, the police registered 79 incidents of discrimination related to disability. Half of these incidents were associated with group insult; other incidents related to refusal of entry to a bar or club or to harassment at school.</w:t>
      </w:r>
      <w:r w:rsidR="002523C3">
        <w:rPr>
          <w:rStyle w:val="FootnoteReference"/>
        </w:rPr>
        <w:footnoteReference w:id="67"/>
      </w:r>
      <w:r>
        <w:t xml:space="preserve"> </w:t>
      </w:r>
      <w:r w:rsidR="00C43136">
        <w:t xml:space="preserve">The actual prosecution of incidents based on these reports is significantly lower. </w:t>
      </w:r>
      <w:proofErr w:type="gramStart"/>
      <w:r w:rsidR="00C43136">
        <w:t>The latest available data (201</w:t>
      </w:r>
      <w:r w:rsidR="007C7DE6">
        <w:t>9</w:t>
      </w:r>
      <w:r w:rsidR="00C43136">
        <w:t xml:space="preserve">) show that </w:t>
      </w:r>
      <w:r w:rsidR="007C7DE6">
        <w:t>three</w:t>
      </w:r>
      <w:r w:rsidR="00C43136">
        <w:t xml:space="preserve"> incident</w:t>
      </w:r>
      <w:r w:rsidR="007C7DE6">
        <w:t>s</w:t>
      </w:r>
      <w:r w:rsidR="00C43136">
        <w:t xml:space="preserve"> relating to disability led to prosecution.</w:t>
      </w:r>
      <w:proofErr w:type="gramEnd"/>
      <w:r w:rsidR="00C43136">
        <w:rPr>
          <w:rStyle w:val="FootnoteReference"/>
        </w:rPr>
        <w:footnoteReference w:id="68"/>
      </w:r>
      <w:r w:rsidR="00C43136">
        <w:t xml:space="preserve"> </w:t>
      </w:r>
      <w:r w:rsidR="007C7DE6">
        <w:t>In all cases it involved verbal abuse using the word ‘</w:t>
      </w:r>
      <w:proofErr w:type="spellStart"/>
      <w:r w:rsidR="007C7DE6">
        <w:t>mongol</w:t>
      </w:r>
      <w:proofErr w:type="spellEnd"/>
      <w:r w:rsidR="007C7DE6">
        <w:t xml:space="preserve">’ </w:t>
      </w:r>
      <w:r w:rsidR="005174E3">
        <w:t>for</w:t>
      </w:r>
      <w:r w:rsidR="007C7DE6">
        <w:t xml:space="preserve"> persons who do not have Down syndrome</w:t>
      </w:r>
      <w:r w:rsidR="00C43136">
        <w:t>.</w:t>
      </w:r>
    </w:p>
    <w:p w14:paraId="23BC6CD8" w14:textId="3E64D0D3" w:rsidR="00EA5733" w:rsidRDefault="00FE34DA" w:rsidP="00F9312C">
      <w:pPr>
        <w:spacing w:line="360" w:lineRule="auto"/>
      </w:pPr>
      <w:r>
        <w:t>T</w:t>
      </w:r>
      <w:r w:rsidR="00EA5733">
        <w:t>he</w:t>
      </w:r>
      <w:r>
        <w:t>refore</w:t>
      </w:r>
      <w:r w:rsidR="00EA5733">
        <w:t xml:space="preserve">, the area of design, management and maintenance of public space lies outside of the scope of criminal law in the Netherlands. Action against </w:t>
      </w:r>
      <w:r w:rsidR="00F11014">
        <w:t>inaccessible public space cannot be based on the existing criminal legislation.</w:t>
      </w:r>
      <w:r w:rsidR="00EA5733">
        <w:t xml:space="preserve"> </w:t>
      </w:r>
    </w:p>
    <w:p w14:paraId="62A07BD1" w14:textId="77777777" w:rsidR="00E116AC" w:rsidRDefault="00E116AC" w:rsidP="00F9312C">
      <w:pPr>
        <w:spacing w:line="360" w:lineRule="auto"/>
      </w:pPr>
    </w:p>
    <w:p w14:paraId="79CD4E11" w14:textId="563E401C" w:rsidR="00192E65" w:rsidRPr="00926680" w:rsidRDefault="00192E65" w:rsidP="00F9312C">
      <w:pPr>
        <w:spacing w:line="360" w:lineRule="auto"/>
        <w:rPr>
          <w:b/>
          <w:bCs/>
        </w:rPr>
      </w:pPr>
      <w:r w:rsidRPr="00926680">
        <w:rPr>
          <w:b/>
          <w:bCs/>
        </w:rPr>
        <w:t>Monitoring and Oversight Mechanisms</w:t>
      </w:r>
    </w:p>
    <w:p w14:paraId="0A57DE28" w14:textId="081CB1D4" w:rsidR="00B66C0F" w:rsidRDefault="002755D8" w:rsidP="00F9312C">
      <w:pPr>
        <w:spacing w:line="360" w:lineRule="auto"/>
      </w:pPr>
      <w:r>
        <w:t>The Act</w:t>
      </w:r>
      <w:r w:rsidR="0092464D">
        <w:t xml:space="preserve"> on Equal treatment on grounds of disability/chronic illness</w:t>
      </w:r>
      <w:r>
        <w:t xml:space="preserve"> contains the obligation </w:t>
      </w:r>
      <w:r w:rsidR="0092464D">
        <w:t xml:space="preserve">to evaluate the Act after five years </w:t>
      </w:r>
      <w:r w:rsidR="0092464D" w:rsidRPr="0092464D">
        <w:t>on the effectiveness and effects of th</w:t>
      </w:r>
      <w:r w:rsidR="0092464D">
        <w:t>e</w:t>
      </w:r>
      <w:r w:rsidR="0092464D" w:rsidRPr="0092464D">
        <w:t xml:space="preserve"> Act in practice</w:t>
      </w:r>
      <w:r w:rsidR="0092464D">
        <w:t xml:space="preserve">. </w:t>
      </w:r>
      <w:r w:rsidR="00C63538">
        <w:t>For that purpose, an independent</w:t>
      </w:r>
      <w:r w:rsidR="005C34EB">
        <w:t xml:space="preserve"> </w:t>
      </w:r>
      <w:r w:rsidR="0092464D">
        <w:t xml:space="preserve">evaluation </w:t>
      </w:r>
      <w:r w:rsidR="00B66C0F">
        <w:t xml:space="preserve">was carried out in 2009 and a </w:t>
      </w:r>
      <w:r w:rsidR="0092464D">
        <w:t>report was sent to Parliament.</w:t>
      </w:r>
      <w:r w:rsidR="005C34EB">
        <w:rPr>
          <w:rStyle w:val="FootnoteReference"/>
        </w:rPr>
        <w:footnoteReference w:id="69"/>
      </w:r>
      <w:r w:rsidR="0092464D">
        <w:t xml:space="preserve"> The conclusion was that t</w:t>
      </w:r>
      <w:r w:rsidR="0092464D" w:rsidRPr="0092464D">
        <w:t xml:space="preserve">he </w:t>
      </w:r>
      <w:r w:rsidR="0092464D">
        <w:t>Act wa</w:t>
      </w:r>
      <w:r w:rsidR="0092464D" w:rsidRPr="0092464D">
        <w:t xml:space="preserve">s clear, unambiguous and practicable in a legal sense. Individual legal protection for people </w:t>
      </w:r>
      <w:r w:rsidR="0092464D">
        <w:t xml:space="preserve">with disabilities </w:t>
      </w:r>
      <w:r w:rsidR="0092464D" w:rsidRPr="0092464D">
        <w:t>and the chronically ill ha</w:t>
      </w:r>
      <w:r w:rsidR="005C34EB">
        <w:t>d</w:t>
      </w:r>
      <w:r w:rsidR="0092464D" w:rsidRPr="0092464D">
        <w:t xml:space="preserve"> improved</w:t>
      </w:r>
      <w:r w:rsidR="0092464D">
        <w:t>. However, the awareness among persons with disabilities and professionals was low, and a dialogue about the law did not exist.</w:t>
      </w:r>
    </w:p>
    <w:p w14:paraId="597B2EB7" w14:textId="1CF0D944" w:rsidR="0092464D" w:rsidRDefault="005174E3" w:rsidP="00F9312C">
      <w:pPr>
        <w:spacing w:line="360" w:lineRule="auto"/>
      </w:pPr>
      <w:r>
        <w:t>Since then, o</w:t>
      </w:r>
      <w:r w:rsidR="0092464D">
        <w:t xml:space="preserve">ther </w:t>
      </w:r>
      <w:r w:rsidR="005C34EB">
        <w:t xml:space="preserve">parliamentary </w:t>
      </w:r>
      <w:r w:rsidR="0092464D">
        <w:t>evaluations or monitoring activities have not taken place</w:t>
      </w:r>
      <w:r w:rsidR="00C63538">
        <w:t xml:space="preserve">. </w:t>
      </w:r>
    </w:p>
    <w:p w14:paraId="3E01CCF8" w14:textId="77777777" w:rsidR="0092464D" w:rsidRDefault="0092464D" w:rsidP="00F9312C">
      <w:pPr>
        <w:spacing w:line="360" w:lineRule="auto"/>
      </w:pPr>
    </w:p>
    <w:p w14:paraId="5438E85F" w14:textId="2B4ED9E8" w:rsidR="00192E65" w:rsidRPr="00926680" w:rsidRDefault="00192E65" w:rsidP="00F9312C">
      <w:pPr>
        <w:spacing w:line="360" w:lineRule="auto"/>
        <w:rPr>
          <w:b/>
          <w:bCs/>
        </w:rPr>
      </w:pPr>
      <w:r w:rsidRPr="00926680">
        <w:rPr>
          <w:b/>
          <w:bCs/>
        </w:rPr>
        <w:t>Other Monitoring and Oversight Mechanisms</w:t>
      </w:r>
    </w:p>
    <w:p w14:paraId="34E6BDDB" w14:textId="2CF86FE8" w:rsidR="00CB7313" w:rsidRDefault="00383301" w:rsidP="00F9312C">
      <w:pPr>
        <w:spacing w:line="360" w:lineRule="auto"/>
        <w:rPr>
          <w:szCs w:val="24"/>
        </w:rPr>
      </w:pPr>
      <w:r>
        <w:t>Monitoring of i</w:t>
      </w:r>
      <w:r w:rsidR="00B66C0F">
        <w:t xml:space="preserve">ncidents of discrimination </w:t>
      </w:r>
      <w:r>
        <w:t xml:space="preserve">is </w:t>
      </w:r>
      <w:r w:rsidR="00942093">
        <w:t>provided for</w:t>
      </w:r>
      <w:r>
        <w:t xml:space="preserve"> by</w:t>
      </w:r>
      <w:r w:rsidR="00B66C0F">
        <w:t xml:space="preserve"> local or regional anti-discrimination agencies.</w:t>
      </w:r>
      <w:r>
        <w:rPr>
          <w:rStyle w:val="FootnoteReference"/>
        </w:rPr>
        <w:footnoteReference w:id="70"/>
      </w:r>
      <w:r w:rsidR="00B66C0F">
        <w:t xml:space="preserve"> </w:t>
      </w:r>
      <w:r>
        <w:t>These agencies receive and investigate discrimination complaints. Their work is based on</w:t>
      </w:r>
      <w:r w:rsidR="00CB7313">
        <w:t xml:space="preserve"> the </w:t>
      </w:r>
      <w:r w:rsidR="005D7CCC" w:rsidRPr="005D7CCC">
        <w:rPr>
          <w:szCs w:val="24"/>
        </w:rPr>
        <w:t xml:space="preserve">Wet </w:t>
      </w:r>
      <w:proofErr w:type="spellStart"/>
      <w:r w:rsidR="005D7CCC" w:rsidRPr="005D7CCC">
        <w:rPr>
          <w:szCs w:val="24"/>
        </w:rPr>
        <w:t>gemeentelijke</w:t>
      </w:r>
      <w:proofErr w:type="spellEnd"/>
      <w:r w:rsidR="005D7CCC" w:rsidRPr="005D7CCC">
        <w:rPr>
          <w:szCs w:val="24"/>
        </w:rPr>
        <w:t xml:space="preserve"> </w:t>
      </w:r>
      <w:proofErr w:type="spellStart"/>
      <w:r w:rsidR="005D7CCC" w:rsidRPr="005D7CCC">
        <w:rPr>
          <w:szCs w:val="24"/>
        </w:rPr>
        <w:t>antidiscriminatievoorzieningen</w:t>
      </w:r>
      <w:proofErr w:type="spellEnd"/>
      <w:r w:rsidR="005D7CCC">
        <w:rPr>
          <w:szCs w:val="24"/>
        </w:rPr>
        <w:t xml:space="preserve"> (‘</w:t>
      </w:r>
      <w:r w:rsidR="00CB7313" w:rsidRPr="005D7CCC">
        <w:rPr>
          <w:i/>
          <w:iCs/>
          <w:szCs w:val="24"/>
        </w:rPr>
        <w:t>Municipal Anti-Discrimination Facilities Act</w:t>
      </w:r>
      <w:r w:rsidR="00CB7313" w:rsidRPr="00CB7313">
        <w:rPr>
          <w:szCs w:val="24"/>
        </w:rPr>
        <w:t xml:space="preserve"> (‘</w:t>
      </w:r>
      <w:r w:rsidR="00CB7313" w:rsidRPr="00CB7313">
        <w:rPr>
          <w:i/>
          <w:iCs/>
          <w:szCs w:val="24"/>
        </w:rPr>
        <w:t xml:space="preserve">Wet </w:t>
      </w:r>
      <w:proofErr w:type="spellStart"/>
      <w:r w:rsidR="00CB7313" w:rsidRPr="00CB7313">
        <w:rPr>
          <w:i/>
          <w:iCs/>
          <w:szCs w:val="24"/>
        </w:rPr>
        <w:t>gemeentelijke</w:t>
      </w:r>
      <w:proofErr w:type="spellEnd"/>
      <w:r w:rsidR="00CB7313" w:rsidRPr="00CB7313">
        <w:rPr>
          <w:i/>
          <w:iCs/>
          <w:szCs w:val="24"/>
        </w:rPr>
        <w:t xml:space="preserve"> </w:t>
      </w:r>
      <w:proofErr w:type="spellStart"/>
      <w:r w:rsidR="00CB7313" w:rsidRPr="00CB7313">
        <w:rPr>
          <w:i/>
          <w:iCs/>
          <w:szCs w:val="24"/>
        </w:rPr>
        <w:t>antidiscriminatievoorzieningen</w:t>
      </w:r>
      <w:proofErr w:type="spellEnd"/>
      <w:r w:rsidR="00CB7313" w:rsidRPr="00CB7313">
        <w:rPr>
          <w:szCs w:val="24"/>
        </w:rPr>
        <w:t>’)</w:t>
      </w:r>
      <w:r>
        <w:rPr>
          <w:szCs w:val="24"/>
        </w:rPr>
        <w:t>, which</w:t>
      </w:r>
      <w:r w:rsidR="00CB7313" w:rsidRPr="00CB7313">
        <w:rPr>
          <w:szCs w:val="24"/>
        </w:rPr>
        <w:t>‘) entered into force</w:t>
      </w:r>
      <w:r>
        <w:rPr>
          <w:szCs w:val="24"/>
        </w:rPr>
        <w:t xml:space="preserve"> in 2009</w:t>
      </w:r>
      <w:r w:rsidR="00CB7313" w:rsidRPr="00CB7313">
        <w:rPr>
          <w:szCs w:val="24"/>
        </w:rPr>
        <w:t>.</w:t>
      </w:r>
      <w:r w:rsidR="00986763">
        <w:rPr>
          <w:rStyle w:val="FootnoteReference"/>
          <w:szCs w:val="24"/>
        </w:rPr>
        <w:footnoteReference w:id="71"/>
      </w:r>
      <w:r w:rsidR="00CB7313" w:rsidRPr="00CB7313">
        <w:rPr>
          <w:szCs w:val="24"/>
        </w:rPr>
        <w:t xml:space="preserve"> According to the Act, municipalities are obliged to ensure that all residents confronted by discrimination can contact a local anti-discrimination </w:t>
      </w:r>
      <w:r>
        <w:rPr>
          <w:szCs w:val="24"/>
        </w:rPr>
        <w:t>agency</w:t>
      </w:r>
      <w:r w:rsidR="00CB7313" w:rsidRPr="00CB7313">
        <w:rPr>
          <w:szCs w:val="24"/>
        </w:rPr>
        <w:t xml:space="preserve"> for assistance. The</w:t>
      </w:r>
      <w:r>
        <w:rPr>
          <w:szCs w:val="24"/>
        </w:rPr>
        <w:t>se</w:t>
      </w:r>
      <w:r w:rsidR="00CB7313" w:rsidRPr="00CB7313">
        <w:rPr>
          <w:szCs w:val="24"/>
        </w:rPr>
        <w:t xml:space="preserve"> anti-discrimination </w:t>
      </w:r>
      <w:r w:rsidR="00B66C0F">
        <w:rPr>
          <w:szCs w:val="24"/>
        </w:rPr>
        <w:t>agencies (ADA</w:t>
      </w:r>
      <w:r w:rsidR="00CB7313">
        <w:rPr>
          <w:szCs w:val="24"/>
        </w:rPr>
        <w:t>s)</w:t>
      </w:r>
      <w:r w:rsidR="00CB7313" w:rsidRPr="00CB7313">
        <w:rPr>
          <w:szCs w:val="24"/>
        </w:rPr>
        <w:t xml:space="preserve"> have two statutory obligations, namely to provide independent assistance if discrimination is reported and to register complaints about discrimination.</w:t>
      </w:r>
    </w:p>
    <w:p w14:paraId="6945736F" w14:textId="0C9472A7" w:rsidR="00CB7313" w:rsidRPr="00CB7313" w:rsidRDefault="00CB7313" w:rsidP="00F9312C">
      <w:pPr>
        <w:spacing w:line="360" w:lineRule="auto"/>
        <w:rPr>
          <w:szCs w:val="24"/>
        </w:rPr>
      </w:pPr>
      <w:r>
        <w:rPr>
          <w:szCs w:val="24"/>
        </w:rPr>
        <w:t xml:space="preserve">In 2019, the </w:t>
      </w:r>
      <w:r w:rsidR="00B66C0F">
        <w:rPr>
          <w:szCs w:val="24"/>
        </w:rPr>
        <w:t>ADA</w:t>
      </w:r>
      <w:r>
        <w:rPr>
          <w:szCs w:val="24"/>
        </w:rPr>
        <w:t>s received 4,</w:t>
      </w:r>
      <w:r w:rsidR="00210D86">
        <w:rPr>
          <w:szCs w:val="24"/>
        </w:rPr>
        <w:t xml:space="preserve">382 complaints of discrimination, of which 552 </w:t>
      </w:r>
      <w:r w:rsidR="00383301">
        <w:rPr>
          <w:szCs w:val="24"/>
        </w:rPr>
        <w:t>(</w:t>
      </w:r>
      <w:r w:rsidR="00210D86">
        <w:rPr>
          <w:szCs w:val="24"/>
        </w:rPr>
        <w:t>13%</w:t>
      </w:r>
      <w:r w:rsidR="00383301">
        <w:rPr>
          <w:szCs w:val="24"/>
        </w:rPr>
        <w:t>)</w:t>
      </w:r>
      <w:r w:rsidR="00210D86">
        <w:rPr>
          <w:szCs w:val="24"/>
        </w:rPr>
        <w:t xml:space="preserve"> </w:t>
      </w:r>
      <w:r w:rsidR="00743301">
        <w:rPr>
          <w:szCs w:val="24"/>
        </w:rPr>
        <w:t xml:space="preserve">were </w:t>
      </w:r>
      <w:r w:rsidR="00210D86">
        <w:rPr>
          <w:szCs w:val="24"/>
        </w:rPr>
        <w:t>related to disability.</w:t>
      </w:r>
      <w:r w:rsidR="00986763">
        <w:rPr>
          <w:rStyle w:val="FootnoteReference"/>
          <w:szCs w:val="24"/>
        </w:rPr>
        <w:footnoteReference w:id="72"/>
      </w:r>
      <w:r w:rsidR="00210D86">
        <w:rPr>
          <w:szCs w:val="24"/>
        </w:rPr>
        <w:t xml:space="preserve"> T</w:t>
      </w:r>
      <w:r w:rsidR="00210D86" w:rsidRPr="00210D86">
        <w:rPr>
          <w:szCs w:val="24"/>
        </w:rPr>
        <w:t>he reports</w:t>
      </w:r>
      <w:r w:rsidR="00210D86">
        <w:rPr>
          <w:szCs w:val="24"/>
        </w:rPr>
        <w:t xml:space="preserve"> about disability</w:t>
      </w:r>
      <w:r w:rsidR="00210D86" w:rsidRPr="00210D86">
        <w:rPr>
          <w:szCs w:val="24"/>
        </w:rPr>
        <w:t xml:space="preserve"> concerned various matters, such as applying for a </w:t>
      </w:r>
      <w:r w:rsidR="00210D86">
        <w:rPr>
          <w:szCs w:val="24"/>
        </w:rPr>
        <w:t>social support provision</w:t>
      </w:r>
      <w:r w:rsidR="00210D86" w:rsidRPr="00210D86">
        <w:rPr>
          <w:szCs w:val="24"/>
        </w:rPr>
        <w:t xml:space="preserve">, taking a driving test, conflicts with youth care, availability of </w:t>
      </w:r>
      <w:r w:rsidR="00210D86">
        <w:rPr>
          <w:szCs w:val="24"/>
        </w:rPr>
        <w:t>social allowances</w:t>
      </w:r>
      <w:r w:rsidR="00210D86" w:rsidRPr="00210D86">
        <w:rPr>
          <w:szCs w:val="24"/>
        </w:rPr>
        <w:t xml:space="preserve"> or benefits, or the use of </w:t>
      </w:r>
      <w:r w:rsidR="009A7BE1">
        <w:rPr>
          <w:szCs w:val="24"/>
        </w:rPr>
        <w:t>a</w:t>
      </w:r>
      <w:r w:rsidR="00210D86" w:rsidRPr="00210D86">
        <w:rPr>
          <w:szCs w:val="24"/>
        </w:rPr>
        <w:t xml:space="preserve"> library</w:t>
      </w:r>
      <w:r w:rsidR="00210D86">
        <w:rPr>
          <w:szCs w:val="24"/>
        </w:rPr>
        <w:t>.</w:t>
      </w:r>
      <w:r w:rsidR="00AA099C">
        <w:rPr>
          <w:rStyle w:val="FootnoteReference"/>
          <w:szCs w:val="24"/>
        </w:rPr>
        <w:footnoteReference w:id="73"/>
      </w:r>
      <w:r w:rsidR="00210D86">
        <w:rPr>
          <w:szCs w:val="24"/>
        </w:rPr>
        <w:t xml:space="preserve"> </w:t>
      </w:r>
      <w:r w:rsidR="00743301">
        <w:rPr>
          <w:szCs w:val="24"/>
        </w:rPr>
        <w:t>A few cases about inaccessible public space were reported, such as a complaint about bicycles and vans blocking pavements in a large city, an entrance to a museum which was inaccessible for wheel chair users and the inaccessibility of the square in front of a railway station.</w:t>
      </w:r>
    </w:p>
    <w:p w14:paraId="0EB2B31B" w14:textId="15DE4CB2" w:rsidR="00250C32" w:rsidRDefault="00250C32" w:rsidP="00F9312C">
      <w:pPr>
        <w:spacing w:line="360" w:lineRule="auto"/>
      </w:pPr>
    </w:p>
    <w:p w14:paraId="6FDA4529" w14:textId="77777777" w:rsidR="007C4E8A" w:rsidRPr="00F9312C" w:rsidRDefault="007C4E8A" w:rsidP="00F9312C">
      <w:pPr>
        <w:pStyle w:val="Heading4"/>
        <w:spacing w:line="360" w:lineRule="auto"/>
        <w:rPr>
          <w:b/>
          <w:bCs w:val="0"/>
        </w:rPr>
      </w:pPr>
      <w:r w:rsidRPr="00F9312C">
        <w:rPr>
          <w:b/>
          <w:bCs w:val="0"/>
        </w:rPr>
        <w:t>A4.1.2 Accessibility</w:t>
      </w:r>
    </w:p>
    <w:p w14:paraId="3D145656" w14:textId="2D119C95" w:rsidR="00C32899" w:rsidRDefault="00C32899" w:rsidP="00F9312C">
      <w:pPr>
        <w:spacing w:line="360" w:lineRule="auto"/>
        <w:rPr>
          <w:lang w:bidi="en-US"/>
        </w:rPr>
      </w:pPr>
    </w:p>
    <w:p w14:paraId="71DE47DB" w14:textId="5F6AEBAA" w:rsidR="00C32899" w:rsidRPr="00926680" w:rsidRDefault="00C13D26" w:rsidP="00F9312C">
      <w:pPr>
        <w:spacing w:line="360" w:lineRule="auto"/>
        <w:rPr>
          <w:b/>
          <w:bCs/>
          <w:szCs w:val="24"/>
        </w:rPr>
      </w:pPr>
      <w:r w:rsidRPr="00926680">
        <w:rPr>
          <w:b/>
          <w:bCs/>
          <w:szCs w:val="24"/>
        </w:rPr>
        <w:t xml:space="preserve">Strategy and </w:t>
      </w:r>
      <w:r w:rsidR="00C32899" w:rsidRPr="00926680">
        <w:rPr>
          <w:b/>
          <w:bCs/>
          <w:szCs w:val="24"/>
        </w:rPr>
        <w:t>Policy</w:t>
      </w:r>
    </w:p>
    <w:p w14:paraId="4E2CF2AA" w14:textId="5D164F5F" w:rsidR="005174E3" w:rsidRPr="005174E3" w:rsidRDefault="005174E3" w:rsidP="00F9312C">
      <w:pPr>
        <w:spacing w:line="360" w:lineRule="auto"/>
        <w:rPr>
          <w:i/>
          <w:iCs/>
          <w:szCs w:val="24"/>
        </w:rPr>
      </w:pPr>
      <w:r w:rsidRPr="005174E3">
        <w:rPr>
          <w:i/>
          <w:iCs/>
          <w:szCs w:val="24"/>
        </w:rPr>
        <w:t>Implementation programme</w:t>
      </w:r>
    </w:p>
    <w:p w14:paraId="4155C724" w14:textId="5BC92212" w:rsidR="00C32899" w:rsidRDefault="00C32899" w:rsidP="00F9312C">
      <w:pPr>
        <w:spacing w:line="360" w:lineRule="auto"/>
        <w:rPr>
          <w:szCs w:val="24"/>
        </w:rPr>
      </w:pPr>
      <w:r w:rsidRPr="00336D93">
        <w:rPr>
          <w:szCs w:val="24"/>
        </w:rPr>
        <w:t>After ratification</w:t>
      </w:r>
      <w:r>
        <w:rPr>
          <w:szCs w:val="24"/>
        </w:rPr>
        <w:t xml:space="preserve"> of CRPD in 2016</w:t>
      </w:r>
      <w:r w:rsidRPr="00336D93">
        <w:rPr>
          <w:szCs w:val="24"/>
        </w:rPr>
        <w:t xml:space="preserve">, the </w:t>
      </w:r>
      <w:r>
        <w:rPr>
          <w:szCs w:val="24"/>
        </w:rPr>
        <w:t xml:space="preserve">Dutch </w:t>
      </w:r>
      <w:r w:rsidRPr="00336D93">
        <w:rPr>
          <w:szCs w:val="24"/>
        </w:rPr>
        <w:t xml:space="preserve">government </w:t>
      </w:r>
      <w:r>
        <w:rPr>
          <w:szCs w:val="24"/>
        </w:rPr>
        <w:t>developed</w:t>
      </w:r>
      <w:r w:rsidRPr="00336D93">
        <w:rPr>
          <w:szCs w:val="24"/>
        </w:rPr>
        <w:t xml:space="preserve"> </w:t>
      </w:r>
      <w:r>
        <w:rPr>
          <w:szCs w:val="24"/>
        </w:rPr>
        <w:t>a policy for the implementation of the convention. Convinced that with the adaptation of the legislation (see chapter A2.1</w:t>
      </w:r>
      <w:r w:rsidR="00666A81">
        <w:rPr>
          <w:szCs w:val="24"/>
        </w:rPr>
        <w:t>)</w:t>
      </w:r>
      <w:r>
        <w:rPr>
          <w:szCs w:val="24"/>
        </w:rPr>
        <w:t xml:space="preserve">, the legal issues were dealt with, </w:t>
      </w:r>
      <w:proofErr w:type="gramStart"/>
      <w:r>
        <w:rPr>
          <w:szCs w:val="24"/>
        </w:rPr>
        <w:t>the</w:t>
      </w:r>
      <w:proofErr w:type="gramEnd"/>
      <w:r>
        <w:rPr>
          <w:szCs w:val="24"/>
        </w:rPr>
        <w:t xml:space="preserve"> government began a</w:t>
      </w:r>
      <w:r w:rsidR="00666A81">
        <w:rPr>
          <w:szCs w:val="24"/>
        </w:rPr>
        <w:t xml:space="preserve"> process for the</w:t>
      </w:r>
      <w:r>
        <w:rPr>
          <w:szCs w:val="24"/>
        </w:rPr>
        <w:t xml:space="preserve"> implementation </w:t>
      </w:r>
      <w:r w:rsidR="00666A81">
        <w:rPr>
          <w:szCs w:val="24"/>
        </w:rPr>
        <w:t>of the convention in society</w:t>
      </w:r>
      <w:r>
        <w:rPr>
          <w:szCs w:val="24"/>
        </w:rPr>
        <w:t>. In consultation with civil society, municipalities and the private sector, a multiannual plan was developed. It was presented to parliament on 18 June 2018</w:t>
      </w:r>
      <w:r w:rsidRPr="0003704F">
        <w:rPr>
          <w:szCs w:val="24"/>
        </w:rPr>
        <w:t xml:space="preserve"> </w:t>
      </w:r>
      <w:r>
        <w:rPr>
          <w:szCs w:val="24"/>
        </w:rPr>
        <w:t xml:space="preserve">under the title </w:t>
      </w:r>
      <w:proofErr w:type="spellStart"/>
      <w:r w:rsidRPr="00FD2B39">
        <w:rPr>
          <w:i/>
          <w:iCs/>
          <w:szCs w:val="24"/>
        </w:rPr>
        <w:t>Onbeperkt</w:t>
      </w:r>
      <w:proofErr w:type="spellEnd"/>
      <w:r w:rsidRPr="00FD2B39">
        <w:rPr>
          <w:i/>
          <w:iCs/>
          <w:szCs w:val="24"/>
        </w:rPr>
        <w:t xml:space="preserve"> </w:t>
      </w:r>
      <w:proofErr w:type="spellStart"/>
      <w:r w:rsidRPr="00FD2B39">
        <w:rPr>
          <w:i/>
          <w:iCs/>
          <w:szCs w:val="24"/>
        </w:rPr>
        <w:t>meedoen</w:t>
      </w:r>
      <w:proofErr w:type="spellEnd"/>
      <w:r>
        <w:rPr>
          <w:i/>
          <w:iCs/>
          <w:szCs w:val="24"/>
        </w:rPr>
        <w:t>!</w:t>
      </w:r>
      <w:r>
        <w:rPr>
          <w:szCs w:val="24"/>
        </w:rPr>
        <w:t xml:space="preserve"> </w:t>
      </w:r>
      <w:proofErr w:type="gramStart"/>
      <w:r>
        <w:rPr>
          <w:szCs w:val="24"/>
        </w:rPr>
        <w:t>(‘Unlimited Participation!’).</w:t>
      </w:r>
      <w:proofErr w:type="gramEnd"/>
      <w:r>
        <w:rPr>
          <w:szCs w:val="24"/>
        </w:rPr>
        <w:t xml:space="preserve"> After the adoption by parliament, the Ministry of Health, Welfare and Sports programme, began the implementation</w:t>
      </w:r>
      <w:r w:rsidR="00A4400F">
        <w:rPr>
          <w:szCs w:val="24"/>
        </w:rPr>
        <w:t xml:space="preserve"> of the programme</w:t>
      </w:r>
      <w:r>
        <w:rPr>
          <w:szCs w:val="24"/>
        </w:rPr>
        <w:t>.</w:t>
      </w:r>
      <w:r>
        <w:rPr>
          <w:rStyle w:val="FootnoteReference"/>
          <w:szCs w:val="24"/>
        </w:rPr>
        <w:footnoteReference w:id="74"/>
      </w:r>
      <w:r>
        <w:rPr>
          <w:szCs w:val="24"/>
        </w:rPr>
        <w:t xml:space="preserve"> The programme has a running period of four years, from 2018 to 2021.</w:t>
      </w:r>
      <w:r w:rsidR="00666A81" w:rsidRPr="00666A81">
        <w:rPr>
          <w:szCs w:val="24"/>
        </w:rPr>
        <w:t xml:space="preserve"> </w:t>
      </w:r>
      <w:r>
        <w:rPr>
          <w:szCs w:val="24"/>
        </w:rPr>
        <w:t>The programme consists of seven lines of action: Hous</w:t>
      </w:r>
      <w:r w:rsidRPr="00C82DAD">
        <w:rPr>
          <w:szCs w:val="24"/>
        </w:rPr>
        <w:t>ing and Living, Work, Education, Transport, Participation &amp;</w:t>
      </w:r>
      <w:r>
        <w:rPr>
          <w:szCs w:val="24"/>
        </w:rPr>
        <w:t xml:space="preserve"> </w:t>
      </w:r>
      <w:r w:rsidRPr="00C82DAD">
        <w:rPr>
          <w:szCs w:val="24"/>
        </w:rPr>
        <w:t>Accessibility, Care and Support</w:t>
      </w:r>
      <w:r>
        <w:rPr>
          <w:szCs w:val="24"/>
        </w:rPr>
        <w:t xml:space="preserve"> and</w:t>
      </w:r>
      <w:r w:rsidRPr="00C82DAD">
        <w:rPr>
          <w:szCs w:val="24"/>
        </w:rPr>
        <w:t xml:space="preserve"> </w:t>
      </w:r>
      <w:r w:rsidR="005F4E14">
        <w:rPr>
          <w:szCs w:val="24"/>
        </w:rPr>
        <w:t xml:space="preserve">the </w:t>
      </w:r>
      <w:r w:rsidRPr="00C82DAD">
        <w:rPr>
          <w:szCs w:val="24"/>
        </w:rPr>
        <w:t>Government</w:t>
      </w:r>
      <w:r w:rsidR="005F4E14">
        <w:rPr>
          <w:szCs w:val="24"/>
        </w:rPr>
        <w:t>al</w:t>
      </w:r>
      <w:r w:rsidRPr="00C82DAD">
        <w:rPr>
          <w:szCs w:val="24"/>
        </w:rPr>
        <w:t xml:space="preserve"> organization</w:t>
      </w:r>
      <w:r>
        <w:rPr>
          <w:szCs w:val="24"/>
        </w:rPr>
        <w:t xml:space="preserve">. </w:t>
      </w:r>
    </w:p>
    <w:p w14:paraId="30B7F63C" w14:textId="79A598AF" w:rsidR="00A60F39" w:rsidRDefault="00666A81" w:rsidP="00F9312C">
      <w:pPr>
        <w:spacing w:line="360" w:lineRule="auto"/>
        <w:rPr>
          <w:szCs w:val="24"/>
        </w:rPr>
      </w:pPr>
      <w:r>
        <w:rPr>
          <w:szCs w:val="24"/>
        </w:rPr>
        <w:t xml:space="preserve">Accessibility </w:t>
      </w:r>
      <w:r w:rsidR="00383301">
        <w:rPr>
          <w:szCs w:val="24"/>
        </w:rPr>
        <w:t xml:space="preserve">is </w:t>
      </w:r>
      <w:r w:rsidR="00A4400F">
        <w:rPr>
          <w:szCs w:val="24"/>
        </w:rPr>
        <w:t xml:space="preserve">an </w:t>
      </w:r>
      <w:r w:rsidR="00A60F39">
        <w:rPr>
          <w:szCs w:val="24"/>
        </w:rPr>
        <w:t xml:space="preserve">issue in </w:t>
      </w:r>
      <w:r w:rsidR="00A4400F">
        <w:rPr>
          <w:szCs w:val="24"/>
        </w:rPr>
        <w:t xml:space="preserve">a number of </w:t>
      </w:r>
      <w:r w:rsidR="00A60F39">
        <w:rPr>
          <w:szCs w:val="24"/>
        </w:rPr>
        <w:t>the lines of action</w:t>
      </w:r>
      <w:r w:rsidR="005174E3">
        <w:rPr>
          <w:szCs w:val="24"/>
        </w:rPr>
        <w:t xml:space="preserve"> of the programme</w:t>
      </w:r>
      <w:r w:rsidR="00A60F39">
        <w:rPr>
          <w:szCs w:val="24"/>
        </w:rPr>
        <w:t>.</w:t>
      </w:r>
      <w:r>
        <w:rPr>
          <w:szCs w:val="24"/>
        </w:rPr>
        <w:t xml:space="preserve"> </w:t>
      </w:r>
      <w:r w:rsidR="00A4400F">
        <w:rPr>
          <w:szCs w:val="24"/>
        </w:rPr>
        <w:t xml:space="preserve">In </w:t>
      </w:r>
      <w:r w:rsidR="00EE65EC">
        <w:rPr>
          <w:szCs w:val="24"/>
        </w:rPr>
        <w:t xml:space="preserve">the action plan </w:t>
      </w:r>
      <w:proofErr w:type="spellStart"/>
      <w:r w:rsidR="00EE65EC">
        <w:rPr>
          <w:szCs w:val="24"/>
        </w:rPr>
        <w:t>Toegankelijkheid</w:t>
      </w:r>
      <w:proofErr w:type="spellEnd"/>
      <w:r w:rsidR="00EE65EC">
        <w:rPr>
          <w:szCs w:val="24"/>
        </w:rPr>
        <w:t xml:space="preserve"> van de </w:t>
      </w:r>
      <w:proofErr w:type="spellStart"/>
      <w:r w:rsidR="00EE65EC">
        <w:rPr>
          <w:szCs w:val="24"/>
        </w:rPr>
        <w:t>Bouw</w:t>
      </w:r>
      <w:proofErr w:type="spellEnd"/>
      <w:r w:rsidR="00EE65EC">
        <w:rPr>
          <w:szCs w:val="24"/>
        </w:rPr>
        <w:t xml:space="preserve"> (‘</w:t>
      </w:r>
      <w:r w:rsidR="00EE65EC" w:rsidRPr="00EE65EC">
        <w:rPr>
          <w:i/>
          <w:iCs/>
          <w:szCs w:val="24"/>
        </w:rPr>
        <w:t>Accessibility of housing</w:t>
      </w:r>
      <w:r w:rsidR="00EE65EC">
        <w:rPr>
          <w:szCs w:val="24"/>
        </w:rPr>
        <w:t xml:space="preserve">’), under the line of action </w:t>
      </w:r>
      <w:r w:rsidR="00A4400F">
        <w:rPr>
          <w:szCs w:val="24"/>
        </w:rPr>
        <w:t>‘</w:t>
      </w:r>
      <w:r w:rsidR="00A60F39">
        <w:rPr>
          <w:szCs w:val="24"/>
        </w:rPr>
        <w:t>Housing and Living</w:t>
      </w:r>
      <w:r w:rsidR="00A4400F">
        <w:rPr>
          <w:szCs w:val="24"/>
        </w:rPr>
        <w:t>’</w:t>
      </w:r>
      <w:r w:rsidR="00A60F39">
        <w:rPr>
          <w:szCs w:val="24"/>
        </w:rPr>
        <w:t xml:space="preserve">, one of the objectives is to improve the accessibility </w:t>
      </w:r>
      <w:r w:rsidR="00A60F39" w:rsidRPr="00A60F39">
        <w:rPr>
          <w:szCs w:val="24"/>
        </w:rPr>
        <w:t xml:space="preserve">and </w:t>
      </w:r>
      <w:r w:rsidR="00A60F39">
        <w:rPr>
          <w:szCs w:val="24"/>
        </w:rPr>
        <w:t xml:space="preserve">to </w:t>
      </w:r>
      <w:r w:rsidR="00A60F39" w:rsidRPr="00A60F39">
        <w:rPr>
          <w:szCs w:val="24"/>
        </w:rPr>
        <w:t xml:space="preserve">ensure the availability of adequate </w:t>
      </w:r>
      <w:r w:rsidR="00A60F39">
        <w:rPr>
          <w:szCs w:val="24"/>
        </w:rPr>
        <w:t xml:space="preserve">housing </w:t>
      </w:r>
      <w:r w:rsidR="00A60F39" w:rsidRPr="00A60F39">
        <w:rPr>
          <w:szCs w:val="24"/>
        </w:rPr>
        <w:t>for pe</w:t>
      </w:r>
      <w:r w:rsidR="00A60F39">
        <w:rPr>
          <w:szCs w:val="24"/>
        </w:rPr>
        <w:t>rsons</w:t>
      </w:r>
      <w:r w:rsidR="00A60F39" w:rsidRPr="00A60F39">
        <w:rPr>
          <w:szCs w:val="24"/>
        </w:rPr>
        <w:t xml:space="preserve"> with disabilities.</w:t>
      </w:r>
      <w:r w:rsidR="00A60F39">
        <w:rPr>
          <w:szCs w:val="24"/>
        </w:rPr>
        <w:t xml:space="preserve"> An important measure is to develop </w:t>
      </w:r>
      <w:r w:rsidR="00A60F39" w:rsidRPr="00A60F39">
        <w:rPr>
          <w:szCs w:val="24"/>
        </w:rPr>
        <w:t>unambiguous and broad</w:t>
      </w:r>
      <w:r w:rsidR="00A60F39">
        <w:rPr>
          <w:szCs w:val="24"/>
        </w:rPr>
        <w:t xml:space="preserve"> </w:t>
      </w:r>
      <w:r w:rsidR="00A60F39" w:rsidRPr="00A60F39">
        <w:rPr>
          <w:szCs w:val="24"/>
        </w:rPr>
        <w:t>supported guidelines for accessible construction and renovation</w:t>
      </w:r>
      <w:r w:rsidR="00A60F39">
        <w:rPr>
          <w:szCs w:val="24"/>
        </w:rPr>
        <w:t>. Attention for accessibility of public space is part of this theme</w:t>
      </w:r>
      <w:r w:rsidR="00EE65EC">
        <w:rPr>
          <w:szCs w:val="24"/>
        </w:rPr>
        <w:t xml:space="preserve">. The government announced that legal standards will be included in the forthcoming </w:t>
      </w:r>
      <w:proofErr w:type="spellStart"/>
      <w:r w:rsidR="00EE65EC" w:rsidRPr="008361C9">
        <w:rPr>
          <w:szCs w:val="24"/>
        </w:rPr>
        <w:t>Omgevingswet</w:t>
      </w:r>
      <w:proofErr w:type="spellEnd"/>
      <w:r w:rsidR="00EE65EC">
        <w:rPr>
          <w:szCs w:val="24"/>
        </w:rPr>
        <w:t xml:space="preserve"> </w:t>
      </w:r>
      <w:r w:rsidR="00324923">
        <w:rPr>
          <w:szCs w:val="24"/>
        </w:rPr>
        <w:t>(</w:t>
      </w:r>
      <w:r w:rsidR="00324923" w:rsidRPr="00324923">
        <w:rPr>
          <w:i/>
          <w:iCs/>
          <w:szCs w:val="24"/>
        </w:rPr>
        <w:t>Environment and Planning Bill</w:t>
      </w:r>
      <w:r w:rsidR="00324923">
        <w:rPr>
          <w:szCs w:val="24"/>
        </w:rPr>
        <w:t>, see chapter A4.3)</w:t>
      </w:r>
      <w:r w:rsidR="008361C9">
        <w:rPr>
          <w:szCs w:val="24"/>
        </w:rPr>
        <w:t>.</w:t>
      </w:r>
      <w:r w:rsidR="00EE65EC">
        <w:rPr>
          <w:rStyle w:val="FootnoteReference"/>
          <w:szCs w:val="24"/>
        </w:rPr>
        <w:footnoteReference w:id="75"/>
      </w:r>
      <w:r w:rsidR="00EE65EC">
        <w:rPr>
          <w:szCs w:val="24"/>
        </w:rPr>
        <w:t xml:space="preserve"> </w:t>
      </w:r>
      <w:r w:rsidR="008361C9">
        <w:rPr>
          <w:szCs w:val="24"/>
        </w:rPr>
        <w:t xml:space="preserve">According to the document, </w:t>
      </w:r>
      <w:r w:rsidR="00324923">
        <w:rPr>
          <w:szCs w:val="24"/>
        </w:rPr>
        <w:t>i</w:t>
      </w:r>
      <w:r w:rsidR="00EE65EC" w:rsidRPr="00EE65EC">
        <w:rPr>
          <w:szCs w:val="24"/>
        </w:rPr>
        <w:t xml:space="preserve">n case of new developments with consequences for the layout of the public space, the </w:t>
      </w:r>
      <w:r w:rsidR="008361C9">
        <w:rPr>
          <w:szCs w:val="24"/>
        </w:rPr>
        <w:t xml:space="preserve">local </w:t>
      </w:r>
      <w:r w:rsidR="00EE65EC" w:rsidRPr="00EE65EC">
        <w:rPr>
          <w:szCs w:val="24"/>
        </w:rPr>
        <w:t xml:space="preserve">environmental plan takes </w:t>
      </w:r>
      <w:r w:rsidR="00324923">
        <w:rPr>
          <w:szCs w:val="24"/>
        </w:rPr>
        <w:t>the</w:t>
      </w:r>
      <w:r w:rsidR="00EE65EC" w:rsidRPr="00EE65EC">
        <w:rPr>
          <w:szCs w:val="24"/>
        </w:rPr>
        <w:t xml:space="preserve"> promoti</w:t>
      </w:r>
      <w:r w:rsidR="00324923">
        <w:rPr>
          <w:szCs w:val="24"/>
        </w:rPr>
        <w:t>o</w:t>
      </w:r>
      <w:r w:rsidR="00EE65EC" w:rsidRPr="00EE65EC">
        <w:rPr>
          <w:szCs w:val="24"/>
        </w:rPr>
        <w:t xml:space="preserve">n </w:t>
      </w:r>
      <w:r w:rsidR="00324923">
        <w:rPr>
          <w:szCs w:val="24"/>
        </w:rPr>
        <w:t xml:space="preserve">of </w:t>
      </w:r>
      <w:r w:rsidR="00EE65EC" w:rsidRPr="00EE65EC">
        <w:rPr>
          <w:szCs w:val="24"/>
        </w:rPr>
        <w:t>accessibility in that public space</w:t>
      </w:r>
      <w:r w:rsidR="00324923">
        <w:rPr>
          <w:szCs w:val="24"/>
        </w:rPr>
        <w:t xml:space="preserve"> into account</w:t>
      </w:r>
      <w:r w:rsidR="00EE65EC" w:rsidRPr="00EE65EC">
        <w:rPr>
          <w:szCs w:val="24"/>
        </w:rPr>
        <w:t>. This</w:t>
      </w:r>
      <w:r w:rsidR="008361C9">
        <w:rPr>
          <w:szCs w:val="24"/>
        </w:rPr>
        <w:t xml:space="preserve"> takes the form of an</w:t>
      </w:r>
      <w:r w:rsidR="00EE65EC" w:rsidRPr="00EE65EC">
        <w:rPr>
          <w:szCs w:val="24"/>
        </w:rPr>
        <w:t xml:space="preserve"> instruction </w:t>
      </w:r>
      <w:r w:rsidR="00324923">
        <w:rPr>
          <w:szCs w:val="24"/>
        </w:rPr>
        <w:t>to the municipalities</w:t>
      </w:r>
      <w:r w:rsidR="008361C9">
        <w:rPr>
          <w:szCs w:val="24"/>
        </w:rPr>
        <w:t>. It</w:t>
      </w:r>
      <w:r w:rsidR="00EE65EC" w:rsidRPr="00EE65EC">
        <w:rPr>
          <w:szCs w:val="24"/>
        </w:rPr>
        <w:t xml:space="preserve"> expresses that, with due observance of (often existing) policies, municipalities can take the importance of accessibility into account in order to ensure an equal use of public space by everyone.</w:t>
      </w:r>
      <w:r w:rsidR="00A60F39">
        <w:rPr>
          <w:szCs w:val="24"/>
        </w:rPr>
        <w:t xml:space="preserve"> In order to </w:t>
      </w:r>
      <w:r w:rsidR="008330FE">
        <w:rPr>
          <w:szCs w:val="24"/>
        </w:rPr>
        <w:t>map which problems exist and to explore possible solutions, the government announced to organize a broad discussion with stakeholders in the public and private sectors.</w:t>
      </w:r>
      <w:r w:rsidR="008330FE">
        <w:rPr>
          <w:rStyle w:val="FootnoteReference"/>
          <w:szCs w:val="24"/>
        </w:rPr>
        <w:footnoteReference w:id="76"/>
      </w:r>
    </w:p>
    <w:p w14:paraId="254091F7" w14:textId="2976A769" w:rsidR="005F4E14" w:rsidRDefault="00666A81" w:rsidP="00F9312C">
      <w:pPr>
        <w:spacing w:line="360" w:lineRule="auto"/>
        <w:rPr>
          <w:szCs w:val="24"/>
        </w:rPr>
      </w:pPr>
      <w:r>
        <w:rPr>
          <w:szCs w:val="24"/>
        </w:rPr>
        <w:t>The line of action ‘</w:t>
      </w:r>
      <w:r w:rsidRPr="00C82DAD">
        <w:rPr>
          <w:szCs w:val="24"/>
        </w:rPr>
        <w:t>Participation &amp;</w:t>
      </w:r>
      <w:r>
        <w:rPr>
          <w:szCs w:val="24"/>
        </w:rPr>
        <w:t xml:space="preserve"> </w:t>
      </w:r>
      <w:r w:rsidRPr="00C82DAD">
        <w:rPr>
          <w:szCs w:val="24"/>
        </w:rPr>
        <w:t>Accessibility</w:t>
      </w:r>
      <w:r>
        <w:rPr>
          <w:szCs w:val="24"/>
        </w:rPr>
        <w:t>’ focusses</w:t>
      </w:r>
      <w:r w:rsidR="008330FE">
        <w:rPr>
          <w:szCs w:val="24"/>
        </w:rPr>
        <w:t xml:space="preserve"> on a selected number of areas: sports, cultural facilities, websites and apps, comprehensible information, the voting process and media and libraries.</w:t>
      </w:r>
      <w:r w:rsidR="00AB1A5B">
        <w:rPr>
          <w:rStyle w:val="FootnoteReference"/>
          <w:szCs w:val="24"/>
        </w:rPr>
        <w:footnoteReference w:id="77"/>
      </w:r>
    </w:p>
    <w:p w14:paraId="7C45BAC9" w14:textId="71666964" w:rsidR="005F4E14" w:rsidRDefault="005F4E14" w:rsidP="00F9312C">
      <w:pPr>
        <w:spacing w:line="360" w:lineRule="auto"/>
        <w:rPr>
          <w:szCs w:val="24"/>
        </w:rPr>
      </w:pPr>
      <w:r>
        <w:rPr>
          <w:szCs w:val="24"/>
        </w:rPr>
        <w:t xml:space="preserve">Under the </w:t>
      </w:r>
      <w:r w:rsidRPr="005F4E14">
        <w:rPr>
          <w:szCs w:val="24"/>
        </w:rPr>
        <w:t xml:space="preserve">action line </w:t>
      </w:r>
      <w:r w:rsidR="00A4400F">
        <w:rPr>
          <w:szCs w:val="24"/>
        </w:rPr>
        <w:t>‘</w:t>
      </w:r>
      <w:r>
        <w:rPr>
          <w:szCs w:val="24"/>
        </w:rPr>
        <w:t>Governmental organization</w:t>
      </w:r>
      <w:r w:rsidR="00A4400F">
        <w:rPr>
          <w:szCs w:val="24"/>
        </w:rPr>
        <w:t>’</w:t>
      </w:r>
      <w:r>
        <w:rPr>
          <w:szCs w:val="24"/>
        </w:rPr>
        <w:t xml:space="preserve">, the government </w:t>
      </w:r>
      <w:r w:rsidR="00A4400F">
        <w:rPr>
          <w:szCs w:val="24"/>
        </w:rPr>
        <w:t>is</w:t>
      </w:r>
      <w:r w:rsidRPr="005F4E14">
        <w:rPr>
          <w:szCs w:val="24"/>
        </w:rPr>
        <w:t xml:space="preserve"> focus</w:t>
      </w:r>
      <w:r w:rsidR="00A4400F">
        <w:rPr>
          <w:szCs w:val="24"/>
        </w:rPr>
        <w:t>sing</w:t>
      </w:r>
      <w:r w:rsidRPr="005F4E14">
        <w:rPr>
          <w:szCs w:val="24"/>
        </w:rPr>
        <w:t xml:space="preserve"> on four themes in the coming years: employ</w:t>
      </w:r>
      <w:r>
        <w:rPr>
          <w:szCs w:val="24"/>
        </w:rPr>
        <w:t>ment</w:t>
      </w:r>
      <w:r w:rsidRPr="005F4E14">
        <w:rPr>
          <w:szCs w:val="24"/>
        </w:rPr>
        <w:t>,</w:t>
      </w:r>
      <w:r>
        <w:rPr>
          <w:szCs w:val="24"/>
        </w:rPr>
        <w:t xml:space="preserve"> </w:t>
      </w:r>
      <w:r w:rsidRPr="005F4E14">
        <w:rPr>
          <w:szCs w:val="24"/>
        </w:rPr>
        <w:t xml:space="preserve">buildings and surroundings, </w:t>
      </w:r>
      <w:r>
        <w:rPr>
          <w:szCs w:val="24"/>
        </w:rPr>
        <w:t>i</w:t>
      </w:r>
      <w:r w:rsidRPr="005F4E14">
        <w:rPr>
          <w:szCs w:val="24"/>
        </w:rPr>
        <w:t xml:space="preserve">nformation and </w:t>
      </w:r>
      <w:r>
        <w:rPr>
          <w:szCs w:val="24"/>
        </w:rPr>
        <w:t>public procurement</w:t>
      </w:r>
      <w:r w:rsidRPr="005F4E14">
        <w:rPr>
          <w:szCs w:val="24"/>
        </w:rPr>
        <w:t>.</w:t>
      </w:r>
      <w:r>
        <w:rPr>
          <w:szCs w:val="24"/>
        </w:rPr>
        <w:t xml:space="preserve"> Measures to achieve the implementation goals are the creation of jobs for persons with disabilities; governmental buildings will all be made accessible, websites and online applications of the government will gradually be made accessible and public procurement will make sustainability a priority.</w:t>
      </w:r>
      <w:r>
        <w:rPr>
          <w:rStyle w:val="FootnoteReference"/>
          <w:szCs w:val="24"/>
        </w:rPr>
        <w:footnoteReference w:id="78"/>
      </w:r>
      <w:r>
        <w:rPr>
          <w:szCs w:val="24"/>
        </w:rPr>
        <w:t xml:space="preserve"> </w:t>
      </w:r>
    </w:p>
    <w:p w14:paraId="01CDDD62" w14:textId="392C870C" w:rsidR="00666A81" w:rsidRDefault="008330FE" w:rsidP="00F9312C">
      <w:pPr>
        <w:spacing w:line="360" w:lineRule="auto"/>
        <w:rPr>
          <w:szCs w:val="24"/>
        </w:rPr>
      </w:pPr>
      <w:r>
        <w:rPr>
          <w:szCs w:val="24"/>
        </w:rPr>
        <w:t xml:space="preserve">   </w:t>
      </w:r>
      <w:r w:rsidR="00666A81">
        <w:rPr>
          <w:szCs w:val="24"/>
        </w:rPr>
        <w:t xml:space="preserve">  </w:t>
      </w:r>
    </w:p>
    <w:p w14:paraId="12C586EC" w14:textId="7FC49866" w:rsidR="00C32899" w:rsidRDefault="00C32899" w:rsidP="00F9312C">
      <w:pPr>
        <w:spacing w:line="360" w:lineRule="auto"/>
        <w:rPr>
          <w:szCs w:val="24"/>
        </w:rPr>
      </w:pPr>
      <w:r>
        <w:rPr>
          <w:szCs w:val="24"/>
        </w:rPr>
        <w:t xml:space="preserve">Partners in the programme </w:t>
      </w:r>
      <w:proofErr w:type="spellStart"/>
      <w:r w:rsidR="005174E3" w:rsidRPr="005174E3">
        <w:rPr>
          <w:i/>
          <w:iCs/>
          <w:szCs w:val="24"/>
        </w:rPr>
        <w:t>Onbeperkt</w:t>
      </w:r>
      <w:proofErr w:type="spellEnd"/>
      <w:r w:rsidR="005174E3" w:rsidRPr="005174E3">
        <w:rPr>
          <w:i/>
          <w:iCs/>
          <w:szCs w:val="24"/>
        </w:rPr>
        <w:t xml:space="preserve"> </w:t>
      </w:r>
      <w:proofErr w:type="spellStart"/>
      <w:r w:rsidR="005174E3" w:rsidRPr="005174E3">
        <w:rPr>
          <w:i/>
          <w:iCs/>
          <w:szCs w:val="24"/>
        </w:rPr>
        <w:t>meedoen</w:t>
      </w:r>
      <w:proofErr w:type="spellEnd"/>
      <w:r w:rsidR="005174E3" w:rsidRPr="005174E3">
        <w:rPr>
          <w:i/>
          <w:iCs/>
          <w:szCs w:val="24"/>
        </w:rPr>
        <w:t>!</w:t>
      </w:r>
      <w:r>
        <w:rPr>
          <w:szCs w:val="24"/>
        </w:rPr>
        <w:t xml:space="preserve"> </w:t>
      </w:r>
      <w:proofErr w:type="gramStart"/>
      <w:r>
        <w:rPr>
          <w:szCs w:val="24"/>
        </w:rPr>
        <w:t>are</w:t>
      </w:r>
      <w:proofErr w:type="gramEnd"/>
      <w:r>
        <w:rPr>
          <w:szCs w:val="24"/>
        </w:rPr>
        <w:t xml:space="preserve"> other ministries, organisations of persons with disabilities and organisations representing them,</w:t>
      </w:r>
      <w:r>
        <w:rPr>
          <w:rStyle w:val="FootnoteReference"/>
          <w:szCs w:val="24"/>
        </w:rPr>
        <w:footnoteReference w:id="79"/>
      </w:r>
      <w:r>
        <w:rPr>
          <w:szCs w:val="24"/>
        </w:rPr>
        <w:t xml:space="preserve"> the Association of Municipalities</w:t>
      </w:r>
      <w:r>
        <w:rPr>
          <w:rStyle w:val="FootnoteReference"/>
          <w:szCs w:val="24"/>
        </w:rPr>
        <w:footnoteReference w:id="80"/>
      </w:r>
      <w:r>
        <w:rPr>
          <w:szCs w:val="24"/>
        </w:rPr>
        <w:t xml:space="preserve"> and federations of employers and small enterprises.</w:t>
      </w:r>
      <w:r>
        <w:rPr>
          <w:rStyle w:val="FootnoteReference"/>
          <w:szCs w:val="24"/>
        </w:rPr>
        <w:footnoteReference w:id="81"/>
      </w:r>
      <w:r>
        <w:rPr>
          <w:szCs w:val="24"/>
        </w:rPr>
        <w:t xml:space="preserve"> The ministry </w:t>
      </w:r>
    </w:p>
    <w:p w14:paraId="3ED5D337" w14:textId="6B8A3E5A" w:rsidR="00C32899" w:rsidRDefault="00C32899" w:rsidP="00F9312C">
      <w:pPr>
        <w:spacing w:line="360" w:lineRule="auto"/>
        <w:rPr>
          <w:szCs w:val="24"/>
        </w:rPr>
      </w:pPr>
      <w:proofErr w:type="gramStart"/>
      <w:r>
        <w:rPr>
          <w:szCs w:val="24"/>
        </w:rPr>
        <w:t>communicates</w:t>
      </w:r>
      <w:proofErr w:type="gramEnd"/>
      <w:r>
        <w:rPr>
          <w:szCs w:val="24"/>
        </w:rPr>
        <w:t xml:space="preserve"> about the programme by way of a newsletter and a digital magazine.</w:t>
      </w:r>
      <w:r>
        <w:rPr>
          <w:rStyle w:val="FootnoteReference"/>
          <w:szCs w:val="24"/>
        </w:rPr>
        <w:footnoteReference w:id="82"/>
      </w:r>
      <w:r w:rsidRPr="00A02EDF">
        <w:rPr>
          <w:szCs w:val="24"/>
        </w:rPr>
        <w:t xml:space="preserve"> </w:t>
      </w:r>
    </w:p>
    <w:p w14:paraId="2C14C9C3" w14:textId="77777777" w:rsidR="00C32899" w:rsidRDefault="00C32899" w:rsidP="00F9312C">
      <w:pPr>
        <w:spacing w:line="360" w:lineRule="auto"/>
        <w:rPr>
          <w:szCs w:val="24"/>
        </w:rPr>
      </w:pPr>
    </w:p>
    <w:p w14:paraId="348CFD15" w14:textId="43E71798" w:rsidR="00C32899" w:rsidRPr="005174E3" w:rsidRDefault="005174E3" w:rsidP="00F9312C">
      <w:pPr>
        <w:spacing w:line="360" w:lineRule="auto"/>
        <w:rPr>
          <w:i/>
          <w:iCs/>
        </w:rPr>
      </w:pPr>
      <w:r w:rsidRPr="005174E3">
        <w:rPr>
          <w:i/>
          <w:iCs/>
        </w:rPr>
        <w:t>Progress report</w:t>
      </w:r>
    </w:p>
    <w:p w14:paraId="2369F77D" w14:textId="4B938C0E" w:rsidR="007C30F6" w:rsidRDefault="00C64CB8" w:rsidP="00F9312C">
      <w:pPr>
        <w:spacing w:line="360" w:lineRule="auto"/>
      </w:pPr>
      <w:r>
        <w:t xml:space="preserve">In 2019, the first progress </w:t>
      </w:r>
      <w:proofErr w:type="gramStart"/>
      <w:r>
        <w:t>report on the implementation plan</w:t>
      </w:r>
      <w:proofErr w:type="gramEnd"/>
      <w:r>
        <w:t xml:space="preserve"> </w:t>
      </w:r>
      <w:proofErr w:type="spellStart"/>
      <w:r w:rsidRPr="00817A76">
        <w:rPr>
          <w:i/>
          <w:iCs/>
        </w:rPr>
        <w:t>Onbeperkt</w:t>
      </w:r>
      <w:proofErr w:type="spellEnd"/>
      <w:r w:rsidRPr="00817A76">
        <w:rPr>
          <w:i/>
          <w:iCs/>
        </w:rPr>
        <w:t xml:space="preserve"> </w:t>
      </w:r>
      <w:proofErr w:type="spellStart"/>
      <w:r w:rsidRPr="00817A76">
        <w:rPr>
          <w:i/>
          <w:iCs/>
        </w:rPr>
        <w:t>Meedoen</w:t>
      </w:r>
      <w:proofErr w:type="spellEnd"/>
      <w:r w:rsidRPr="00817A76">
        <w:rPr>
          <w:i/>
          <w:iCs/>
        </w:rPr>
        <w:t>!</w:t>
      </w:r>
      <w:r>
        <w:t xml:space="preserve"> </w:t>
      </w:r>
      <w:proofErr w:type="gramStart"/>
      <w:r>
        <w:t>was</w:t>
      </w:r>
      <w:proofErr w:type="gramEnd"/>
      <w:r>
        <w:t xml:space="preserve"> published and presented to parliament.</w:t>
      </w:r>
      <w:r w:rsidR="004A7CC9">
        <w:rPr>
          <w:rStyle w:val="FootnoteReference"/>
        </w:rPr>
        <w:footnoteReference w:id="83"/>
      </w:r>
    </w:p>
    <w:p w14:paraId="7670D6DD" w14:textId="54EF8AE2" w:rsidR="004A7CC9" w:rsidRDefault="004A7CC9" w:rsidP="00F9312C">
      <w:pPr>
        <w:spacing w:line="360" w:lineRule="auto"/>
      </w:pPr>
      <w:r>
        <w:t>The report recognizes that public space is not always accessible. It refers to the example of the city of Amstelveen, where the local authority is working on an accessibility hotline where</w:t>
      </w:r>
      <w:r w:rsidR="00654CA5">
        <w:t xml:space="preserve"> local c</w:t>
      </w:r>
      <w:r>
        <w:t xml:space="preserve">itizens with a disability can submit </w:t>
      </w:r>
      <w:r w:rsidR="00654CA5">
        <w:t>a report.</w:t>
      </w:r>
      <w:r w:rsidR="00654CA5">
        <w:rPr>
          <w:rStyle w:val="FootnoteReference"/>
        </w:rPr>
        <w:footnoteReference w:id="84"/>
      </w:r>
      <w:r>
        <w:t xml:space="preserve"> </w:t>
      </w:r>
    </w:p>
    <w:p w14:paraId="04AFDEAA" w14:textId="20A01832" w:rsidR="00654CA5" w:rsidRDefault="00654CA5" w:rsidP="00F9312C">
      <w:pPr>
        <w:spacing w:line="360" w:lineRule="auto"/>
      </w:pPr>
      <w:r>
        <w:t>Where accessibility of public space is concerned, the report relates that the ministry is preparing a r</w:t>
      </w:r>
      <w:r w:rsidRPr="00654CA5">
        <w:t>esearch assignment</w:t>
      </w:r>
      <w:r>
        <w:t xml:space="preserve"> </w:t>
      </w:r>
      <w:r w:rsidR="00550813">
        <w:t>to assess the bottlenecks</w:t>
      </w:r>
      <w:r w:rsidRPr="00654CA5">
        <w:t xml:space="preserve"> </w:t>
      </w:r>
      <w:r w:rsidR="00550813">
        <w:t xml:space="preserve">regarding the </w:t>
      </w:r>
      <w:r w:rsidRPr="00654CA5">
        <w:t>accessib</w:t>
      </w:r>
      <w:r w:rsidR="00550813">
        <w:t>ility of</w:t>
      </w:r>
      <w:r w:rsidRPr="00654CA5">
        <w:t xml:space="preserve"> public outdoor space at</w:t>
      </w:r>
      <w:r w:rsidR="00550813">
        <w:t xml:space="preserve"> the</w:t>
      </w:r>
      <w:r w:rsidRPr="00654CA5">
        <w:t xml:space="preserve"> local level</w:t>
      </w:r>
      <w:r w:rsidR="00550813">
        <w:t>.</w:t>
      </w:r>
      <w:r w:rsidR="00550813">
        <w:rPr>
          <w:rStyle w:val="FootnoteReference"/>
        </w:rPr>
        <w:footnoteReference w:id="85"/>
      </w:r>
    </w:p>
    <w:p w14:paraId="40AE25C4" w14:textId="59824C30" w:rsidR="00C64CB8" w:rsidRDefault="00550813" w:rsidP="00F9312C">
      <w:pPr>
        <w:spacing w:line="360" w:lineRule="auto"/>
      </w:pPr>
      <w:r>
        <w:t>Additionally, i</w:t>
      </w:r>
      <w:r w:rsidR="007C30F6">
        <w:t xml:space="preserve">n February 2020, the minister for the Interior and Kingdom Relations sent a progress report to parliament. In the report, a range of measures </w:t>
      </w:r>
      <w:r w:rsidR="00654CA5">
        <w:t>is</w:t>
      </w:r>
      <w:r w:rsidR="007C30F6">
        <w:t xml:space="preserve"> presented that were taken in the framework of the implementation programme </w:t>
      </w:r>
      <w:proofErr w:type="spellStart"/>
      <w:r w:rsidR="007C30F6" w:rsidRPr="008361C9">
        <w:rPr>
          <w:i/>
          <w:iCs/>
        </w:rPr>
        <w:t>Onbeperkt</w:t>
      </w:r>
      <w:proofErr w:type="spellEnd"/>
      <w:r w:rsidR="007C30F6" w:rsidRPr="008361C9">
        <w:rPr>
          <w:i/>
          <w:iCs/>
        </w:rPr>
        <w:t xml:space="preserve"> </w:t>
      </w:r>
      <w:proofErr w:type="spellStart"/>
      <w:r w:rsidR="007C30F6" w:rsidRPr="008361C9">
        <w:rPr>
          <w:i/>
          <w:iCs/>
        </w:rPr>
        <w:t>Meedoen</w:t>
      </w:r>
      <w:proofErr w:type="spellEnd"/>
      <w:proofErr w:type="gramStart"/>
      <w:r w:rsidR="007C30F6" w:rsidRPr="008361C9">
        <w:rPr>
          <w:i/>
          <w:iCs/>
        </w:rPr>
        <w:t>!</w:t>
      </w:r>
      <w:r w:rsidR="007C30F6">
        <w:t>.</w:t>
      </w:r>
      <w:proofErr w:type="gramEnd"/>
      <w:r w:rsidR="007C30F6">
        <w:t xml:space="preserve"> The minister announced among others that building regulations with regard to accessibility of houses have been made more specific, that municipalities will be asked to make more adequate houses for persons with disabilities available, that the accessibility of governmental buildings complies with the current norms and that </w:t>
      </w:r>
      <w:r w:rsidR="004A7CC9">
        <w:t xml:space="preserve">escape routes for </w:t>
      </w:r>
      <w:r w:rsidR="00654CA5">
        <w:t xml:space="preserve">persons with disabilities in </w:t>
      </w:r>
      <w:r w:rsidR="004A7CC9">
        <w:t>emergency situations will be improved.</w:t>
      </w:r>
      <w:r w:rsidR="004A7CC9">
        <w:rPr>
          <w:rStyle w:val="FootnoteReference"/>
        </w:rPr>
        <w:footnoteReference w:id="86"/>
      </w:r>
    </w:p>
    <w:p w14:paraId="22D4CB52" w14:textId="77777777" w:rsidR="00A4400F" w:rsidRDefault="00A4400F" w:rsidP="00F9312C">
      <w:pPr>
        <w:spacing w:line="360" w:lineRule="auto"/>
      </w:pPr>
    </w:p>
    <w:p w14:paraId="6844C34E" w14:textId="77777777" w:rsidR="00C32899" w:rsidRPr="00E55288" w:rsidRDefault="00C32899" w:rsidP="00F9312C">
      <w:pPr>
        <w:spacing w:line="360" w:lineRule="auto"/>
        <w:rPr>
          <w:i/>
          <w:iCs/>
          <w:szCs w:val="24"/>
        </w:rPr>
      </w:pPr>
      <w:r w:rsidRPr="00E55288">
        <w:rPr>
          <w:i/>
          <w:iCs/>
          <w:szCs w:val="24"/>
        </w:rPr>
        <w:t>Indicators</w:t>
      </w:r>
    </w:p>
    <w:p w14:paraId="31056A05" w14:textId="77777777" w:rsidR="00C32899" w:rsidRDefault="00C32899" w:rsidP="00F9312C">
      <w:pPr>
        <w:spacing w:line="360" w:lineRule="auto"/>
      </w:pPr>
      <w:r>
        <w:rPr>
          <w:szCs w:val="24"/>
        </w:rPr>
        <w:t>Part of the implementation programme is the development of a set of indicators. These indicators are meant to track developments over a number of periods and to provide a research basis for the Minister of Health, Welfare and Sports to eventually adjust his policies. On the request of the Minister, the indicators have been developed by research institutions RIVM</w:t>
      </w:r>
      <w:r>
        <w:t xml:space="preserve"> (National Institute for Public Health and the Environment)</w:t>
      </w:r>
      <w:r>
        <w:rPr>
          <w:rStyle w:val="FootnoteReference"/>
          <w:szCs w:val="24"/>
        </w:rPr>
        <w:footnoteReference w:id="87"/>
      </w:r>
      <w:r>
        <w:t xml:space="preserve"> and NIVEL (Netherlands institute for health services research</w:t>
      </w:r>
      <w:r>
        <w:rPr>
          <w:rStyle w:val="FootnoteReference"/>
        </w:rPr>
        <w:t xml:space="preserve"> </w:t>
      </w:r>
      <w:r>
        <w:t>).</w:t>
      </w:r>
      <w:r>
        <w:rPr>
          <w:rStyle w:val="FootnoteReference"/>
        </w:rPr>
        <w:footnoteReference w:id="88"/>
      </w:r>
      <w:r>
        <w:t xml:space="preserve"> The data are, among others, based on responses from participants with disabilities in representative panels. These are organised by NIVEL and other organisations. </w:t>
      </w:r>
    </w:p>
    <w:p w14:paraId="37C0FDC3" w14:textId="77777777" w:rsidR="00C32899" w:rsidRDefault="00C32899" w:rsidP="00F9312C">
      <w:pPr>
        <w:spacing w:line="360" w:lineRule="auto"/>
      </w:pPr>
      <w:r>
        <w:t xml:space="preserve">The RIVM baseline measurement presents indicators for the seven lines of action. According to RIVM, </w:t>
      </w:r>
      <w:r w:rsidRPr="00CB376C">
        <w:t>the indicators in th</w:t>
      </w:r>
      <w:r>
        <w:t>e</w:t>
      </w:r>
      <w:r w:rsidRPr="00CB376C">
        <w:t xml:space="preserve"> </w:t>
      </w:r>
      <w:r>
        <w:t>measurement</w:t>
      </w:r>
      <w:r w:rsidRPr="00CB376C">
        <w:t xml:space="preserve"> correspond </w:t>
      </w:r>
      <w:r>
        <w:t>with</w:t>
      </w:r>
      <w:r w:rsidRPr="00CB376C">
        <w:t xml:space="preserve"> the themes from the </w:t>
      </w:r>
      <w:r>
        <w:t xml:space="preserve">seven </w:t>
      </w:r>
      <w:r w:rsidRPr="00CB376C">
        <w:t xml:space="preserve">action lines, but </w:t>
      </w:r>
      <w:r>
        <w:t xml:space="preserve">they </w:t>
      </w:r>
      <w:r w:rsidRPr="00CB376C">
        <w:t>are not directly linked to the measures and initiatives</w:t>
      </w:r>
      <w:r>
        <w:t xml:space="preserve"> taken by the various ministries</w:t>
      </w:r>
      <w:r w:rsidRPr="00CB376C">
        <w:t xml:space="preserve">. </w:t>
      </w:r>
    </w:p>
    <w:p w14:paraId="01D3E14F" w14:textId="77777777" w:rsidR="00C32899" w:rsidRDefault="00C32899" w:rsidP="00F9312C">
      <w:pPr>
        <w:spacing w:line="360" w:lineRule="auto"/>
      </w:pPr>
      <w:r>
        <w:t>The action lines and the indicators do not target the accessibility of streets and pedestrian areas. For the purposes of</w:t>
      </w:r>
      <w:r w:rsidRPr="001853BF">
        <w:t xml:space="preserve"> </w:t>
      </w:r>
      <w:r>
        <w:t>this report, three questions in the baseline study are more or less relevant. They concern the accessibility of shops, public buildings and parks and green areas. The outcome indicates that 84% of persons with physical disabilities find that shops are almost always accessible, 84% find that public buildings are almost always accessible and 83% find that parks and green areas are almost always accessible.</w:t>
      </w:r>
      <w:r>
        <w:rPr>
          <w:rStyle w:val="FootnoteReference"/>
        </w:rPr>
        <w:footnoteReference w:id="89"/>
      </w:r>
      <w:r>
        <w:t xml:space="preserve"> Follow-up measurements will be carried out and published in 2021. The outcome will be based on data collected in 2020.</w:t>
      </w:r>
    </w:p>
    <w:p w14:paraId="38774168" w14:textId="38A68630" w:rsidR="00C32899" w:rsidRDefault="00C32899" w:rsidP="00F9312C">
      <w:pPr>
        <w:spacing w:line="360" w:lineRule="auto"/>
      </w:pPr>
      <w:r>
        <w:t>In December 2019, the Minister presented an explanatory letter and the document containing the indicators to parliament.</w:t>
      </w:r>
      <w:r>
        <w:rPr>
          <w:rStyle w:val="FootnoteReference"/>
        </w:rPr>
        <w:footnoteReference w:id="90"/>
      </w:r>
      <w:r>
        <w:t xml:space="preserve"> On 19 December 2019, the Second Chamber discussed the progress of the implementation of CRPD in the Netherlands where the indicators were discussed. Whereas accessibility of houses and public transport as well as digital accessibility was </w:t>
      </w:r>
      <w:r w:rsidR="00550813">
        <w:t>part of the debate in the Second Chamber</w:t>
      </w:r>
      <w:r>
        <w:t>, accessibility of public spaces was only briefly discussed. A motion was tabled to request the government, in collaboration with the association of municipalities (VNG), to initiate a programme of action on improving the accessibility of public space.</w:t>
      </w:r>
      <w:r w:rsidRPr="00E915A6">
        <w:t xml:space="preserve"> </w:t>
      </w:r>
      <w:r>
        <w:t>However, the motion was withdrawn before a vote took place.</w:t>
      </w:r>
      <w:r>
        <w:rPr>
          <w:rStyle w:val="FootnoteReference"/>
        </w:rPr>
        <w:footnoteReference w:id="91"/>
      </w:r>
    </w:p>
    <w:p w14:paraId="521504FB" w14:textId="77777777" w:rsidR="00C32899" w:rsidRPr="00E915A6" w:rsidRDefault="00C32899" w:rsidP="00F9312C">
      <w:pPr>
        <w:spacing w:line="360" w:lineRule="auto"/>
      </w:pPr>
      <w:r>
        <w:t xml:space="preserve"> </w:t>
      </w:r>
    </w:p>
    <w:p w14:paraId="0B6CE5A2" w14:textId="77777777" w:rsidR="00C32899" w:rsidRPr="00926680" w:rsidRDefault="00C32899" w:rsidP="00F9312C">
      <w:pPr>
        <w:spacing w:line="360" w:lineRule="auto"/>
        <w:rPr>
          <w:b/>
          <w:bCs/>
        </w:rPr>
      </w:pPr>
      <w:r w:rsidRPr="00926680">
        <w:rPr>
          <w:b/>
          <w:bCs/>
        </w:rPr>
        <w:t>Other Monitoring and Oversight Mechanisms</w:t>
      </w:r>
    </w:p>
    <w:p w14:paraId="6BB22029" w14:textId="1C274931" w:rsidR="00C32899" w:rsidRDefault="00C32899" w:rsidP="00F9312C">
      <w:pPr>
        <w:spacing w:line="360" w:lineRule="auto"/>
      </w:pPr>
      <w:r>
        <w:t xml:space="preserve">In its annual report on the state of implementation on 2019, the </w:t>
      </w:r>
      <w:r w:rsidR="00C13D26">
        <w:t>National Institute for Human Rights (</w:t>
      </w:r>
      <w:r>
        <w:t>NIHR</w:t>
      </w:r>
      <w:r w:rsidR="00C13D26">
        <w:t>)</w:t>
      </w:r>
      <w:r>
        <w:t xml:space="preserve"> briefly addresses the reachability of houses from the public street. It calls on road authorities to ensure that houses are accessible from the street.</w:t>
      </w:r>
      <w:r>
        <w:rPr>
          <w:rStyle w:val="FootnoteReference"/>
        </w:rPr>
        <w:footnoteReference w:id="92"/>
      </w:r>
      <w:r>
        <w:t xml:space="preserve"> </w:t>
      </w:r>
    </w:p>
    <w:p w14:paraId="2B88BA75" w14:textId="77777777" w:rsidR="00C32899" w:rsidRDefault="00C32899" w:rsidP="00F9312C">
      <w:pPr>
        <w:spacing w:line="360" w:lineRule="auto"/>
      </w:pPr>
    </w:p>
    <w:p w14:paraId="3765F432" w14:textId="77777777" w:rsidR="00C32899" w:rsidRPr="00926680" w:rsidRDefault="00C32899" w:rsidP="00F9312C">
      <w:pPr>
        <w:spacing w:line="360" w:lineRule="auto"/>
        <w:rPr>
          <w:b/>
          <w:bCs/>
        </w:rPr>
      </w:pPr>
      <w:r w:rsidRPr="00926680">
        <w:rPr>
          <w:b/>
          <w:bCs/>
        </w:rPr>
        <w:t>Civil Society Engagement</w:t>
      </w:r>
    </w:p>
    <w:p w14:paraId="5D55E5E6" w14:textId="23D07DF3" w:rsidR="00C32899" w:rsidRDefault="00BE3499" w:rsidP="00F9312C">
      <w:pPr>
        <w:spacing w:line="360" w:lineRule="auto"/>
      </w:pPr>
      <w:r>
        <w:t>In 2019, t</w:t>
      </w:r>
      <w:r w:rsidR="00C32899">
        <w:t>he Alliance UN Convention on Disability (</w:t>
      </w:r>
      <w:r w:rsidR="00C32899" w:rsidRPr="00707D55">
        <w:rPr>
          <w:i/>
          <w:iCs/>
        </w:rPr>
        <w:t>‘</w:t>
      </w:r>
      <w:proofErr w:type="spellStart"/>
      <w:r w:rsidR="00C32899" w:rsidRPr="00707D55">
        <w:rPr>
          <w:i/>
          <w:iCs/>
        </w:rPr>
        <w:t>Alliantie</w:t>
      </w:r>
      <w:proofErr w:type="spellEnd"/>
      <w:r w:rsidR="00C32899" w:rsidRPr="00707D55">
        <w:rPr>
          <w:i/>
          <w:iCs/>
        </w:rPr>
        <w:t xml:space="preserve"> VN-</w:t>
      </w:r>
      <w:proofErr w:type="spellStart"/>
      <w:r w:rsidR="00C32899" w:rsidRPr="00707D55">
        <w:rPr>
          <w:i/>
          <w:iCs/>
        </w:rPr>
        <w:t>verdrag</w:t>
      </w:r>
      <w:proofErr w:type="spellEnd"/>
      <w:r w:rsidR="00C32899" w:rsidRPr="00707D55">
        <w:rPr>
          <w:i/>
          <w:iCs/>
        </w:rPr>
        <w:t xml:space="preserve"> Handicap’</w:t>
      </w:r>
      <w:r w:rsidR="00C32899">
        <w:t>)</w:t>
      </w:r>
      <w:r>
        <w:t xml:space="preserve"> has submitted a shadow report </w:t>
      </w:r>
      <w:r w:rsidR="00C32899">
        <w:t>to the CRPD committee</w:t>
      </w:r>
      <w:r>
        <w:t>. In the report, reference is made</w:t>
      </w:r>
      <w:r w:rsidR="00C32899">
        <w:t xml:space="preserve"> to group interviews with persons </w:t>
      </w:r>
      <w:r w:rsidR="00C32899" w:rsidRPr="00371981">
        <w:t>with mobility and sensory impairments</w:t>
      </w:r>
      <w:r w:rsidR="00C32899">
        <w:t xml:space="preserve">. Respondents narrated that </w:t>
      </w:r>
      <w:r w:rsidR="00C32899" w:rsidRPr="00371981">
        <w:t xml:space="preserve">the inaccessibility of buildings and public space and the insecurity caused by obstacles on </w:t>
      </w:r>
      <w:r w:rsidR="00C32899">
        <w:t>pavements</w:t>
      </w:r>
      <w:r w:rsidR="00C32899" w:rsidRPr="00371981">
        <w:t xml:space="preserve"> and 'shared spaces' in cities make it difficult to participate in cultural life, recreation and leisure activities.</w:t>
      </w:r>
      <w:r w:rsidR="00C32899">
        <w:rPr>
          <w:rStyle w:val="FootnoteReference"/>
        </w:rPr>
        <w:footnoteReference w:id="93"/>
      </w:r>
    </w:p>
    <w:p w14:paraId="43618A30" w14:textId="77777777" w:rsidR="00C32899" w:rsidRDefault="00C32899" w:rsidP="00F9312C">
      <w:pPr>
        <w:spacing w:line="360" w:lineRule="auto"/>
      </w:pPr>
    </w:p>
    <w:p w14:paraId="17B0BA0D" w14:textId="39BCFD5D" w:rsidR="00C32899" w:rsidRPr="005174E3" w:rsidRDefault="00C32899" w:rsidP="00F9312C">
      <w:pPr>
        <w:spacing w:line="360" w:lineRule="auto"/>
        <w:rPr>
          <w:b/>
          <w:bCs/>
          <w:lang w:bidi="en-US"/>
        </w:rPr>
      </w:pPr>
      <w:r w:rsidRPr="005174E3">
        <w:rPr>
          <w:b/>
          <w:bCs/>
        </w:rPr>
        <w:t>Noteworthy Issues or Concerns</w:t>
      </w:r>
    </w:p>
    <w:p w14:paraId="5211A34C" w14:textId="77777777" w:rsidR="007C2C6B" w:rsidRPr="007C2C6B" w:rsidRDefault="007C2C6B" w:rsidP="00F9312C">
      <w:pPr>
        <w:spacing w:line="360" w:lineRule="auto"/>
        <w:rPr>
          <w:i/>
          <w:iCs/>
          <w:lang w:bidi="en-US"/>
        </w:rPr>
      </w:pPr>
      <w:r w:rsidRPr="007C2C6B">
        <w:rPr>
          <w:i/>
          <w:iCs/>
          <w:lang w:bidi="en-US"/>
        </w:rPr>
        <w:t>Equality</w:t>
      </w:r>
    </w:p>
    <w:p w14:paraId="01468E75" w14:textId="23A02755" w:rsidR="00C46942" w:rsidRDefault="005174E3" w:rsidP="00F9312C">
      <w:pPr>
        <w:spacing w:line="360" w:lineRule="auto"/>
        <w:rPr>
          <w:lang w:bidi="en-US"/>
        </w:rPr>
      </w:pPr>
      <w:r>
        <w:rPr>
          <w:lang w:bidi="en-US"/>
        </w:rPr>
        <w:t xml:space="preserve">In the previous sections, it was concluded that </w:t>
      </w:r>
      <w:r w:rsidR="00C46942">
        <w:rPr>
          <w:lang w:bidi="en-US"/>
        </w:rPr>
        <w:t xml:space="preserve">the existing </w:t>
      </w:r>
      <w:r>
        <w:rPr>
          <w:lang w:bidi="en-US"/>
        </w:rPr>
        <w:t xml:space="preserve">non-discrimination and equality legislation is not applicable in the area of public space. Issues </w:t>
      </w:r>
      <w:r w:rsidR="00C46942">
        <w:rPr>
          <w:lang w:bidi="en-US"/>
        </w:rPr>
        <w:t>a</w:t>
      </w:r>
      <w:r>
        <w:rPr>
          <w:lang w:bidi="en-US"/>
        </w:rPr>
        <w:t>rising in this area ther</w:t>
      </w:r>
      <w:r w:rsidR="00C46942">
        <w:rPr>
          <w:lang w:bidi="en-US"/>
        </w:rPr>
        <w:t>e</w:t>
      </w:r>
      <w:r>
        <w:rPr>
          <w:lang w:bidi="en-US"/>
        </w:rPr>
        <w:t xml:space="preserve">fore cannot be </w:t>
      </w:r>
      <w:r w:rsidR="00C46942">
        <w:rPr>
          <w:lang w:bidi="en-US"/>
        </w:rPr>
        <w:t>judged against non-discrimination law by courts or the Dutch equality body, National Institute for Human Rights. As a consequence, in the legal as well as in the public discourse, inaccessibility of public spaces is generally not treated as a non-discrimination issue. Actions to promote accessibility do not have the same sense of urgency as other types of exclusion, such as in employment of education. It must be noted however, that anti-discrimination agencies do take up these issues and process complaints about inaccessible spaces. Legal redress for these cases is difficult.</w:t>
      </w:r>
      <w:r w:rsidR="007C2C6B">
        <w:rPr>
          <w:lang w:bidi="en-US"/>
        </w:rPr>
        <w:t xml:space="preserve"> And, in its reports, the NIHR mentions inaccessibility as a human rights issue, to be addressed by local and national authorities. </w:t>
      </w:r>
      <w:r w:rsidR="00C46942">
        <w:rPr>
          <w:lang w:bidi="en-US"/>
        </w:rPr>
        <w:t xml:space="preserve"> </w:t>
      </w:r>
    </w:p>
    <w:p w14:paraId="7FA704AE" w14:textId="09B27607" w:rsidR="007C2C6B" w:rsidRDefault="007C2C6B" w:rsidP="00F9312C">
      <w:pPr>
        <w:spacing w:line="360" w:lineRule="auto"/>
        <w:rPr>
          <w:lang w:bidi="en-US"/>
        </w:rPr>
      </w:pPr>
    </w:p>
    <w:p w14:paraId="1E668EBC" w14:textId="2943D9CB" w:rsidR="007C2C6B" w:rsidRPr="007C2C6B" w:rsidRDefault="007C2C6B" w:rsidP="00F9312C">
      <w:pPr>
        <w:spacing w:line="360" w:lineRule="auto"/>
        <w:rPr>
          <w:i/>
          <w:iCs/>
          <w:lang w:bidi="en-US"/>
        </w:rPr>
      </w:pPr>
      <w:r w:rsidRPr="007C2C6B">
        <w:rPr>
          <w:i/>
          <w:iCs/>
          <w:lang w:bidi="en-US"/>
        </w:rPr>
        <w:t>Accessibility</w:t>
      </w:r>
    </w:p>
    <w:p w14:paraId="6F911CFA" w14:textId="30590DED" w:rsidR="00C32899" w:rsidRPr="008361C9" w:rsidRDefault="008361C9" w:rsidP="00F9312C">
      <w:pPr>
        <w:spacing w:line="360" w:lineRule="auto"/>
        <w:rPr>
          <w:lang w:bidi="en-US"/>
        </w:rPr>
      </w:pPr>
      <w:r>
        <w:rPr>
          <w:lang w:bidi="en-US"/>
        </w:rPr>
        <w:t xml:space="preserve">The issue of accessibility in many of its aspects is part of the national </w:t>
      </w:r>
      <w:proofErr w:type="gramStart"/>
      <w:r>
        <w:rPr>
          <w:lang w:bidi="en-US"/>
        </w:rPr>
        <w:t xml:space="preserve">programme  </w:t>
      </w:r>
      <w:proofErr w:type="spellStart"/>
      <w:r>
        <w:rPr>
          <w:i/>
          <w:iCs/>
          <w:lang w:bidi="en-US"/>
        </w:rPr>
        <w:t>Onbeperkt</w:t>
      </w:r>
      <w:proofErr w:type="spellEnd"/>
      <w:proofErr w:type="gramEnd"/>
      <w:r>
        <w:rPr>
          <w:i/>
          <w:iCs/>
          <w:lang w:bidi="en-US"/>
        </w:rPr>
        <w:t xml:space="preserve"> </w:t>
      </w:r>
      <w:proofErr w:type="spellStart"/>
      <w:r>
        <w:rPr>
          <w:i/>
          <w:iCs/>
          <w:lang w:bidi="en-US"/>
        </w:rPr>
        <w:t>Meedoen</w:t>
      </w:r>
      <w:proofErr w:type="spellEnd"/>
      <w:r>
        <w:rPr>
          <w:i/>
          <w:iCs/>
          <w:lang w:bidi="en-US"/>
        </w:rPr>
        <w:t>!</w:t>
      </w:r>
      <w:r>
        <w:rPr>
          <w:lang w:bidi="en-US"/>
        </w:rPr>
        <w:t>. So far, no specific legislation covers the accessibility of public outdoor spaces. The current Building Decree contains no standards on that issue; planning instruments consist of</w:t>
      </w:r>
      <w:r w:rsidR="003923EC">
        <w:rPr>
          <w:lang w:bidi="en-US"/>
        </w:rPr>
        <w:t xml:space="preserve"> recommendations and handbooks without statutory powers. Only with the adoption of the </w:t>
      </w:r>
      <w:r w:rsidR="003923EC" w:rsidRPr="003923EC">
        <w:rPr>
          <w:szCs w:val="24"/>
        </w:rPr>
        <w:t>Environment and Planning Bill</w:t>
      </w:r>
      <w:r w:rsidR="003923EC">
        <w:rPr>
          <w:szCs w:val="24"/>
        </w:rPr>
        <w:t xml:space="preserve"> in 2021, legal standards will apply. </w:t>
      </w:r>
      <w:r w:rsidR="00B8609A">
        <w:rPr>
          <w:szCs w:val="24"/>
        </w:rPr>
        <w:t xml:space="preserve">It remains to be seen, however, whether the new law will succeed in providing enforceable measures. </w:t>
      </w:r>
    </w:p>
    <w:p w14:paraId="7991C1C4" w14:textId="77777777" w:rsidR="007C4E8A" w:rsidRPr="007C4E8A" w:rsidRDefault="007C4E8A" w:rsidP="00F9312C">
      <w:pPr>
        <w:spacing w:line="360" w:lineRule="auto"/>
        <w:rPr>
          <w:lang w:bidi="en-US"/>
        </w:rPr>
      </w:pPr>
    </w:p>
    <w:p w14:paraId="4F0A503D" w14:textId="42CC43E4" w:rsidR="007C4E8A" w:rsidRPr="00431F47" w:rsidRDefault="007C4E8A" w:rsidP="00F9312C">
      <w:pPr>
        <w:pStyle w:val="Heading4"/>
        <w:spacing w:line="360" w:lineRule="auto"/>
        <w:rPr>
          <w:b/>
          <w:bCs w:val="0"/>
          <w:i w:val="0"/>
          <w:iCs w:val="0"/>
        </w:rPr>
      </w:pPr>
      <w:r w:rsidRPr="00431F47">
        <w:rPr>
          <w:b/>
          <w:bCs w:val="0"/>
          <w:i w:val="0"/>
          <w:iCs w:val="0"/>
        </w:rPr>
        <w:t>A4.1.3 Disability</w:t>
      </w:r>
    </w:p>
    <w:p w14:paraId="27DCEB3D" w14:textId="12990D11" w:rsidR="007C4E8A" w:rsidRPr="00F9312C" w:rsidRDefault="007C4E8A" w:rsidP="00F9312C">
      <w:pPr>
        <w:spacing w:line="360" w:lineRule="auto"/>
        <w:rPr>
          <w:b/>
          <w:bCs/>
        </w:rPr>
      </w:pPr>
      <w:r w:rsidRPr="00F9312C">
        <w:rPr>
          <w:b/>
          <w:bCs/>
        </w:rPr>
        <w:t>Strategy framework &amp; policy initiatives</w:t>
      </w:r>
    </w:p>
    <w:p w14:paraId="6293DC15" w14:textId="77777777" w:rsidR="00F9312C" w:rsidRDefault="00F9312C" w:rsidP="00F9312C">
      <w:pPr>
        <w:pStyle w:val="ListParagraph"/>
        <w:spacing w:line="360" w:lineRule="auto"/>
        <w:ind w:left="0"/>
        <w:rPr>
          <w:i/>
          <w:iCs/>
          <w:lang w:bidi="en-US"/>
        </w:rPr>
      </w:pPr>
    </w:p>
    <w:p w14:paraId="6B989562" w14:textId="3AC6400C" w:rsidR="007C4E8A" w:rsidRPr="00431F47" w:rsidRDefault="007C4E8A" w:rsidP="00F9312C">
      <w:pPr>
        <w:pStyle w:val="ListParagraph"/>
        <w:spacing w:line="360" w:lineRule="auto"/>
        <w:ind w:left="0"/>
        <w:rPr>
          <w:i/>
          <w:iCs/>
          <w:lang w:bidi="en-US"/>
        </w:rPr>
      </w:pPr>
      <w:r w:rsidRPr="00431F47">
        <w:rPr>
          <w:i/>
          <w:iCs/>
          <w:lang w:bidi="en-US"/>
        </w:rPr>
        <w:t>Legislation</w:t>
      </w:r>
      <w:r w:rsidR="0061748F" w:rsidRPr="00431F47">
        <w:rPr>
          <w:i/>
          <w:iCs/>
          <w:lang w:bidi="en-US"/>
        </w:rPr>
        <w:t xml:space="preserve"> and </w:t>
      </w:r>
      <w:r w:rsidRPr="00431F47">
        <w:rPr>
          <w:i/>
          <w:iCs/>
          <w:lang w:bidi="en-US"/>
        </w:rPr>
        <w:t>Policy</w:t>
      </w:r>
    </w:p>
    <w:p w14:paraId="6483FB7A" w14:textId="09EB6264" w:rsidR="00BF4BE6" w:rsidRDefault="0061748F" w:rsidP="00F9312C">
      <w:pPr>
        <w:spacing w:line="360" w:lineRule="auto"/>
        <w:rPr>
          <w:lang w:bidi="en-US"/>
        </w:rPr>
      </w:pPr>
      <w:r>
        <w:rPr>
          <w:lang w:bidi="en-US"/>
        </w:rPr>
        <w:t xml:space="preserve">In the Netherlands, the estimated number of persons with disabilities </w:t>
      </w:r>
      <w:r w:rsidR="00BF4BE6">
        <w:rPr>
          <w:lang w:bidi="en-US"/>
        </w:rPr>
        <w:t>lies around 3 million on a total population of 17 million. Exact data are not available, because data are collected from different sources</w:t>
      </w:r>
      <w:r w:rsidR="00FA34D6">
        <w:rPr>
          <w:lang w:bidi="en-US"/>
        </w:rPr>
        <w:t>, different criteria and methodologies are used</w:t>
      </w:r>
      <w:r w:rsidR="00BF4BE6">
        <w:rPr>
          <w:lang w:bidi="en-US"/>
        </w:rPr>
        <w:t xml:space="preserve"> and because definitions differ between data sources.</w:t>
      </w:r>
    </w:p>
    <w:p w14:paraId="2BD669A7" w14:textId="402E996F" w:rsidR="0061748F" w:rsidRPr="00AB3F36" w:rsidRDefault="00BF4BE6" w:rsidP="00F9312C">
      <w:pPr>
        <w:spacing w:line="360" w:lineRule="auto"/>
        <w:rPr>
          <w:i/>
          <w:iCs/>
          <w:lang w:bidi="en-US"/>
        </w:rPr>
      </w:pPr>
      <w:proofErr w:type="gramStart"/>
      <w:r w:rsidRPr="00AB3F36">
        <w:rPr>
          <w:i/>
          <w:iCs/>
          <w:lang w:bidi="en-US"/>
        </w:rPr>
        <w:t>Table 1.</w:t>
      </w:r>
      <w:proofErr w:type="gramEnd"/>
      <w:r w:rsidRPr="00AB3F36">
        <w:rPr>
          <w:i/>
          <w:iCs/>
          <w:lang w:bidi="en-US"/>
        </w:rPr>
        <w:t xml:space="preserve"> Estimated number of disabled people in the Netherlands </w:t>
      </w:r>
    </w:p>
    <w:tbl>
      <w:tblPr>
        <w:tblStyle w:val="TableGrid"/>
        <w:tblW w:w="0" w:type="auto"/>
        <w:tblLook w:val="04A0" w:firstRow="1" w:lastRow="0" w:firstColumn="1" w:lastColumn="0" w:noHBand="0" w:noVBand="1"/>
      </w:tblPr>
      <w:tblGrid>
        <w:gridCol w:w="3284"/>
        <w:gridCol w:w="3285"/>
        <w:gridCol w:w="3285"/>
      </w:tblGrid>
      <w:tr w:rsidR="0061748F" w14:paraId="1EFCCF82" w14:textId="77777777" w:rsidTr="00BF4BE6">
        <w:tc>
          <w:tcPr>
            <w:tcW w:w="3284" w:type="dxa"/>
            <w:shd w:val="clear" w:color="auto" w:fill="D9D9D9" w:themeFill="background1" w:themeFillShade="D9"/>
          </w:tcPr>
          <w:p w14:paraId="7EE9BEE3" w14:textId="28C7E65C" w:rsidR="0061748F" w:rsidRPr="00BF4BE6" w:rsidRDefault="00BF4BE6" w:rsidP="00F9312C">
            <w:pPr>
              <w:spacing w:line="360" w:lineRule="auto"/>
              <w:rPr>
                <w:sz w:val="20"/>
                <w:szCs w:val="20"/>
                <w:lang w:bidi="en-US"/>
              </w:rPr>
            </w:pPr>
            <w:r>
              <w:rPr>
                <w:sz w:val="20"/>
                <w:szCs w:val="20"/>
                <w:lang w:bidi="en-US"/>
              </w:rPr>
              <w:t>Type of disability</w:t>
            </w:r>
          </w:p>
        </w:tc>
        <w:tc>
          <w:tcPr>
            <w:tcW w:w="3285" w:type="dxa"/>
            <w:shd w:val="clear" w:color="auto" w:fill="D9D9D9" w:themeFill="background1" w:themeFillShade="D9"/>
          </w:tcPr>
          <w:p w14:paraId="684D0844" w14:textId="638B6E90" w:rsidR="0061748F" w:rsidRPr="00BF4BE6" w:rsidRDefault="00FC2FD9" w:rsidP="00F9312C">
            <w:pPr>
              <w:spacing w:line="360" w:lineRule="auto"/>
              <w:rPr>
                <w:sz w:val="20"/>
                <w:szCs w:val="20"/>
                <w:lang w:bidi="en-US"/>
              </w:rPr>
            </w:pPr>
            <w:r w:rsidRPr="00BF4BE6">
              <w:rPr>
                <w:sz w:val="20"/>
                <w:szCs w:val="20"/>
                <w:lang w:bidi="en-US"/>
              </w:rPr>
              <w:t>Estimated no. of persons</w:t>
            </w:r>
          </w:p>
        </w:tc>
        <w:tc>
          <w:tcPr>
            <w:tcW w:w="3285" w:type="dxa"/>
            <w:shd w:val="clear" w:color="auto" w:fill="D9D9D9" w:themeFill="background1" w:themeFillShade="D9"/>
          </w:tcPr>
          <w:p w14:paraId="6E431801" w14:textId="29209F49" w:rsidR="0061748F" w:rsidRPr="00BF4BE6" w:rsidRDefault="00FC2FD9" w:rsidP="00F9312C">
            <w:pPr>
              <w:spacing w:line="360" w:lineRule="auto"/>
              <w:rPr>
                <w:sz w:val="20"/>
                <w:szCs w:val="20"/>
                <w:lang w:bidi="en-US"/>
              </w:rPr>
            </w:pPr>
            <w:r w:rsidRPr="00BF4BE6">
              <w:rPr>
                <w:sz w:val="20"/>
                <w:szCs w:val="20"/>
                <w:lang w:bidi="en-US"/>
              </w:rPr>
              <w:t xml:space="preserve">Breakdown </w:t>
            </w:r>
          </w:p>
        </w:tc>
      </w:tr>
      <w:tr w:rsidR="0061748F" w14:paraId="2F41E151" w14:textId="77777777" w:rsidTr="0061748F">
        <w:tc>
          <w:tcPr>
            <w:tcW w:w="3284" w:type="dxa"/>
          </w:tcPr>
          <w:p w14:paraId="63B16C7D" w14:textId="14CA5137" w:rsidR="0061748F" w:rsidRPr="00BF4BE6" w:rsidRDefault="0061748F" w:rsidP="00F9312C">
            <w:pPr>
              <w:spacing w:line="360" w:lineRule="auto"/>
              <w:rPr>
                <w:sz w:val="20"/>
                <w:szCs w:val="20"/>
                <w:lang w:bidi="en-US"/>
              </w:rPr>
            </w:pPr>
            <w:r w:rsidRPr="00BF4BE6">
              <w:rPr>
                <w:sz w:val="20"/>
                <w:szCs w:val="20"/>
                <w:lang w:bidi="en-US"/>
              </w:rPr>
              <w:t>Persons with intellectual disabilities</w:t>
            </w:r>
          </w:p>
        </w:tc>
        <w:tc>
          <w:tcPr>
            <w:tcW w:w="3285" w:type="dxa"/>
          </w:tcPr>
          <w:p w14:paraId="289BF571" w14:textId="45AA9082" w:rsidR="0061748F" w:rsidRPr="00BF4BE6" w:rsidRDefault="00FA3908" w:rsidP="00F9312C">
            <w:pPr>
              <w:spacing w:line="360" w:lineRule="auto"/>
              <w:jc w:val="right"/>
              <w:rPr>
                <w:sz w:val="20"/>
                <w:szCs w:val="20"/>
                <w:lang w:bidi="en-US"/>
              </w:rPr>
            </w:pPr>
            <w:r w:rsidRPr="00BF4BE6">
              <w:rPr>
                <w:sz w:val="20"/>
                <w:szCs w:val="20"/>
                <w:lang w:bidi="en-US"/>
              </w:rPr>
              <w:t>142,000</w:t>
            </w:r>
          </w:p>
        </w:tc>
        <w:tc>
          <w:tcPr>
            <w:tcW w:w="3285" w:type="dxa"/>
          </w:tcPr>
          <w:p w14:paraId="0223B776" w14:textId="0B118ED8" w:rsidR="00FA3908" w:rsidRPr="00BF4BE6" w:rsidRDefault="00BF4BE6" w:rsidP="00F9312C">
            <w:pPr>
              <w:spacing w:line="360" w:lineRule="auto"/>
              <w:rPr>
                <w:sz w:val="20"/>
                <w:szCs w:val="20"/>
                <w:lang w:bidi="en-US"/>
              </w:rPr>
            </w:pPr>
            <w:r>
              <w:rPr>
                <w:sz w:val="20"/>
                <w:szCs w:val="20"/>
                <w:lang w:bidi="en-US"/>
              </w:rPr>
              <w:t>O</w:t>
            </w:r>
            <w:r w:rsidR="00FC2FD9" w:rsidRPr="00BF4BE6">
              <w:rPr>
                <w:sz w:val="20"/>
                <w:szCs w:val="20"/>
                <w:lang w:bidi="en-US"/>
              </w:rPr>
              <w:t xml:space="preserve">f which </w:t>
            </w:r>
            <w:r w:rsidR="00FA3908" w:rsidRPr="00BF4BE6">
              <w:rPr>
                <w:sz w:val="20"/>
                <w:szCs w:val="20"/>
                <w:lang w:bidi="en-US"/>
              </w:rPr>
              <w:t>68,000 with a severe intellectual disability (IQ&lt;50)</w:t>
            </w:r>
            <w:r w:rsidR="00FC2FD9" w:rsidRPr="00BF4BE6">
              <w:rPr>
                <w:sz w:val="20"/>
                <w:szCs w:val="20"/>
                <w:lang w:bidi="en-US"/>
              </w:rPr>
              <w:t xml:space="preserve"> and </w:t>
            </w:r>
            <w:r w:rsidR="00FA3908" w:rsidRPr="00BF4BE6">
              <w:rPr>
                <w:sz w:val="20"/>
                <w:szCs w:val="20"/>
                <w:lang w:bidi="en-US"/>
              </w:rPr>
              <w:t xml:space="preserve">74,000 with a mild intellectual disability (IQ </w:t>
            </w:r>
            <w:proofErr w:type="gramStart"/>
            <w:r w:rsidR="00FA3908" w:rsidRPr="00BF4BE6">
              <w:rPr>
                <w:sz w:val="20"/>
                <w:szCs w:val="20"/>
                <w:lang w:bidi="en-US"/>
              </w:rPr>
              <w:t>between 50-70</w:t>
            </w:r>
            <w:proofErr w:type="gramEnd"/>
            <w:r w:rsidR="00FA3908" w:rsidRPr="00BF4BE6">
              <w:rPr>
                <w:sz w:val="20"/>
                <w:szCs w:val="20"/>
                <w:lang w:bidi="en-US"/>
              </w:rPr>
              <w:t>)</w:t>
            </w:r>
            <w:r>
              <w:rPr>
                <w:sz w:val="20"/>
                <w:szCs w:val="20"/>
                <w:lang w:bidi="en-US"/>
              </w:rPr>
              <w:t>.</w:t>
            </w:r>
          </w:p>
        </w:tc>
      </w:tr>
      <w:tr w:rsidR="0061748F" w14:paraId="69E5FE88" w14:textId="77777777" w:rsidTr="0061748F">
        <w:tc>
          <w:tcPr>
            <w:tcW w:w="3284" w:type="dxa"/>
          </w:tcPr>
          <w:p w14:paraId="0D6DA3CB" w14:textId="255AA7D1" w:rsidR="0061748F" w:rsidRPr="00BF4BE6" w:rsidRDefault="0061748F" w:rsidP="00F9312C">
            <w:pPr>
              <w:spacing w:line="360" w:lineRule="auto"/>
              <w:rPr>
                <w:sz w:val="20"/>
                <w:szCs w:val="20"/>
                <w:lang w:bidi="en-US"/>
              </w:rPr>
            </w:pPr>
            <w:r w:rsidRPr="00BF4BE6">
              <w:rPr>
                <w:sz w:val="20"/>
                <w:szCs w:val="20"/>
                <w:lang w:bidi="en-US"/>
              </w:rPr>
              <w:t>Persons with sensory impairments</w:t>
            </w:r>
          </w:p>
        </w:tc>
        <w:tc>
          <w:tcPr>
            <w:tcW w:w="3285" w:type="dxa"/>
          </w:tcPr>
          <w:p w14:paraId="4231522D" w14:textId="08E56510" w:rsidR="0061748F" w:rsidRPr="00BF4BE6" w:rsidRDefault="00FC2FD9" w:rsidP="00F9312C">
            <w:pPr>
              <w:spacing w:line="360" w:lineRule="auto"/>
              <w:jc w:val="right"/>
              <w:rPr>
                <w:sz w:val="20"/>
                <w:szCs w:val="20"/>
                <w:lang w:bidi="en-US"/>
              </w:rPr>
            </w:pPr>
            <w:r w:rsidRPr="00BF4BE6">
              <w:rPr>
                <w:sz w:val="20"/>
                <w:szCs w:val="20"/>
                <w:lang w:bidi="en-US"/>
              </w:rPr>
              <w:t>262,000</w:t>
            </w:r>
          </w:p>
        </w:tc>
        <w:tc>
          <w:tcPr>
            <w:tcW w:w="3285" w:type="dxa"/>
          </w:tcPr>
          <w:p w14:paraId="792A615C" w14:textId="581A6E94" w:rsidR="0061748F" w:rsidRPr="00BF4BE6" w:rsidRDefault="00FC2FD9" w:rsidP="00F9312C">
            <w:pPr>
              <w:spacing w:line="360" w:lineRule="auto"/>
              <w:rPr>
                <w:sz w:val="20"/>
                <w:szCs w:val="20"/>
                <w:lang w:bidi="en-US"/>
              </w:rPr>
            </w:pPr>
            <w:r w:rsidRPr="00BF4BE6">
              <w:rPr>
                <w:sz w:val="20"/>
                <w:szCs w:val="20"/>
                <w:lang w:bidi="en-US"/>
              </w:rPr>
              <w:t>Of which 12,000 with difficulty in hearing and 250,000 with difficulty in seeing</w:t>
            </w:r>
            <w:r w:rsidR="00BF4BE6">
              <w:rPr>
                <w:sz w:val="20"/>
                <w:szCs w:val="20"/>
                <w:lang w:bidi="en-US"/>
              </w:rPr>
              <w:t>.</w:t>
            </w:r>
          </w:p>
        </w:tc>
      </w:tr>
      <w:tr w:rsidR="0061748F" w14:paraId="7D3B8BAC" w14:textId="77777777" w:rsidTr="0061748F">
        <w:tc>
          <w:tcPr>
            <w:tcW w:w="3284" w:type="dxa"/>
          </w:tcPr>
          <w:p w14:paraId="376287D7" w14:textId="7C9D4F72" w:rsidR="0061748F" w:rsidRPr="00BF4BE6" w:rsidRDefault="00FA3908" w:rsidP="00F9312C">
            <w:pPr>
              <w:spacing w:line="360" w:lineRule="auto"/>
              <w:rPr>
                <w:sz w:val="20"/>
                <w:szCs w:val="20"/>
                <w:lang w:bidi="en-US"/>
              </w:rPr>
            </w:pPr>
            <w:r w:rsidRPr="00BF4BE6">
              <w:rPr>
                <w:sz w:val="20"/>
                <w:szCs w:val="20"/>
                <w:lang w:bidi="en-US"/>
              </w:rPr>
              <w:t>Persons with physical disabilities</w:t>
            </w:r>
          </w:p>
        </w:tc>
        <w:tc>
          <w:tcPr>
            <w:tcW w:w="3285" w:type="dxa"/>
          </w:tcPr>
          <w:p w14:paraId="5A02142D" w14:textId="0BF4BE4B" w:rsidR="0061748F" w:rsidRPr="00BF4BE6" w:rsidRDefault="00FC2FD9" w:rsidP="00F9312C">
            <w:pPr>
              <w:spacing w:line="360" w:lineRule="auto"/>
              <w:jc w:val="right"/>
              <w:rPr>
                <w:sz w:val="20"/>
                <w:szCs w:val="20"/>
                <w:lang w:bidi="en-US"/>
              </w:rPr>
            </w:pPr>
            <w:r w:rsidRPr="00BF4BE6">
              <w:rPr>
                <w:sz w:val="20"/>
                <w:szCs w:val="20"/>
                <w:lang w:bidi="en-US"/>
              </w:rPr>
              <w:t>1,400,000</w:t>
            </w:r>
          </w:p>
        </w:tc>
        <w:tc>
          <w:tcPr>
            <w:tcW w:w="3285" w:type="dxa"/>
          </w:tcPr>
          <w:p w14:paraId="1CCCF0B8" w14:textId="1EF6352F" w:rsidR="0061748F" w:rsidRPr="00BF4BE6" w:rsidRDefault="00BF4BE6" w:rsidP="00F9312C">
            <w:pPr>
              <w:spacing w:line="360" w:lineRule="auto"/>
              <w:rPr>
                <w:sz w:val="20"/>
                <w:szCs w:val="20"/>
                <w:lang w:bidi="en-US"/>
              </w:rPr>
            </w:pPr>
            <w:r>
              <w:rPr>
                <w:sz w:val="20"/>
                <w:szCs w:val="20"/>
                <w:lang w:bidi="en-US"/>
              </w:rPr>
              <w:t>n/a</w:t>
            </w:r>
          </w:p>
        </w:tc>
      </w:tr>
      <w:tr w:rsidR="0061748F" w14:paraId="3D13F392" w14:textId="77777777" w:rsidTr="0061748F">
        <w:tc>
          <w:tcPr>
            <w:tcW w:w="3284" w:type="dxa"/>
          </w:tcPr>
          <w:p w14:paraId="706A349A" w14:textId="08A09C64" w:rsidR="0061748F" w:rsidRPr="00BF4BE6" w:rsidRDefault="00FA3908" w:rsidP="00F9312C">
            <w:pPr>
              <w:spacing w:line="360" w:lineRule="auto"/>
              <w:rPr>
                <w:sz w:val="20"/>
                <w:szCs w:val="20"/>
                <w:lang w:bidi="en-US"/>
              </w:rPr>
            </w:pPr>
            <w:r w:rsidRPr="00BF4BE6">
              <w:rPr>
                <w:sz w:val="20"/>
                <w:szCs w:val="20"/>
                <w:lang w:bidi="en-US"/>
              </w:rPr>
              <w:t>Persons with psycho-social disabilities</w:t>
            </w:r>
          </w:p>
        </w:tc>
        <w:tc>
          <w:tcPr>
            <w:tcW w:w="3285" w:type="dxa"/>
          </w:tcPr>
          <w:p w14:paraId="3570E02C" w14:textId="592AAD0B" w:rsidR="0061748F" w:rsidRPr="00BF4BE6" w:rsidRDefault="00FF3941" w:rsidP="00F9312C">
            <w:pPr>
              <w:spacing w:line="360" w:lineRule="auto"/>
              <w:jc w:val="right"/>
              <w:rPr>
                <w:sz w:val="20"/>
                <w:szCs w:val="20"/>
                <w:lang w:bidi="en-US"/>
              </w:rPr>
            </w:pPr>
            <w:r w:rsidRPr="00BF4BE6">
              <w:rPr>
                <w:sz w:val="20"/>
                <w:szCs w:val="20"/>
                <w:lang w:bidi="en-US"/>
              </w:rPr>
              <w:t>1,000,000</w:t>
            </w:r>
            <w:r w:rsidRPr="00BF4BE6">
              <w:rPr>
                <w:rStyle w:val="FootnoteReference"/>
                <w:szCs w:val="20"/>
                <w:lang w:bidi="en-US"/>
              </w:rPr>
              <w:footnoteReference w:id="94"/>
            </w:r>
          </w:p>
        </w:tc>
        <w:tc>
          <w:tcPr>
            <w:tcW w:w="3285" w:type="dxa"/>
          </w:tcPr>
          <w:p w14:paraId="4654C4F0" w14:textId="77777777" w:rsidR="0061748F" w:rsidRPr="00BF4BE6" w:rsidRDefault="0061748F" w:rsidP="00F9312C">
            <w:pPr>
              <w:spacing w:line="360" w:lineRule="auto"/>
              <w:rPr>
                <w:sz w:val="20"/>
                <w:szCs w:val="20"/>
                <w:lang w:bidi="en-US"/>
              </w:rPr>
            </w:pPr>
          </w:p>
        </w:tc>
      </w:tr>
    </w:tbl>
    <w:p w14:paraId="0EDACC5C" w14:textId="1ED1BFF3" w:rsidR="0061748F" w:rsidRPr="00FC2FD9" w:rsidRDefault="00FC2FD9" w:rsidP="00F9312C">
      <w:pPr>
        <w:spacing w:line="360" w:lineRule="auto"/>
        <w:rPr>
          <w:sz w:val="20"/>
          <w:szCs w:val="20"/>
          <w:lang w:bidi="en-US"/>
        </w:rPr>
      </w:pPr>
      <w:r w:rsidRPr="00FC2FD9">
        <w:rPr>
          <w:sz w:val="20"/>
          <w:szCs w:val="20"/>
          <w:lang w:bidi="en-US"/>
        </w:rPr>
        <w:t>Source: VGN</w:t>
      </w:r>
      <w:r>
        <w:rPr>
          <w:sz w:val="20"/>
          <w:szCs w:val="20"/>
          <w:lang w:bidi="en-US"/>
        </w:rPr>
        <w:t>:</w:t>
      </w:r>
      <w:r w:rsidRPr="00FC2FD9">
        <w:rPr>
          <w:sz w:val="20"/>
          <w:szCs w:val="20"/>
          <w:lang w:bidi="en-US"/>
        </w:rPr>
        <w:t xml:space="preserve"> </w:t>
      </w:r>
      <w:hyperlink r:id="rId12" w:history="1">
        <w:r w:rsidRPr="00B3480D">
          <w:rPr>
            <w:rStyle w:val="Hyperlink"/>
            <w:rFonts w:cstheme="minorBidi"/>
            <w:sz w:val="20"/>
            <w:szCs w:val="20"/>
            <w:lang w:bidi="en-US"/>
          </w:rPr>
          <w:t>https://www.vgn.nl/feiten-en-cijfers-de-gehandicaptenzorg</w:t>
        </w:r>
      </w:hyperlink>
      <w:r>
        <w:rPr>
          <w:sz w:val="20"/>
          <w:szCs w:val="20"/>
          <w:lang w:bidi="en-US"/>
        </w:rPr>
        <w:t xml:space="preserve"> </w:t>
      </w:r>
      <w:r w:rsidR="00BF4BE6">
        <w:rPr>
          <w:sz w:val="20"/>
          <w:szCs w:val="20"/>
          <w:lang w:bidi="en-US"/>
        </w:rPr>
        <w:t>Accessed 26 June 2020.</w:t>
      </w:r>
    </w:p>
    <w:p w14:paraId="22A19930" w14:textId="77777777" w:rsidR="0061748F" w:rsidRDefault="0061748F" w:rsidP="00F9312C">
      <w:pPr>
        <w:spacing w:line="360" w:lineRule="auto"/>
        <w:rPr>
          <w:lang w:bidi="en-US"/>
        </w:rPr>
      </w:pPr>
    </w:p>
    <w:p w14:paraId="5303D330" w14:textId="77777777" w:rsidR="00E911E4" w:rsidRDefault="00DF2199" w:rsidP="00F9312C">
      <w:pPr>
        <w:spacing w:line="360" w:lineRule="auto"/>
        <w:rPr>
          <w:lang w:bidi="en-US"/>
        </w:rPr>
      </w:pPr>
      <w:r>
        <w:rPr>
          <w:lang w:bidi="en-US"/>
        </w:rPr>
        <w:t xml:space="preserve">National policies </w:t>
      </w:r>
      <w:r w:rsidR="00543933">
        <w:rPr>
          <w:lang w:bidi="en-US"/>
        </w:rPr>
        <w:t xml:space="preserve">and legislation </w:t>
      </w:r>
      <w:r>
        <w:rPr>
          <w:lang w:bidi="en-US"/>
        </w:rPr>
        <w:t>relating to disability are strongly coloured by a care approach. The umbrella name</w:t>
      </w:r>
      <w:r w:rsidR="00373D7B">
        <w:rPr>
          <w:lang w:bidi="en-US"/>
        </w:rPr>
        <w:t xml:space="preserve"> for </w:t>
      </w:r>
      <w:r w:rsidR="00543933">
        <w:rPr>
          <w:lang w:bidi="en-US"/>
        </w:rPr>
        <w:t xml:space="preserve">these </w:t>
      </w:r>
      <w:r w:rsidR="00373D7B">
        <w:rPr>
          <w:lang w:bidi="en-US"/>
        </w:rPr>
        <w:t xml:space="preserve">policies is </w:t>
      </w:r>
      <w:r w:rsidRPr="00373D7B">
        <w:rPr>
          <w:i/>
          <w:iCs/>
          <w:lang w:bidi="en-US"/>
        </w:rPr>
        <w:t>care for the disabled</w:t>
      </w:r>
      <w:r w:rsidR="006A6BBC">
        <w:rPr>
          <w:lang w:bidi="en-US"/>
        </w:rPr>
        <w:t xml:space="preserve"> (‘</w:t>
      </w:r>
      <w:proofErr w:type="spellStart"/>
      <w:r w:rsidR="008C2647">
        <w:rPr>
          <w:i/>
          <w:iCs/>
          <w:lang w:bidi="en-US"/>
        </w:rPr>
        <w:t>g</w:t>
      </w:r>
      <w:r w:rsidR="006A6BBC" w:rsidRPr="006A6BBC">
        <w:rPr>
          <w:i/>
          <w:iCs/>
          <w:lang w:bidi="en-US"/>
        </w:rPr>
        <w:t>ehandica</w:t>
      </w:r>
      <w:r w:rsidR="008C2647">
        <w:rPr>
          <w:i/>
          <w:iCs/>
          <w:lang w:bidi="en-US"/>
        </w:rPr>
        <w:t>p</w:t>
      </w:r>
      <w:r w:rsidR="006A6BBC" w:rsidRPr="006A6BBC">
        <w:rPr>
          <w:i/>
          <w:iCs/>
          <w:lang w:bidi="en-US"/>
        </w:rPr>
        <w:t>tenzorg</w:t>
      </w:r>
      <w:proofErr w:type="spellEnd"/>
      <w:r w:rsidR="006A6BBC">
        <w:rPr>
          <w:lang w:bidi="en-US"/>
        </w:rPr>
        <w:t>’).</w:t>
      </w:r>
      <w:r w:rsidRPr="00DF2199">
        <w:rPr>
          <w:lang w:bidi="en-US"/>
        </w:rPr>
        <w:t xml:space="preserve"> The sector is financed </w:t>
      </w:r>
      <w:r w:rsidR="008C2647">
        <w:rPr>
          <w:lang w:bidi="en-US"/>
        </w:rPr>
        <w:t>through</w:t>
      </w:r>
      <w:r w:rsidR="00543933">
        <w:rPr>
          <w:lang w:bidi="en-US"/>
        </w:rPr>
        <w:t xml:space="preserve"> four sources:</w:t>
      </w:r>
    </w:p>
    <w:p w14:paraId="3F370852" w14:textId="24524FF3" w:rsidR="006A6BBC" w:rsidRPr="00577035" w:rsidRDefault="00DF2199" w:rsidP="00F9312C">
      <w:pPr>
        <w:spacing w:line="360" w:lineRule="auto"/>
        <w:rPr>
          <w:lang w:bidi="en-US"/>
        </w:rPr>
      </w:pPr>
      <w:r w:rsidRPr="00DF2199">
        <w:rPr>
          <w:lang w:bidi="en-US"/>
        </w:rPr>
        <w:t>the W</w:t>
      </w:r>
      <w:r w:rsidR="00AB3F36">
        <w:rPr>
          <w:lang w:bidi="en-US"/>
        </w:rPr>
        <w:t xml:space="preserve">et </w:t>
      </w:r>
      <w:proofErr w:type="spellStart"/>
      <w:r w:rsidRPr="00DF2199">
        <w:rPr>
          <w:lang w:bidi="en-US"/>
        </w:rPr>
        <w:t>m</w:t>
      </w:r>
      <w:r w:rsidR="00AB3F36">
        <w:rPr>
          <w:lang w:bidi="en-US"/>
        </w:rPr>
        <w:t>aatschappelijke</w:t>
      </w:r>
      <w:proofErr w:type="spellEnd"/>
      <w:r w:rsidR="00AB3F36">
        <w:rPr>
          <w:lang w:bidi="en-US"/>
        </w:rPr>
        <w:t xml:space="preserve"> </w:t>
      </w:r>
      <w:proofErr w:type="spellStart"/>
      <w:r w:rsidRPr="00DF2199">
        <w:rPr>
          <w:lang w:bidi="en-US"/>
        </w:rPr>
        <w:t>o</w:t>
      </w:r>
      <w:r w:rsidR="00AB3F36">
        <w:rPr>
          <w:lang w:bidi="en-US"/>
        </w:rPr>
        <w:t>ndersteuning</w:t>
      </w:r>
      <w:proofErr w:type="spellEnd"/>
      <w:r w:rsidR="00AB3F36" w:rsidRPr="00AB3F36">
        <w:rPr>
          <w:lang w:bidi="en-US"/>
        </w:rPr>
        <w:t xml:space="preserve"> </w:t>
      </w:r>
      <w:r w:rsidR="00AB3F36">
        <w:rPr>
          <w:lang w:bidi="en-US"/>
        </w:rPr>
        <w:t>(‘</w:t>
      </w:r>
      <w:r w:rsidR="00AB3F36" w:rsidRPr="00AB3F36">
        <w:rPr>
          <w:i/>
          <w:iCs/>
          <w:lang w:bidi="en-US"/>
        </w:rPr>
        <w:t>Social Support Act</w:t>
      </w:r>
      <w:r w:rsidR="00AB3F36">
        <w:rPr>
          <w:lang w:bidi="en-US"/>
        </w:rPr>
        <w:t>’</w:t>
      </w:r>
      <w:r w:rsidRPr="00DF2199">
        <w:rPr>
          <w:lang w:bidi="en-US"/>
        </w:rPr>
        <w:t xml:space="preserve">), </w:t>
      </w:r>
      <w:r w:rsidR="00AB3F36">
        <w:rPr>
          <w:lang w:bidi="en-US"/>
        </w:rPr>
        <w:t xml:space="preserve">the </w:t>
      </w:r>
      <w:r w:rsidRPr="00AB3F36">
        <w:rPr>
          <w:lang w:bidi="en-US"/>
        </w:rPr>
        <w:t>W</w:t>
      </w:r>
      <w:r w:rsidR="00373D7B" w:rsidRPr="00AB3F36">
        <w:rPr>
          <w:lang w:bidi="en-US"/>
        </w:rPr>
        <w:t xml:space="preserve">et </w:t>
      </w:r>
      <w:proofErr w:type="spellStart"/>
      <w:r w:rsidR="00373D7B" w:rsidRPr="00AB3F36">
        <w:rPr>
          <w:lang w:bidi="en-US"/>
        </w:rPr>
        <w:t>langdurige</w:t>
      </w:r>
      <w:proofErr w:type="spellEnd"/>
      <w:r w:rsidR="00373D7B" w:rsidRPr="00AB3F36">
        <w:rPr>
          <w:lang w:bidi="en-US"/>
        </w:rPr>
        <w:t xml:space="preserve"> </w:t>
      </w:r>
      <w:proofErr w:type="spellStart"/>
      <w:r w:rsidR="00373D7B" w:rsidRPr="00AB3F36">
        <w:rPr>
          <w:lang w:bidi="en-US"/>
        </w:rPr>
        <w:t>zorg</w:t>
      </w:r>
      <w:proofErr w:type="spellEnd"/>
      <w:r w:rsidR="00373D7B">
        <w:rPr>
          <w:i/>
          <w:iCs/>
          <w:lang w:bidi="en-US"/>
        </w:rPr>
        <w:t>,</w:t>
      </w:r>
      <w:r w:rsidR="00AB3F36">
        <w:rPr>
          <w:i/>
          <w:iCs/>
          <w:lang w:bidi="en-US"/>
        </w:rPr>
        <w:t xml:space="preserve"> </w:t>
      </w:r>
      <w:r w:rsidR="00AB3F36">
        <w:rPr>
          <w:lang w:bidi="en-US"/>
        </w:rPr>
        <w:t>(‘</w:t>
      </w:r>
      <w:r w:rsidR="00AB3F36" w:rsidRPr="00DF2199">
        <w:rPr>
          <w:lang w:bidi="en-US"/>
        </w:rPr>
        <w:t>Long-Term Care Act</w:t>
      </w:r>
      <w:r w:rsidR="00AB3F36">
        <w:rPr>
          <w:lang w:bidi="en-US"/>
        </w:rPr>
        <w:t>’</w:t>
      </w:r>
      <w:r w:rsidRPr="00DF2199">
        <w:rPr>
          <w:lang w:bidi="en-US"/>
        </w:rPr>
        <w:t>), the</w:t>
      </w:r>
      <w:r w:rsidR="009813C4">
        <w:rPr>
          <w:lang w:bidi="en-US"/>
        </w:rPr>
        <w:t xml:space="preserve"> </w:t>
      </w:r>
      <w:proofErr w:type="spellStart"/>
      <w:r w:rsidR="009813C4">
        <w:rPr>
          <w:lang w:bidi="en-US"/>
        </w:rPr>
        <w:t>Jeugdwet</w:t>
      </w:r>
      <w:proofErr w:type="spellEnd"/>
      <w:r w:rsidR="009813C4">
        <w:rPr>
          <w:lang w:bidi="en-US"/>
        </w:rPr>
        <w:t xml:space="preserve"> (‘</w:t>
      </w:r>
      <w:r w:rsidRPr="009813C4">
        <w:rPr>
          <w:i/>
          <w:iCs/>
          <w:lang w:bidi="en-US"/>
        </w:rPr>
        <w:t>Youth Act</w:t>
      </w:r>
      <w:r w:rsidR="009813C4">
        <w:rPr>
          <w:lang w:bidi="en-US"/>
        </w:rPr>
        <w:t>’)</w:t>
      </w:r>
      <w:r w:rsidRPr="00DF2199">
        <w:rPr>
          <w:lang w:bidi="en-US"/>
        </w:rPr>
        <w:t xml:space="preserve"> and the </w:t>
      </w:r>
      <w:proofErr w:type="spellStart"/>
      <w:r w:rsidR="009813C4" w:rsidRPr="009813C4">
        <w:rPr>
          <w:lang w:bidi="en-US"/>
        </w:rPr>
        <w:t>Zorgverzekeringswet</w:t>
      </w:r>
      <w:proofErr w:type="spellEnd"/>
      <w:r w:rsidR="009813C4">
        <w:rPr>
          <w:lang w:bidi="en-US"/>
        </w:rPr>
        <w:t xml:space="preserve"> (‘</w:t>
      </w:r>
      <w:r w:rsidRPr="009813C4">
        <w:rPr>
          <w:i/>
          <w:iCs/>
          <w:lang w:bidi="en-US"/>
        </w:rPr>
        <w:t>Health Insurance Act</w:t>
      </w:r>
      <w:r w:rsidR="009813C4">
        <w:rPr>
          <w:lang w:bidi="en-US"/>
        </w:rPr>
        <w:t>’</w:t>
      </w:r>
      <w:r w:rsidRPr="00DF2199">
        <w:rPr>
          <w:lang w:bidi="en-US"/>
        </w:rPr>
        <w:t>). At the end of 201</w:t>
      </w:r>
      <w:r w:rsidR="008C2647">
        <w:rPr>
          <w:lang w:bidi="en-US"/>
        </w:rPr>
        <w:t>9</w:t>
      </w:r>
      <w:r w:rsidRPr="00DF2199">
        <w:rPr>
          <w:lang w:bidi="en-US"/>
        </w:rPr>
        <w:t>, approximately 1</w:t>
      </w:r>
      <w:r w:rsidR="008C2647">
        <w:rPr>
          <w:lang w:bidi="en-US"/>
        </w:rPr>
        <w:t>80</w:t>
      </w:r>
      <w:r w:rsidRPr="00DF2199">
        <w:rPr>
          <w:lang w:bidi="en-US"/>
        </w:rPr>
        <w:t>,000 people were employed in the care for the disabled.</w:t>
      </w:r>
      <w:r w:rsidR="008C2647">
        <w:rPr>
          <w:rStyle w:val="FootnoteReference"/>
          <w:lang w:bidi="en-US"/>
        </w:rPr>
        <w:footnoteReference w:id="95"/>
      </w:r>
      <w:r w:rsidRPr="00DF2199">
        <w:rPr>
          <w:lang w:bidi="en-US"/>
        </w:rPr>
        <w:t xml:space="preserve"> Current issues in care for the disabled mainly concern the quality of care and life, personal </w:t>
      </w:r>
      <w:r w:rsidR="008C2647">
        <w:rPr>
          <w:lang w:bidi="en-US"/>
        </w:rPr>
        <w:t>autonomy</w:t>
      </w:r>
      <w:r w:rsidRPr="00DF2199">
        <w:rPr>
          <w:lang w:bidi="en-US"/>
        </w:rPr>
        <w:t>, the problem</w:t>
      </w:r>
      <w:r w:rsidR="008C2647">
        <w:rPr>
          <w:lang w:bidi="en-US"/>
        </w:rPr>
        <w:t xml:space="preserve"> of responsibility for care at the transition of adolescents who turn 18</w:t>
      </w:r>
      <w:r w:rsidRPr="00DF2199">
        <w:rPr>
          <w:lang w:bidi="en-US"/>
        </w:rPr>
        <w:t xml:space="preserve"> and care for children with a very serious multiple disability.</w:t>
      </w:r>
      <w:r w:rsidR="00373D7B">
        <w:rPr>
          <w:lang w:bidi="en-US"/>
        </w:rPr>
        <w:t xml:space="preserve"> The </w:t>
      </w:r>
      <w:r w:rsidR="00515803">
        <w:rPr>
          <w:lang w:bidi="en-US"/>
        </w:rPr>
        <w:t>implementation of the legislation</w:t>
      </w:r>
      <w:r w:rsidR="006A6BBC">
        <w:rPr>
          <w:lang w:bidi="en-US"/>
        </w:rPr>
        <w:t xml:space="preserve"> has been a point of criticism by </w:t>
      </w:r>
      <w:proofErr w:type="spellStart"/>
      <w:r w:rsidR="006A6BBC">
        <w:rPr>
          <w:lang w:bidi="en-US"/>
        </w:rPr>
        <w:t>a.o.</w:t>
      </w:r>
      <w:proofErr w:type="spellEnd"/>
      <w:r w:rsidR="006A6BBC">
        <w:rPr>
          <w:lang w:bidi="en-US"/>
        </w:rPr>
        <w:t xml:space="preserve"> the National Ombudsman. </w:t>
      </w:r>
      <w:r w:rsidR="006A6BBC" w:rsidRPr="006A6BBC">
        <w:rPr>
          <w:lang w:bidi="en-US"/>
        </w:rPr>
        <w:t xml:space="preserve">In a research report he stated: </w:t>
      </w:r>
      <w:r w:rsidR="006A6BBC">
        <w:rPr>
          <w:lang w:bidi="en-US"/>
        </w:rPr>
        <w:t>“</w:t>
      </w:r>
      <w:r w:rsidR="006A6BBC" w:rsidRPr="006A6BBC">
        <w:rPr>
          <w:lang w:bidi="en-US"/>
        </w:rPr>
        <w:t>The current health care system is designed based on the expectation that authorities will work in a more demand-oriented, responsible and efficient manner. However, three years after the transition in the healthcare domain, the Ombudsman sees that too little of this ambition</w:t>
      </w:r>
      <w:r w:rsidR="006A6BBC">
        <w:rPr>
          <w:lang w:bidi="en-US"/>
        </w:rPr>
        <w:t xml:space="preserve"> has been achieved</w:t>
      </w:r>
      <w:r w:rsidR="006A6BBC" w:rsidRPr="006A6BBC">
        <w:rPr>
          <w:lang w:bidi="en-US"/>
        </w:rPr>
        <w:t>. Each agency implements its own arrangements from its perspective and works within its own frameworks. In the absence of an overview of the entire situation of the citizen, the authorities involved lack the sense of urgency to tackle and solve the problems in their entirety</w:t>
      </w:r>
      <w:r w:rsidR="006A6BBC">
        <w:rPr>
          <w:lang w:bidi="en-US"/>
        </w:rPr>
        <w:t>”</w:t>
      </w:r>
      <w:r w:rsidR="006A6BBC" w:rsidRPr="006A6BBC">
        <w:rPr>
          <w:lang w:bidi="en-US"/>
        </w:rPr>
        <w:t>.</w:t>
      </w:r>
      <w:r w:rsidR="006A6BBC">
        <w:rPr>
          <w:rStyle w:val="FootnoteReference"/>
          <w:lang w:bidi="en-US"/>
        </w:rPr>
        <w:footnoteReference w:id="96"/>
      </w:r>
      <w:r w:rsidR="006A6BBC">
        <w:rPr>
          <w:lang w:bidi="en-US"/>
        </w:rPr>
        <w:t xml:space="preserve"> In a response, the Ministry of Health (…) said it had started to work on four issues: more cooperation between health insurers and municipalities; improving the availability of client support; more flexibility in financing if the law is unclear; cooperation in the neighbourhood and continuous attention and focus on solutions in complex cases.</w:t>
      </w:r>
      <w:r w:rsidR="00515803">
        <w:rPr>
          <w:rStyle w:val="FootnoteReference"/>
          <w:lang w:bidi="en-US"/>
        </w:rPr>
        <w:footnoteReference w:id="97"/>
      </w:r>
      <w:r w:rsidR="006A6BBC">
        <w:rPr>
          <w:lang w:bidi="en-US"/>
        </w:rPr>
        <w:t xml:space="preserve"> </w:t>
      </w:r>
    </w:p>
    <w:p w14:paraId="7D18C615" w14:textId="4F60D98A" w:rsidR="00373D7B" w:rsidRDefault="00373D7B" w:rsidP="00F9312C">
      <w:pPr>
        <w:spacing w:line="360" w:lineRule="auto"/>
        <w:rPr>
          <w:lang w:bidi="en-US"/>
        </w:rPr>
      </w:pPr>
      <w:r>
        <w:rPr>
          <w:lang w:bidi="en-US"/>
        </w:rPr>
        <w:t>Within the policy</w:t>
      </w:r>
      <w:r w:rsidR="006A6BBC">
        <w:rPr>
          <w:lang w:bidi="en-US"/>
        </w:rPr>
        <w:t xml:space="preserve"> of care for the disabled</w:t>
      </w:r>
      <w:r>
        <w:rPr>
          <w:lang w:bidi="en-US"/>
        </w:rPr>
        <w:t>, little attention is given to the societal barriers that hamper inclusion of persons with disabilities in society. And with reference to the purpose of this report, there are no specific parts of the policy relating to accessibility of streets and public space.</w:t>
      </w:r>
    </w:p>
    <w:p w14:paraId="21879562" w14:textId="67C36BC5" w:rsidR="007C4E8A" w:rsidRPr="007C4E8A" w:rsidRDefault="007C4E8A" w:rsidP="00F9312C">
      <w:pPr>
        <w:spacing w:line="360" w:lineRule="auto"/>
      </w:pPr>
      <w:r w:rsidRPr="007C4E8A">
        <w:t xml:space="preserve"> </w:t>
      </w:r>
    </w:p>
    <w:p w14:paraId="697A96A8" w14:textId="59B50EAC" w:rsidR="007C4E8A" w:rsidRPr="00431F47" w:rsidRDefault="007C4E8A" w:rsidP="00F9312C">
      <w:pPr>
        <w:pStyle w:val="Heading4"/>
        <w:spacing w:line="360" w:lineRule="auto"/>
        <w:rPr>
          <w:b/>
          <w:bCs w:val="0"/>
          <w:i w:val="0"/>
          <w:iCs w:val="0"/>
        </w:rPr>
      </w:pPr>
      <w:r w:rsidRPr="00431F47">
        <w:rPr>
          <w:b/>
          <w:bCs w:val="0"/>
          <w:i w:val="0"/>
          <w:iCs w:val="0"/>
        </w:rPr>
        <w:t>A4.1.4 Older People</w:t>
      </w:r>
    </w:p>
    <w:p w14:paraId="73592A0B" w14:textId="609C3008" w:rsidR="007C4E8A" w:rsidRPr="00F9312C" w:rsidRDefault="007C4E8A" w:rsidP="00F9312C">
      <w:pPr>
        <w:spacing w:line="360" w:lineRule="auto"/>
        <w:rPr>
          <w:i/>
          <w:iCs/>
        </w:rPr>
      </w:pPr>
      <w:r w:rsidRPr="00F9312C">
        <w:rPr>
          <w:i/>
          <w:iCs/>
        </w:rPr>
        <w:t xml:space="preserve">Strategy framework </w:t>
      </w:r>
      <w:r w:rsidR="00383301" w:rsidRPr="00F9312C">
        <w:rPr>
          <w:i/>
          <w:iCs/>
        </w:rPr>
        <w:t>and</w:t>
      </w:r>
      <w:r w:rsidRPr="00F9312C">
        <w:rPr>
          <w:i/>
          <w:iCs/>
        </w:rPr>
        <w:t xml:space="preserve"> policy initiatives</w:t>
      </w:r>
    </w:p>
    <w:p w14:paraId="5D21D31B" w14:textId="77777777" w:rsidR="002F3BD6" w:rsidRDefault="002F3BD6" w:rsidP="00F9312C">
      <w:pPr>
        <w:pStyle w:val="ListParagraph"/>
        <w:spacing w:line="360" w:lineRule="auto"/>
        <w:rPr>
          <w:lang w:bidi="en-US"/>
        </w:rPr>
      </w:pPr>
    </w:p>
    <w:p w14:paraId="3C00ACAC" w14:textId="1C082DAF" w:rsidR="00AC0EB8" w:rsidRDefault="00AC0EB8" w:rsidP="00F9312C">
      <w:pPr>
        <w:spacing w:line="360" w:lineRule="auto"/>
        <w:rPr>
          <w:lang w:bidi="en-US"/>
        </w:rPr>
      </w:pPr>
      <w:r>
        <w:rPr>
          <w:lang w:bidi="en-US"/>
        </w:rPr>
        <w:t>In 201</w:t>
      </w:r>
      <w:r w:rsidR="00E911E4">
        <w:rPr>
          <w:lang w:bidi="en-US"/>
        </w:rPr>
        <w:t>9</w:t>
      </w:r>
      <w:r>
        <w:rPr>
          <w:lang w:bidi="en-US"/>
        </w:rPr>
        <w:t>, of the total Dutch population of 17</w:t>
      </w:r>
      <w:r w:rsidR="00E911E4">
        <w:rPr>
          <w:lang w:bidi="en-US"/>
        </w:rPr>
        <w:t>.2</w:t>
      </w:r>
      <w:r>
        <w:rPr>
          <w:lang w:bidi="en-US"/>
        </w:rPr>
        <w:t xml:space="preserve"> million, there were 2.</w:t>
      </w:r>
      <w:r w:rsidR="00E911E4">
        <w:rPr>
          <w:lang w:bidi="en-US"/>
        </w:rPr>
        <w:t>5</w:t>
      </w:r>
      <w:r>
        <w:rPr>
          <w:lang w:bidi="en-US"/>
        </w:rPr>
        <w:t xml:space="preserve"> million people between 65 and 80 years old and </w:t>
      </w:r>
      <w:r w:rsidR="00E911E4">
        <w:rPr>
          <w:lang w:bidi="en-US"/>
        </w:rPr>
        <w:t>822</w:t>
      </w:r>
      <w:r>
        <w:rPr>
          <w:lang w:bidi="en-US"/>
        </w:rPr>
        <w:t>,000 people over 80 years old.</w:t>
      </w:r>
      <w:r w:rsidR="00E911E4">
        <w:rPr>
          <w:rStyle w:val="FootnoteReference"/>
          <w:lang w:bidi="en-US"/>
        </w:rPr>
        <w:footnoteReference w:id="98"/>
      </w:r>
      <w:r>
        <w:rPr>
          <w:lang w:bidi="en-US"/>
        </w:rPr>
        <w:t xml:space="preserve"> </w:t>
      </w:r>
    </w:p>
    <w:p w14:paraId="608A87DE" w14:textId="2602E796" w:rsidR="002F3BD6" w:rsidRDefault="002F3BD6" w:rsidP="00F9312C">
      <w:pPr>
        <w:spacing w:line="360" w:lineRule="auto"/>
        <w:rPr>
          <w:lang w:bidi="en-US"/>
        </w:rPr>
      </w:pPr>
      <w:r>
        <w:rPr>
          <w:lang w:bidi="en-US"/>
        </w:rPr>
        <w:t>N</w:t>
      </w:r>
      <w:r w:rsidR="008C2647">
        <w:rPr>
          <w:lang w:bidi="en-US"/>
        </w:rPr>
        <w:t>ational polic</w:t>
      </w:r>
      <w:r>
        <w:rPr>
          <w:lang w:bidi="en-US"/>
        </w:rPr>
        <w:t>ies</w:t>
      </w:r>
      <w:r w:rsidR="008C2647">
        <w:rPr>
          <w:lang w:bidi="en-US"/>
        </w:rPr>
        <w:t xml:space="preserve"> for older people revolve around issues of </w:t>
      </w:r>
      <w:r w:rsidR="008D5525">
        <w:rPr>
          <w:lang w:bidi="en-US"/>
        </w:rPr>
        <w:t>financing old age benefits and pensions</w:t>
      </w:r>
      <w:r>
        <w:rPr>
          <w:lang w:bidi="en-US"/>
        </w:rPr>
        <w:t xml:space="preserve"> and</w:t>
      </w:r>
      <w:r w:rsidR="008D5525">
        <w:rPr>
          <w:lang w:bidi="en-US"/>
        </w:rPr>
        <w:t xml:space="preserve"> a growing appeal on health care. Loneliness among older people and the question of how to adapt housing for those who want to stay in their own home</w:t>
      </w:r>
      <w:r w:rsidR="00E911E4">
        <w:rPr>
          <w:lang w:bidi="en-US"/>
        </w:rPr>
        <w:t>,</w:t>
      </w:r>
      <w:r w:rsidR="008D5525">
        <w:rPr>
          <w:lang w:bidi="en-US"/>
        </w:rPr>
        <w:t xml:space="preserve"> are other topics in national policy. </w:t>
      </w:r>
    </w:p>
    <w:p w14:paraId="02AE9FBC" w14:textId="5E7F7731" w:rsidR="008C2647" w:rsidRDefault="002F3BD6" w:rsidP="00F9312C">
      <w:pPr>
        <w:spacing w:line="360" w:lineRule="auto"/>
        <w:rPr>
          <w:lang w:bidi="en-US"/>
        </w:rPr>
      </w:pPr>
      <w:r>
        <w:rPr>
          <w:lang w:bidi="en-US"/>
        </w:rPr>
        <w:t>There is no specific legislation regarding older persons in relation to the topic of this report.</w:t>
      </w:r>
      <w:r w:rsidR="008D5525">
        <w:rPr>
          <w:lang w:bidi="en-US"/>
        </w:rPr>
        <w:t xml:space="preserve">  </w:t>
      </w:r>
    </w:p>
    <w:p w14:paraId="4E646316" w14:textId="03179B75" w:rsidR="00AC0EB8" w:rsidRDefault="00AC0EB8" w:rsidP="00F9312C">
      <w:pPr>
        <w:spacing w:line="360" w:lineRule="auto"/>
        <w:rPr>
          <w:lang w:bidi="en-US"/>
        </w:rPr>
      </w:pPr>
    </w:p>
    <w:p w14:paraId="3BB37FE4" w14:textId="45F3ABCF" w:rsidR="002F3BD6" w:rsidRPr="007C53D8" w:rsidRDefault="002F3BD6" w:rsidP="00F9312C">
      <w:pPr>
        <w:spacing w:line="360" w:lineRule="auto"/>
        <w:rPr>
          <w:i/>
          <w:iCs/>
          <w:lang w:bidi="en-US"/>
        </w:rPr>
      </w:pPr>
      <w:r w:rsidRPr="007C53D8">
        <w:rPr>
          <w:i/>
          <w:iCs/>
          <w:lang w:bidi="en-US"/>
        </w:rPr>
        <w:t>Policy</w:t>
      </w:r>
    </w:p>
    <w:p w14:paraId="3660A210" w14:textId="61B93B9F" w:rsidR="00AC0EB8" w:rsidRDefault="00AC0EB8" w:rsidP="00F9312C">
      <w:pPr>
        <w:spacing w:line="360" w:lineRule="auto"/>
        <w:rPr>
          <w:lang w:bidi="en-US"/>
        </w:rPr>
      </w:pPr>
      <w:r>
        <w:rPr>
          <w:lang w:bidi="en-US"/>
        </w:rPr>
        <w:t xml:space="preserve">As far as older people and </w:t>
      </w:r>
      <w:r w:rsidR="002F3BD6">
        <w:rPr>
          <w:lang w:bidi="en-US"/>
        </w:rPr>
        <w:t>policies</w:t>
      </w:r>
      <w:r>
        <w:rPr>
          <w:lang w:bidi="en-US"/>
        </w:rPr>
        <w:t xml:space="preserve"> relating to accessibility of public space is concerned, no information could be found. However, in 2019 a survey was carried out about the experienced safety in mobility among older people.</w:t>
      </w:r>
      <w:r w:rsidR="00AB2A6C">
        <w:rPr>
          <w:rStyle w:val="FootnoteReference"/>
          <w:lang w:bidi="en-US"/>
        </w:rPr>
        <w:footnoteReference w:id="99"/>
      </w:r>
    </w:p>
    <w:p w14:paraId="5AC1BC73" w14:textId="7CBD4EAC" w:rsidR="00AC0EB8" w:rsidRDefault="00AC0EB8" w:rsidP="00F9312C">
      <w:pPr>
        <w:spacing w:line="360" w:lineRule="auto"/>
        <w:rPr>
          <w:lang w:bidi="en-US"/>
        </w:rPr>
      </w:pPr>
      <w:r w:rsidRPr="00AC0EB8">
        <w:rPr>
          <w:lang w:bidi="en-US"/>
        </w:rPr>
        <w:t>The survey indicates that 86% of people over 65 feel safe in traffic. 14% of the elderly mainly feel unsafe due to the behavio</w:t>
      </w:r>
      <w:r>
        <w:rPr>
          <w:lang w:bidi="en-US"/>
        </w:rPr>
        <w:t>u</w:t>
      </w:r>
      <w:r w:rsidRPr="00AC0EB8">
        <w:rPr>
          <w:lang w:bidi="en-US"/>
        </w:rPr>
        <w:t>r of other road users, their own health (</w:t>
      </w:r>
      <w:r w:rsidR="00E911E4">
        <w:rPr>
          <w:lang w:bidi="en-US"/>
        </w:rPr>
        <w:t>e.g. because of a</w:t>
      </w:r>
      <w:r w:rsidRPr="00AC0EB8">
        <w:rPr>
          <w:lang w:bidi="en-US"/>
        </w:rPr>
        <w:t xml:space="preserve"> hearing impairment) or crowd</w:t>
      </w:r>
      <w:r w:rsidR="002F3BD6">
        <w:rPr>
          <w:lang w:bidi="en-US"/>
        </w:rPr>
        <w:t>ed</w:t>
      </w:r>
      <w:r>
        <w:rPr>
          <w:lang w:bidi="en-US"/>
        </w:rPr>
        <w:t xml:space="preserve"> streets</w:t>
      </w:r>
      <w:r w:rsidRPr="00AC0EB8">
        <w:rPr>
          <w:lang w:bidi="en-US"/>
        </w:rPr>
        <w:t xml:space="preserve">. Of the elderly </w:t>
      </w:r>
      <w:r>
        <w:rPr>
          <w:lang w:bidi="en-US"/>
        </w:rPr>
        <w:t>respondents</w:t>
      </w:r>
      <w:r w:rsidRPr="00AC0EB8">
        <w:rPr>
          <w:lang w:bidi="en-US"/>
        </w:rPr>
        <w:t>, 44% experienc</w:t>
      </w:r>
      <w:r w:rsidR="002F3BD6">
        <w:rPr>
          <w:lang w:bidi="en-US"/>
        </w:rPr>
        <w:t>ed restrictions in</w:t>
      </w:r>
      <w:r w:rsidRPr="00AC0EB8">
        <w:rPr>
          <w:lang w:bidi="en-US"/>
        </w:rPr>
        <w:t xml:space="preserve"> traffic</w:t>
      </w:r>
      <w:r w:rsidR="00E911E4">
        <w:rPr>
          <w:lang w:bidi="en-US"/>
        </w:rPr>
        <w:t>:</w:t>
      </w:r>
      <w:r w:rsidRPr="00AC0EB8">
        <w:rPr>
          <w:lang w:bidi="en-US"/>
        </w:rPr>
        <w:t xml:space="preserve"> </w:t>
      </w:r>
      <w:r w:rsidR="00E911E4">
        <w:rPr>
          <w:lang w:bidi="en-US"/>
        </w:rPr>
        <w:t>t</w:t>
      </w:r>
      <w:r w:rsidRPr="00AC0EB8">
        <w:rPr>
          <w:lang w:bidi="en-US"/>
        </w:rPr>
        <w:t xml:space="preserve">hey mention obstacles and irregularities on </w:t>
      </w:r>
      <w:r>
        <w:rPr>
          <w:lang w:bidi="en-US"/>
        </w:rPr>
        <w:t>pavements</w:t>
      </w:r>
      <w:r w:rsidRPr="00AC0EB8">
        <w:rPr>
          <w:lang w:bidi="en-US"/>
        </w:rPr>
        <w:t xml:space="preserve"> and cycle paths </w:t>
      </w:r>
      <w:r>
        <w:rPr>
          <w:lang w:bidi="en-US"/>
        </w:rPr>
        <w:t xml:space="preserve">such as </w:t>
      </w:r>
      <w:r w:rsidRPr="00AC0EB8">
        <w:rPr>
          <w:lang w:bidi="en-US"/>
        </w:rPr>
        <w:t xml:space="preserve">loose tiles and </w:t>
      </w:r>
      <w:r>
        <w:rPr>
          <w:lang w:bidi="en-US"/>
        </w:rPr>
        <w:t>steep kerbs</w:t>
      </w:r>
      <w:r w:rsidRPr="00AC0EB8">
        <w:rPr>
          <w:lang w:bidi="en-US"/>
        </w:rPr>
        <w:t>, lack of overview (at intersections) and the behavio</w:t>
      </w:r>
      <w:r>
        <w:rPr>
          <w:lang w:bidi="en-US"/>
        </w:rPr>
        <w:t>u</w:t>
      </w:r>
      <w:r w:rsidRPr="00AC0EB8">
        <w:rPr>
          <w:lang w:bidi="en-US"/>
        </w:rPr>
        <w:t>r of other road users.</w:t>
      </w:r>
      <w:r>
        <w:rPr>
          <w:lang w:bidi="en-US"/>
        </w:rPr>
        <w:t xml:space="preserve"> P</w:t>
      </w:r>
      <w:r w:rsidR="00AB2A6C">
        <w:rPr>
          <w:lang w:bidi="en-US"/>
        </w:rPr>
        <w:t>ro</w:t>
      </w:r>
      <w:r>
        <w:rPr>
          <w:lang w:bidi="en-US"/>
        </w:rPr>
        <w:t xml:space="preserve">fessionals </w:t>
      </w:r>
      <w:r w:rsidR="00AB2A6C">
        <w:rPr>
          <w:lang w:bidi="en-US"/>
        </w:rPr>
        <w:t xml:space="preserve">in the care sector (GPs, physiotherapists and </w:t>
      </w:r>
      <w:r w:rsidR="00AB2A6C" w:rsidRPr="00AB2A6C">
        <w:rPr>
          <w:lang w:bidi="en-US"/>
        </w:rPr>
        <w:t>occupational therapist</w:t>
      </w:r>
      <w:r w:rsidR="00AB2A6C">
        <w:rPr>
          <w:lang w:bidi="en-US"/>
        </w:rPr>
        <w:t xml:space="preserve">s) </w:t>
      </w:r>
      <w:r>
        <w:rPr>
          <w:lang w:bidi="en-US"/>
        </w:rPr>
        <w:t xml:space="preserve">were </w:t>
      </w:r>
      <w:r w:rsidR="00AB2A6C">
        <w:rPr>
          <w:lang w:bidi="en-US"/>
        </w:rPr>
        <w:t xml:space="preserve">also </w:t>
      </w:r>
      <w:r>
        <w:rPr>
          <w:lang w:bidi="en-US"/>
        </w:rPr>
        <w:t>interviewed</w:t>
      </w:r>
      <w:r w:rsidR="00AB2A6C">
        <w:rPr>
          <w:lang w:bidi="en-US"/>
        </w:rPr>
        <w:t>. They</w:t>
      </w:r>
      <w:r>
        <w:rPr>
          <w:lang w:bidi="en-US"/>
        </w:rPr>
        <w:t xml:space="preserve"> </w:t>
      </w:r>
      <w:r w:rsidR="00AB2A6C">
        <w:rPr>
          <w:lang w:bidi="en-US"/>
        </w:rPr>
        <w:t>indicated the need for more knowledge and information about various interventions, alternative modes of transport and road safety in their support for older people.</w:t>
      </w:r>
      <w:r>
        <w:rPr>
          <w:lang w:bidi="en-US"/>
        </w:rPr>
        <w:t xml:space="preserve"> </w:t>
      </w:r>
      <w:r w:rsidR="00AB2A6C">
        <w:rPr>
          <w:lang w:bidi="en-US"/>
        </w:rPr>
        <w:t xml:space="preserve">As a result, </w:t>
      </w:r>
      <w:r w:rsidR="002F3BD6">
        <w:rPr>
          <w:lang w:bidi="en-US"/>
        </w:rPr>
        <w:t xml:space="preserve">on </w:t>
      </w:r>
      <w:r w:rsidR="00AB2A6C">
        <w:rPr>
          <w:lang w:bidi="en-US"/>
        </w:rPr>
        <w:t xml:space="preserve">the website </w:t>
      </w:r>
      <w:r w:rsidR="008A5CD8">
        <w:rPr>
          <w:lang w:bidi="en-US"/>
        </w:rPr>
        <w:t>‘</w:t>
      </w:r>
      <w:proofErr w:type="spellStart"/>
      <w:r w:rsidR="00AB2A6C">
        <w:rPr>
          <w:lang w:bidi="en-US"/>
        </w:rPr>
        <w:t>Beter</w:t>
      </w:r>
      <w:proofErr w:type="spellEnd"/>
      <w:r w:rsidR="00AB2A6C">
        <w:rPr>
          <w:lang w:bidi="en-US"/>
        </w:rPr>
        <w:t xml:space="preserve"> Oud</w:t>
      </w:r>
      <w:r w:rsidR="008A5CD8">
        <w:rPr>
          <w:lang w:bidi="en-US"/>
        </w:rPr>
        <w:t>’</w:t>
      </w:r>
      <w:r w:rsidR="00AB2A6C">
        <w:rPr>
          <w:lang w:bidi="en-US"/>
        </w:rPr>
        <w:t xml:space="preserve"> (</w:t>
      </w:r>
      <w:r w:rsidR="00E911E4">
        <w:rPr>
          <w:lang w:bidi="en-US"/>
        </w:rPr>
        <w:t>‘</w:t>
      </w:r>
      <w:r w:rsidR="00AB2A6C" w:rsidRPr="002F3BD6">
        <w:rPr>
          <w:i/>
          <w:iCs/>
          <w:lang w:bidi="en-US"/>
        </w:rPr>
        <w:t>Better Old</w:t>
      </w:r>
      <w:r w:rsidR="00E911E4">
        <w:rPr>
          <w:i/>
          <w:iCs/>
          <w:lang w:bidi="en-US"/>
        </w:rPr>
        <w:t>’</w:t>
      </w:r>
      <w:r w:rsidR="00AB2A6C">
        <w:rPr>
          <w:lang w:bidi="en-US"/>
        </w:rPr>
        <w:t xml:space="preserve">) </w:t>
      </w:r>
      <w:r w:rsidR="002F3BD6">
        <w:rPr>
          <w:lang w:bidi="en-US"/>
        </w:rPr>
        <w:t>an informational page about mobility for the elderly was added.</w:t>
      </w:r>
      <w:r w:rsidR="002F3BD6">
        <w:rPr>
          <w:rStyle w:val="FootnoteReference"/>
          <w:lang w:bidi="en-US"/>
        </w:rPr>
        <w:footnoteReference w:id="100"/>
      </w:r>
    </w:p>
    <w:p w14:paraId="740218E9" w14:textId="5CC66654" w:rsidR="00250C32" w:rsidRDefault="00250C32" w:rsidP="00F9312C">
      <w:pPr>
        <w:spacing w:line="360" w:lineRule="auto"/>
      </w:pPr>
    </w:p>
    <w:p w14:paraId="520EE122" w14:textId="77777777" w:rsidR="009813C4" w:rsidRDefault="009813C4" w:rsidP="00F9312C">
      <w:pPr>
        <w:spacing w:line="360" w:lineRule="auto"/>
        <w:rPr>
          <w:b/>
          <w:bCs/>
        </w:rPr>
      </w:pPr>
      <w:r>
        <w:rPr>
          <w:b/>
          <w:bCs/>
        </w:rPr>
        <w:br w:type="page"/>
      </w:r>
    </w:p>
    <w:p w14:paraId="7009C49C" w14:textId="6B5C6155" w:rsidR="005F0C1F" w:rsidRPr="00F9312C" w:rsidRDefault="005F0C1F" w:rsidP="00F9312C">
      <w:pPr>
        <w:pStyle w:val="Heading3"/>
        <w:spacing w:line="360" w:lineRule="auto"/>
        <w:rPr>
          <w:b/>
          <w:bCs w:val="0"/>
        </w:rPr>
      </w:pPr>
      <w:r w:rsidRPr="00F9312C">
        <w:rPr>
          <w:b/>
          <w:bCs w:val="0"/>
        </w:rPr>
        <w:t>A4.2</w:t>
      </w:r>
      <w:r w:rsidR="00E614DE" w:rsidRPr="00F9312C">
        <w:rPr>
          <w:b/>
          <w:bCs w:val="0"/>
        </w:rPr>
        <w:t xml:space="preserve"> </w:t>
      </w:r>
      <w:r w:rsidRPr="00F9312C">
        <w:rPr>
          <w:b/>
          <w:bCs w:val="0"/>
        </w:rPr>
        <w:t>Transport</w:t>
      </w:r>
    </w:p>
    <w:p w14:paraId="1D37D299" w14:textId="77777777" w:rsidR="00E939A0" w:rsidRDefault="00E939A0" w:rsidP="00F9312C">
      <w:pPr>
        <w:spacing w:line="360" w:lineRule="auto"/>
        <w:ind w:firstLine="720"/>
      </w:pPr>
    </w:p>
    <w:p w14:paraId="41C884B1" w14:textId="0197018A" w:rsidR="00192E65" w:rsidRPr="007C53D8" w:rsidRDefault="00192E65" w:rsidP="00F9312C">
      <w:pPr>
        <w:spacing w:line="360" w:lineRule="auto"/>
        <w:ind w:left="66"/>
        <w:rPr>
          <w:b/>
          <w:bCs/>
        </w:rPr>
      </w:pPr>
      <w:r w:rsidRPr="007C53D8">
        <w:rPr>
          <w:b/>
          <w:bCs/>
        </w:rPr>
        <w:t>Current Legislative, Policy and Strategic Frameworks</w:t>
      </w:r>
    </w:p>
    <w:p w14:paraId="1922C953" w14:textId="2C271948" w:rsidR="00E939A0" w:rsidRPr="005C586C" w:rsidRDefault="005C586C" w:rsidP="00F9312C">
      <w:pPr>
        <w:spacing w:line="360" w:lineRule="auto"/>
        <w:rPr>
          <w:i/>
          <w:iCs/>
        </w:rPr>
      </w:pPr>
      <w:r w:rsidRPr="005C586C">
        <w:rPr>
          <w:i/>
          <w:iCs/>
        </w:rPr>
        <w:t>Legislation</w:t>
      </w:r>
    </w:p>
    <w:p w14:paraId="3A13B3BC" w14:textId="47754861" w:rsidR="0097493B" w:rsidRDefault="00954636" w:rsidP="00F9312C">
      <w:pPr>
        <w:spacing w:line="360" w:lineRule="auto"/>
        <w:rPr>
          <w:szCs w:val="24"/>
        </w:rPr>
      </w:pPr>
      <w:r>
        <w:t>In 2011, the Act on Equal Treatment on grounds of disability/chronic illness was amended for the purpose of including public transport</w:t>
      </w:r>
      <w:r w:rsidR="000C3AE8">
        <w:t>. All providers of public transport were required to gradually provide for accessible vehicles, buses, trams, metros and trains.</w:t>
      </w:r>
      <w:r w:rsidR="000C3AE8">
        <w:rPr>
          <w:rStyle w:val="FootnoteReference"/>
        </w:rPr>
        <w:footnoteReference w:id="101"/>
      </w:r>
      <w:r w:rsidR="000C3AE8">
        <w:t xml:space="preserve"> </w:t>
      </w:r>
      <w:r w:rsidR="000C3AE8" w:rsidRPr="00A57082">
        <w:t>Responsible local, regional and national governmental departments were required to provide for a gradual adaptation of stops and stations.</w:t>
      </w:r>
      <w:r w:rsidR="003B3981">
        <w:t xml:space="preserve"> </w:t>
      </w:r>
      <w:r w:rsidR="003B3981" w:rsidRPr="003B3981">
        <w:t>The specific requirements were laid down in the</w:t>
      </w:r>
      <w:r w:rsidR="005D7CCC">
        <w:t xml:space="preserve"> </w:t>
      </w:r>
      <w:proofErr w:type="spellStart"/>
      <w:r w:rsidR="005D7CCC">
        <w:t>Besluit</w:t>
      </w:r>
      <w:proofErr w:type="spellEnd"/>
      <w:r w:rsidR="005D7CCC">
        <w:t xml:space="preserve"> </w:t>
      </w:r>
      <w:proofErr w:type="spellStart"/>
      <w:r w:rsidR="005D7CCC">
        <w:t>toegankelijkheid</w:t>
      </w:r>
      <w:proofErr w:type="spellEnd"/>
      <w:r w:rsidR="005D7CCC">
        <w:t xml:space="preserve"> </w:t>
      </w:r>
      <w:proofErr w:type="spellStart"/>
      <w:r w:rsidR="005D7CCC">
        <w:t>openbaar</w:t>
      </w:r>
      <w:proofErr w:type="spellEnd"/>
      <w:r w:rsidR="005D7CCC">
        <w:t xml:space="preserve"> </w:t>
      </w:r>
      <w:proofErr w:type="spellStart"/>
      <w:r w:rsidR="005D7CCC">
        <w:t>vervoer</w:t>
      </w:r>
      <w:proofErr w:type="spellEnd"/>
      <w:r w:rsidR="005D7CCC">
        <w:t xml:space="preserve"> (‘</w:t>
      </w:r>
      <w:r w:rsidR="00D47303" w:rsidRPr="005D7CCC">
        <w:rPr>
          <w:i/>
          <w:iCs/>
          <w:szCs w:val="24"/>
        </w:rPr>
        <w:t>Decree on accessibility of public transport</w:t>
      </w:r>
      <w:r w:rsidR="005D7CCC">
        <w:rPr>
          <w:szCs w:val="24"/>
        </w:rPr>
        <w:t xml:space="preserve">’) </w:t>
      </w:r>
      <w:r w:rsidR="00D47303">
        <w:rPr>
          <w:rStyle w:val="FootnoteReference"/>
        </w:rPr>
        <w:footnoteReference w:id="102"/>
      </w:r>
      <w:r w:rsidR="003B3981" w:rsidRPr="003B3981">
        <w:t xml:space="preserve"> and </w:t>
      </w:r>
      <w:r w:rsidR="0097493B">
        <w:t xml:space="preserve">in </w:t>
      </w:r>
      <w:r w:rsidR="003B3981" w:rsidRPr="003B3981">
        <w:t>the</w:t>
      </w:r>
      <w:r w:rsidR="00A57082">
        <w:t xml:space="preserve"> </w:t>
      </w:r>
      <w:r w:rsidR="00A57082" w:rsidRPr="00A57082">
        <w:rPr>
          <w:szCs w:val="24"/>
        </w:rPr>
        <w:t>Regulation regarding the accessibility of public transport</w:t>
      </w:r>
      <w:r w:rsidR="00A57082">
        <w:rPr>
          <w:szCs w:val="24"/>
        </w:rPr>
        <w:t>.</w:t>
      </w:r>
      <w:r w:rsidR="00A57082">
        <w:rPr>
          <w:rStyle w:val="FootnoteReference"/>
        </w:rPr>
        <w:footnoteReference w:id="103"/>
      </w:r>
      <w:r w:rsidR="00A57082">
        <w:rPr>
          <w:szCs w:val="24"/>
        </w:rPr>
        <w:t xml:space="preserve"> </w:t>
      </w:r>
    </w:p>
    <w:p w14:paraId="73E7D1D0" w14:textId="226BE35B" w:rsidR="00954636" w:rsidRDefault="00A57082" w:rsidP="00F9312C">
      <w:pPr>
        <w:spacing w:line="360" w:lineRule="auto"/>
      </w:pPr>
      <w:r>
        <w:rPr>
          <w:szCs w:val="24"/>
        </w:rPr>
        <w:t xml:space="preserve">The Decree requires providers of public transport services, as well as public authorities to provide for adjustments </w:t>
      </w:r>
      <w:r w:rsidR="0097493B">
        <w:rPr>
          <w:szCs w:val="24"/>
        </w:rPr>
        <w:t>‘</w:t>
      </w:r>
      <w:r w:rsidRPr="00A57082">
        <w:rPr>
          <w:szCs w:val="24"/>
        </w:rPr>
        <w:t>to the level of unobstructed use of public transport that is at least necessary for p</w:t>
      </w:r>
      <w:r w:rsidR="0097493B">
        <w:rPr>
          <w:szCs w:val="24"/>
        </w:rPr>
        <w:t>ersons</w:t>
      </w:r>
      <w:r w:rsidRPr="00A57082">
        <w:rPr>
          <w:szCs w:val="24"/>
        </w:rPr>
        <w:t xml:space="preserve"> with a disability </w:t>
      </w:r>
      <w:r w:rsidR="0097493B">
        <w:rPr>
          <w:szCs w:val="24"/>
        </w:rPr>
        <w:t>to</w:t>
      </w:r>
      <w:r w:rsidRPr="00A57082">
        <w:rPr>
          <w:szCs w:val="24"/>
        </w:rPr>
        <w:t xml:space="preserve"> move independently in society, with or without help or with personal assistance.</w:t>
      </w:r>
      <w:r w:rsidR="0097493B">
        <w:rPr>
          <w:szCs w:val="24"/>
        </w:rPr>
        <w:t>’</w:t>
      </w:r>
      <w:r w:rsidR="0097493B">
        <w:rPr>
          <w:rStyle w:val="FootnoteReference"/>
          <w:szCs w:val="24"/>
        </w:rPr>
        <w:footnoteReference w:id="104"/>
      </w:r>
      <w:r w:rsidR="003B3981">
        <w:t xml:space="preserve"> </w:t>
      </w:r>
      <w:r w:rsidR="0097493B">
        <w:t>Adjustments are defined as ‘</w:t>
      </w:r>
      <w:r w:rsidR="0097493B" w:rsidRPr="0097493B">
        <w:t>measures or facilities with regard to entering, using or leaving public transport and associated stops and stations, as well as organizing the use of that transport, for pe</w:t>
      </w:r>
      <w:r w:rsidR="0097493B">
        <w:t xml:space="preserve">rsons </w:t>
      </w:r>
      <w:r w:rsidR="0097493B" w:rsidRPr="0097493B">
        <w:t>with a disability</w:t>
      </w:r>
      <w:r w:rsidR="0097493B">
        <w:t>’.</w:t>
      </w:r>
      <w:r w:rsidR="0097493B">
        <w:rPr>
          <w:rStyle w:val="FootnoteReference"/>
        </w:rPr>
        <w:footnoteReference w:id="105"/>
      </w:r>
      <w:r w:rsidR="0097493B">
        <w:t xml:space="preserve"> The Decree</w:t>
      </w:r>
      <w:r w:rsidR="007A09C6">
        <w:t xml:space="preserve"> lays down rules</w:t>
      </w:r>
      <w:r w:rsidR="0097493B">
        <w:t xml:space="preserve"> </w:t>
      </w:r>
      <w:r w:rsidR="007A09C6">
        <w:t>that</w:t>
      </w:r>
      <w:r w:rsidR="0097493B">
        <w:t xml:space="preserve"> vehicles (such as buses, trams, metros and trains), stops and stations and transport information</w:t>
      </w:r>
      <w:r w:rsidR="007A09C6">
        <w:t xml:space="preserve"> are accessible</w:t>
      </w:r>
      <w:r w:rsidR="0097493B">
        <w:t>.</w:t>
      </w:r>
    </w:p>
    <w:p w14:paraId="21C92257" w14:textId="332200D0" w:rsidR="0097493B" w:rsidRDefault="0097493B" w:rsidP="00F9312C">
      <w:pPr>
        <w:spacing w:line="360" w:lineRule="auto"/>
        <w:rPr>
          <w:szCs w:val="24"/>
        </w:rPr>
      </w:pPr>
      <w:r>
        <w:t xml:space="preserve">The Regulation </w:t>
      </w:r>
      <w:r w:rsidRPr="00A57082">
        <w:rPr>
          <w:szCs w:val="24"/>
        </w:rPr>
        <w:t>regarding the accessibility of public transport</w:t>
      </w:r>
      <w:r>
        <w:rPr>
          <w:szCs w:val="24"/>
        </w:rPr>
        <w:t xml:space="preserve"> elaborates </w:t>
      </w:r>
      <w:r w:rsidR="007A09C6">
        <w:rPr>
          <w:szCs w:val="24"/>
        </w:rPr>
        <w:t xml:space="preserve">on </w:t>
      </w:r>
      <w:r>
        <w:rPr>
          <w:szCs w:val="24"/>
        </w:rPr>
        <w:t xml:space="preserve">the requirements </w:t>
      </w:r>
      <w:r w:rsidR="007A09C6">
        <w:rPr>
          <w:szCs w:val="24"/>
        </w:rPr>
        <w:t>of the Decree and gives rules about the accessibility of buses, trams, metros and trains, as well as stops and stations.</w:t>
      </w:r>
    </w:p>
    <w:p w14:paraId="282D9395" w14:textId="1E88F6B0" w:rsidR="00721B62" w:rsidRDefault="00721B62" w:rsidP="00F9312C">
      <w:pPr>
        <w:spacing w:line="360" w:lineRule="auto"/>
        <w:rPr>
          <w:szCs w:val="24"/>
        </w:rPr>
      </w:pPr>
      <w:r>
        <w:rPr>
          <w:szCs w:val="24"/>
        </w:rPr>
        <w:t xml:space="preserve">However, it must be noted that the rules do not apply to all forms of public transport. Smaller buses, with a maximum number of </w:t>
      </w:r>
      <w:r w:rsidRPr="009A7BE1">
        <w:rPr>
          <w:szCs w:val="24"/>
        </w:rPr>
        <w:t>7 passengers</w:t>
      </w:r>
      <w:r w:rsidR="009A7BE1">
        <w:rPr>
          <w:szCs w:val="24"/>
        </w:rPr>
        <w:t>,</w:t>
      </w:r>
      <w:r>
        <w:rPr>
          <w:szCs w:val="24"/>
        </w:rPr>
        <w:t xml:space="preserve"> are exempted from the regulations. In a case submitted before the NIHR, a traveller in a</w:t>
      </w:r>
      <w:r w:rsidR="00796746">
        <w:rPr>
          <w:szCs w:val="24"/>
        </w:rPr>
        <w:t>n electric</w:t>
      </w:r>
      <w:r>
        <w:rPr>
          <w:szCs w:val="24"/>
        </w:rPr>
        <w:t xml:space="preserve"> wheelchair complained that he was not able </w:t>
      </w:r>
      <w:r w:rsidR="00796746">
        <w:rPr>
          <w:szCs w:val="24"/>
        </w:rPr>
        <w:t>use</w:t>
      </w:r>
      <w:r>
        <w:rPr>
          <w:szCs w:val="24"/>
        </w:rPr>
        <w:t xml:space="preserve"> a local neighbourhood bus. The small bus had no facilities to accommodate wheelchairs and the service was provided by volunteers. The NIHR </w:t>
      </w:r>
      <w:r w:rsidR="009C31BC">
        <w:rPr>
          <w:szCs w:val="24"/>
        </w:rPr>
        <w:t>consider</w:t>
      </w:r>
      <w:r w:rsidR="00796746">
        <w:rPr>
          <w:szCs w:val="24"/>
        </w:rPr>
        <w:t>ed</w:t>
      </w:r>
      <w:r>
        <w:rPr>
          <w:szCs w:val="24"/>
        </w:rPr>
        <w:t xml:space="preserve"> that the </w:t>
      </w:r>
      <w:r w:rsidR="00796746">
        <w:rPr>
          <w:szCs w:val="24"/>
        </w:rPr>
        <w:t>vehicle the bus company</w:t>
      </w:r>
      <w:r w:rsidR="00CB3BFA">
        <w:rPr>
          <w:szCs w:val="24"/>
        </w:rPr>
        <w:t xml:space="preserve"> </w:t>
      </w:r>
      <w:r w:rsidR="00CB3BFA" w:rsidRPr="00CB3BFA">
        <w:rPr>
          <w:szCs w:val="24"/>
        </w:rPr>
        <w:t>put into operation</w:t>
      </w:r>
      <w:r w:rsidR="00796746">
        <w:rPr>
          <w:szCs w:val="24"/>
        </w:rPr>
        <w:t xml:space="preserve">, must be defined as a car. Cars are omitted from the scope of the Act on Equal Treatment and </w:t>
      </w:r>
      <w:r w:rsidR="00CB3BFA">
        <w:rPr>
          <w:szCs w:val="24"/>
        </w:rPr>
        <w:t xml:space="preserve">the </w:t>
      </w:r>
      <w:r w:rsidR="00796746">
        <w:rPr>
          <w:szCs w:val="24"/>
        </w:rPr>
        <w:t>underlying legislation. The refusal to transport the man could not be termed as discrimination.</w:t>
      </w:r>
      <w:r w:rsidR="00796746">
        <w:rPr>
          <w:rStyle w:val="FootnoteReference"/>
          <w:szCs w:val="24"/>
        </w:rPr>
        <w:footnoteReference w:id="106"/>
      </w:r>
      <w:r w:rsidR="00796746">
        <w:rPr>
          <w:szCs w:val="24"/>
        </w:rPr>
        <w:t xml:space="preserve">  </w:t>
      </w:r>
    </w:p>
    <w:p w14:paraId="6A382A9B" w14:textId="235C2A98" w:rsidR="007A09C6" w:rsidRDefault="007A09C6" w:rsidP="00F9312C">
      <w:pPr>
        <w:spacing w:line="360" w:lineRule="auto"/>
        <w:rPr>
          <w:szCs w:val="24"/>
        </w:rPr>
      </w:pPr>
    </w:p>
    <w:p w14:paraId="21DAD4F9" w14:textId="5A40278B" w:rsidR="00E375AE" w:rsidRPr="00E375AE" w:rsidRDefault="00E375AE" w:rsidP="00F9312C">
      <w:pPr>
        <w:spacing w:line="360" w:lineRule="auto"/>
        <w:rPr>
          <w:i/>
          <w:iCs/>
          <w:szCs w:val="24"/>
        </w:rPr>
      </w:pPr>
      <w:r w:rsidRPr="00E375AE">
        <w:rPr>
          <w:i/>
          <w:iCs/>
          <w:szCs w:val="24"/>
        </w:rPr>
        <w:t>Policy</w:t>
      </w:r>
    </w:p>
    <w:p w14:paraId="465E4222" w14:textId="49B45FD5" w:rsidR="00642698" w:rsidRDefault="007A09C6" w:rsidP="00F9312C">
      <w:pPr>
        <w:spacing w:line="360" w:lineRule="auto"/>
        <w:rPr>
          <w:szCs w:val="24"/>
        </w:rPr>
      </w:pPr>
      <w:r>
        <w:rPr>
          <w:szCs w:val="24"/>
        </w:rPr>
        <w:t>As far as access</w:t>
      </w:r>
      <w:r w:rsidR="005C586C">
        <w:rPr>
          <w:szCs w:val="24"/>
        </w:rPr>
        <w:t xml:space="preserve"> to public transport is concerned, </w:t>
      </w:r>
      <w:r w:rsidR="00963B6A">
        <w:rPr>
          <w:szCs w:val="24"/>
        </w:rPr>
        <w:t xml:space="preserve">46% of the </w:t>
      </w:r>
      <w:r>
        <w:rPr>
          <w:szCs w:val="24"/>
        </w:rPr>
        <w:t xml:space="preserve">existing bus stops </w:t>
      </w:r>
      <w:r w:rsidR="00642698">
        <w:rPr>
          <w:szCs w:val="24"/>
        </w:rPr>
        <w:t xml:space="preserve">in the country </w:t>
      </w:r>
      <w:r>
        <w:rPr>
          <w:szCs w:val="24"/>
        </w:rPr>
        <w:t xml:space="preserve">have been made accessible by </w:t>
      </w:r>
      <w:r w:rsidR="00642698">
        <w:rPr>
          <w:szCs w:val="24"/>
        </w:rPr>
        <w:t>increasing the height of the platform so as to allow wheelchairs and others to enter from an even level.</w:t>
      </w:r>
      <w:r w:rsidR="00963B6A">
        <w:rPr>
          <w:rStyle w:val="FootnoteReference"/>
          <w:szCs w:val="24"/>
        </w:rPr>
        <w:footnoteReference w:id="107"/>
      </w:r>
      <w:r w:rsidR="00642698">
        <w:rPr>
          <w:szCs w:val="24"/>
        </w:rPr>
        <w:t xml:space="preserve"> </w:t>
      </w:r>
      <w:r w:rsidR="00963B6A">
        <w:rPr>
          <w:szCs w:val="24"/>
        </w:rPr>
        <w:t>The percentage of accessible</w:t>
      </w:r>
      <w:r w:rsidR="00642698">
        <w:rPr>
          <w:szCs w:val="24"/>
        </w:rPr>
        <w:t xml:space="preserve"> tram stops</w:t>
      </w:r>
      <w:r w:rsidR="00963B6A">
        <w:rPr>
          <w:szCs w:val="24"/>
        </w:rPr>
        <w:t xml:space="preserve"> differs from 46% (Amsterdam) to 100% (Utrecht).</w:t>
      </w:r>
      <w:r w:rsidR="00642698">
        <w:rPr>
          <w:szCs w:val="24"/>
        </w:rPr>
        <w:t xml:space="preserve"> </w:t>
      </w:r>
      <w:r w:rsidR="00963B6A">
        <w:rPr>
          <w:szCs w:val="24"/>
        </w:rPr>
        <w:t>M</w:t>
      </w:r>
      <w:r w:rsidR="00642698">
        <w:rPr>
          <w:szCs w:val="24"/>
        </w:rPr>
        <w:t xml:space="preserve">etro </w:t>
      </w:r>
      <w:r w:rsidR="00963B6A">
        <w:rPr>
          <w:szCs w:val="24"/>
        </w:rPr>
        <w:t>lines, which only exist in Amsterdam and the region Rotterdam/The Hague, are fully accessible.</w:t>
      </w:r>
      <w:r w:rsidR="00963B6A">
        <w:rPr>
          <w:rStyle w:val="FootnoteReference"/>
          <w:szCs w:val="24"/>
        </w:rPr>
        <w:footnoteReference w:id="108"/>
      </w:r>
    </w:p>
    <w:p w14:paraId="64DCF813" w14:textId="3E7770B7" w:rsidR="00A92B41" w:rsidRDefault="00642698" w:rsidP="00F9312C">
      <w:pPr>
        <w:spacing w:line="360" w:lineRule="auto"/>
        <w:rPr>
          <w:szCs w:val="24"/>
        </w:rPr>
      </w:pPr>
      <w:proofErr w:type="spellStart"/>
      <w:r>
        <w:rPr>
          <w:szCs w:val="24"/>
        </w:rPr>
        <w:t>Prorail</w:t>
      </w:r>
      <w:proofErr w:type="spellEnd"/>
      <w:r>
        <w:rPr>
          <w:szCs w:val="24"/>
        </w:rPr>
        <w:t>, the</w:t>
      </w:r>
      <w:r w:rsidR="00FE0B6A">
        <w:rPr>
          <w:szCs w:val="24"/>
        </w:rPr>
        <w:t xml:space="preserve"> </w:t>
      </w:r>
      <w:r w:rsidR="009813C4">
        <w:rPr>
          <w:szCs w:val="24"/>
        </w:rPr>
        <w:t xml:space="preserve">public </w:t>
      </w:r>
      <w:r w:rsidR="00FE0B6A">
        <w:rPr>
          <w:szCs w:val="24"/>
        </w:rPr>
        <w:t>company that</w:t>
      </w:r>
      <w:r>
        <w:rPr>
          <w:szCs w:val="24"/>
        </w:rPr>
        <w:t xml:space="preserve"> own</w:t>
      </w:r>
      <w:r w:rsidR="00FE0B6A">
        <w:rPr>
          <w:szCs w:val="24"/>
        </w:rPr>
        <w:t>s</w:t>
      </w:r>
      <w:r>
        <w:rPr>
          <w:szCs w:val="24"/>
        </w:rPr>
        <w:t xml:space="preserve"> all </w:t>
      </w:r>
      <w:proofErr w:type="gramStart"/>
      <w:r w:rsidR="00A92B41">
        <w:rPr>
          <w:szCs w:val="24"/>
        </w:rPr>
        <w:t xml:space="preserve">410 </w:t>
      </w:r>
      <w:r>
        <w:rPr>
          <w:szCs w:val="24"/>
        </w:rPr>
        <w:t>railway</w:t>
      </w:r>
      <w:proofErr w:type="gramEnd"/>
      <w:r>
        <w:rPr>
          <w:szCs w:val="24"/>
        </w:rPr>
        <w:t xml:space="preserve"> stations in the Netherlands, has been working on the accessibility of the stations.</w:t>
      </w:r>
      <w:r w:rsidR="00FE0B6A">
        <w:rPr>
          <w:rStyle w:val="FootnoteReference"/>
          <w:szCs w:val="24"/>
        </w:rPr>
        <w:footnoteReference w:id="109"/>
      </w:r>
      <w:r>
        <w:rPr>
          <w:szCs w:val="24"/>
        </w:rPr>
        <w:t xml:space="preserve"> </w:t>
      </w:r>
      <w:r w:rsidR="00EB20A7">
        <w:rPr>
          <w:szCs w:val="24"/>
        </w:rPr>
        <w:t xml:space="preserve">The company </w:t>
      </w:r>
      <w:r w:rsidR="005C586C">
        <w:rPr>
          <w:szCs w:val="24"/>
        </w:rPr>
        <w:t>states</w:t>
      </w:r>
      <w:r w:rsidR="00EB20A7">
        <w:rPr>
          <w:szCs w:val="24"/>
        </w:rPr>
        <w:t xml:space="preserve"> that since</w:t>
      </w:r>
      <w:r w:rsidR="005C586C">
        <w:rPr>
          <w:szCs w:val="24"/>
        </w:rPr>
        <w:t xml:space="preserve"> dedicated works started in</w:t>
      </w:r>
      <w:r w:rsidR="00EB20A7">
        <w:rPr>
          <w:szCs w:val="24"/>
        </w:rPr>
        <w:t xml:space="preserve"> 2017, all railway stations are adapted to travellers with visual impairments.</w:t>
      </w:r>
      <w:r w:rsidR="00EB20A7">
        <w:rPr>
          <w:rStyle w:val="FootnoteReference"/>
          <w:szCs w:val="24"/>
        </w:rPr>
        <w:footnoteReference w:id="110"/>
      </w:r>
      <w:r w:rsidR="00EB20A7">
        <w:rPr>
          <w:szCs w:val="24"/>
        </w:rPr>
        <w:t xml:space="preserve"> Guiding lines were </w:t>
      </w:r>
      <w:r w:rsidR="005C586C">
        <w:rPr>
          <w:szCs w:val="24"/>
        </w:rPr>
        <w:t>laid out</w:t>
      </w:r>
      <w:r w:rsidR="00E939A0">
        <w:rPr>
          <w:szCs w:val="24"/>
        </w:rPr>
        <w:t>, obstacles on walking routes were removed, braille signs indicating the platform number were attached to handrails and platform edges were painted in contrasting colours.</w:t>
      </w:r>
      <w:r w:rsidR="00E939A0">
        <w:rPr>
          <w:rStyle w:val="FootnoteReference"/>
          <w:szCs w:val="24"/>
        </w:rPr>
        <w:footnoteReference w:id="111"/>
      </w:r>
      <w:r w:rsidR="00E939A0">
        <w:rPr>
          <w:szCs w:val="24"/>
        </w:rPr>
        <w:t xml:space="preserve"> </w:t>
      </w:r>
      <w:r w:rsidR="00FE0B6A">
        <w:rPr>
          <w:szCs w:val="24"/>
        </w:rPr>
        <w:t xml:space="preserve">The objective is that in 2022, 90% of all passengers with a physical or sensory disability can travel to and from a railway station independently. </w:t>
      </w:r>
      <w:proofErr w:type="spellStart"/>
      <w:r w:rsidR="005C586C">
        <w:rPr>
          <w:szCs w:val="24"/>
        </w:rPr>
        <w:t>Prorail</w:t>
      </w:r>
      <w:proofErr w:type="spellEnd"/>
      <w:r w:rsidR="00EB20A7">
        <w:rPr>
          <w:szCs w:val="24"/>
        </w:rPr>
        <w:t xml:space="preserve"> aims</w:t>
      </w:r>
      <w:r w:rsidR="00FE0B6A">
        <w:rPr>
          <w:szCs w:val="24"/>
        </w:rPr>
        <w:t xml:space="preserve"> to make all railway stations accessible in 2030. </w:t>
      </w:r>
      <w:r w:rsidR="005C586C">
        <w:rPr>
          <w:szCs w:val="24"/>
        </w:rPr>
        <w:t xml:space="preserve">The </w:t>
      </w:r>
      <w:proofErr w:type="spellStart"/>
      <w:r w:rsidR="009813C4">
        <w:rPr>
          <w:szCs w:val="24"/>
        </w:rPr>
        <w:t>Oogvereniging</w:t>
      </w:r>
      <w:proofErr w:type="spellEnd"/>
      <w:r w:rsidR="009813C4">
        <w:rPr>
          <w:szCs w:val="24"/>
        </w:rPr>
        <w:t xml:space="preserve"> (‘</w:t>
      </w:r>
      <w:r w:rsidR="005C586C" w:rsidRPr="009813C4">
        <w:rPr>
          <w:i/>
          <w:iCs/>
          <w:szCs w:val="24"/>
        </w:rPr>
        <w:t>Eye Association Netherlands</w:t>
      </w:r>
      <w:r w:rsidR="009813C4">
        <w:rPr>
          <w:szCs w:val="24"/>
        </w:rPr>
        <w:t>’)</w:t>
      </w:r>
      <w:r w:rsidR="005C586C">
        <w:rPr>
          <w:szCs w:val="24"/>
        </w:rPr>
        <w:t>,</w:t>
      </w:r>
      <w:r w:rsidR="001052EA">
        <w:rPr>
          <w:rStyle w:val="FootnoteReference"/>
          <w:szCs w:val="24"/>
        </w:rPr>
        <w:footnoteReference w:id="112"/>
      </w:r>
      <w:r w:rsidR="005C586C">
        <w:rPr>
          <w:szCs w:val="24"/>
        </w:rPr>
        <w:t xml:space="preserve"> a DPO,</w:t>
      </w:r>
      <w:r w:rsidR="00FE0B6A">
        <w:rPr>
          <w:szCs w:val="24"/>
        </w:rPr>
        <w:t xml:space="preserve"> </w:t>
      </w:r>
      <w:r w:rsidR="005C586C">
        <w:rPr>
          <w:szCs w:val="24"/>
        </w:rPr>
        <w:t xml:space="preserve">became a partner in the project with the </w:t>
      </w:r>
      <w:r w:rsidR="001052EA">
        <w:rPr>
          <w:szCs w:val="24"/>
        </w:rPr>
        <w:t>objective</w:t>
      </w:r>
      <w:r w:rsidR="005C586C">
        <w:rPr>
          <w:szCs w:val="24"/>
        </w:rPr>
        <w:t xml:space="preserve"> to actively </w:t>
      </w:r>
      <w:r w:rsidR="00FE0B6A">
        <w:rPr>
          <w:szCs w:val="24"/>
        </w:rPr>
        <w:t>involve</w:t>
      </w:r>
      <w:r w:rsidR="005C586C">
        <w:rPr>
          <w:szCs w:val="24"/>
        </w:rPr>
        <w:t xml:space="preserve"> persons with visual impairments </w:t>
      </w:r>
      <w:r w:rsidR="00FE0B6A">
        <w:rPr>
          <w:szCs w:val="24"/>
        </w:rPr>
        <w:t xml:space="preserve">in the design and </w:t>
      </w:r>
      <w:r w:rsidR="001052EA">
        <w:rPr>
          <w:szCs w:val="24"/>
        </w:rPr>
        <w:t>application of the adjustments</w:t>
      </w:r>
      <w:r w:rsidR="00FE0B6A">
        <w:rPr>
          <w:szCs w:val="24"/>
        </w:rPr>
        <w:t>.</w:t>
      </w:r>
      <w:r w:rsidR="005C586C">
        <w:rPr>
          <w:rStyle w:val="FootnoteReference"/>
          <w:szCs w:val="24"/>
        </w:rPr>
        <w:footnoteReference w:id="113"/>
      </w:r>
    </w:p>
    <w:p w14:paraId="37D2BC75" w14:textId="3794DFBB" w:rsidR="00642698" w:rsidRDefault="00A92B41" w:rsidP="00F9312C">
      <w:pPr>
        <w:spacing w:line="360" w:lineRule="auto"/>
        <w:rPr>
          <w:szCs w:val="24"/>
        </w:rPr>
      </w:pPr>
      <w:r>
        <w:rPr>
          <w:szCs w:val="24"/>
        </w:rPr>
        <w:t>Assistance for train travel for persons with disabilities is possible from 125 railway stations. The Netherlands Railways (</w:t>
      </w:r>
      <w:proofErr w:type="spellStart"/>
      <w:r w:rsidRPr="00A92B41">
        <w:rPr>
          <w:i/>
          <w:iCs/>
          <w:szCs w:val="24"/>
        </w:rPr>
        <w:t>Nederlands</w:t>
      </w:r>
      <w:r>
        <w:rPr>
          <w:i/>
          <w:iCs/>
          <w:szCs w:val="24"/>
        </w:rPr>
        <w:t>e</w:t>
      </w:r>
      <w:proofErr w:type="spellEnd"/>
      <w:r w:rsidRPr="00A92B41">
        <w:rPr>
          <w:i/>
          <w:iCs/>
          <w:szCs w:val="24"/>
        </w:rPr>
        <w:t xml:space="preserve"> </w:t>
      </w:r>
      <w:proofErr w:type="spellStart"/>
      <w:r w:rsidRPr="00A92B41">
        <w:rPr>
          <w:i/>
          <w:iCs/>
          <w:szCs w:val="24"/>
        </w:rPr>
        <w:t>Spoorwegen</w:t>
      </w:r>
      <w:proofErr w:type="spellEnd"/>
      <w:r w:rsidRPr="00A92B41">
        <w:rPr>
          <w:i/>
          <w:iCs/>
          <w:szCs w:val="24"/>
        </w:rPr>
        <w:t xml:space="preserve"> </w:t>
      </w:r>
      <w:r w:rsidRPr="00A92B41">
        <w:rPr>
          <w:szCs w:val="24"/>
        </w:rPr>
        <w:t>or</w:t>
      </w:r>
      <w:r w:rsidRPr="00A92B41">
        <w:rPr>
          <w:i/>
          <w:iCs/>
          <w:szCs w:val="24"/>
        </w:rPr>
        <w:t xml:space="preserve"> NS</w:t>
      </w:r>
      <w:r>
        <w:rPr>
          <w:szCs w:val="24"/>
        </w:rPr>
        <w:t xml:space="preserve">), the largest, state-owned </w:t>
      </w:r>
      <w:r w:rsidR="00AF052B">
        <w:rPr>
          <w:szCs w:val="24"/>
        </w:rPr>
        <w:t>railway</w:t>
      </w:r>
      <w:r>
        <w:rPr>
          <w:szCs w:val="24"/>
        </w:rPr>
        <w:t xml:space="preserve"> company, provides access assistance on request.</w:t>
      </w:r>
      <w:r>
        <w:rPr>
          <w:rStyle w:val="FootnoteReference"/>
          <w:szCs w:val="24"/>
        </w:rPr>
        <w:footnoteReference w:id="114"/>
      </w:r>
      <w:r>
        <w:rPr>
          <w:szCs w:val="24"/>
        </w:rPr>
        <w:t xml:space="preserve"> Not all trains are independently accessible and the assistance service is still important.</w:t>
      </w:r>
    </w:p>
    <w:p w14:paraId="67F463C9" w14:textId="46D5C0B4" w:rsidR="003F6678" w:rsidRDefault="003F6678" w:rsidP="00F9312C">
      <w:pPr>
        <w:spacing w:line="360" w:lineRule="auto"/>
        <w:rPr>
          <w:szCs w:val="24"/>
        </w:rPr>
      </w:pPr>
    </w:p>
    <w:p w14:paraId="4787209E" w14:textId="496CD148" w:rsidR="00E939A0" w:rsidRPr="00642698" w:rsidRDefault="00E939A0" w:rsidP="00F9312C">
      <w:pPr>
        <w:spacing w:line="360" w:lineRule="auto"/>
        <w:rPr>
          <w:szCs w:val="24"/>
        </w:rPr>
      </w:pPr>
      <w:r>
        <w:rPr>
          <w:szCs w:val="24"/>
        </w:rPr>
        <w:t xml:space="preserve">In a </w:t>
      </w:r>
      <w:r w:rsidR="003F6678">
        <w:rPr>
          <w:szCs w:val="24"/>
        </w:rPr>
        <w:t xml:space="preserve">policy </w:t>
      </w:r>
      <w:r>
        <w:rPr>
          <w:szCs w:val="24"/>
        </w:rPr>
        <w:t>document</w:t>
      </w:r>
      <w:r w:rsidR="002B0B9C">
        <w:rPr>
          <w:szCs w:val="24"/>
        </w:rPr>
        <w:t xml:space="preserve"> of 2019</w:t>
      </w:r>
      <w:r w:rsidR="003F6678">
        <w:rPr>
          <w:szCs w:val="24"/>
        </w:rPr>
        <w:t xml:space="preserve">, the </w:t>
      </w:r>
      <w:r w:rsidR="002B0B9C">
        <w:rPr>
          <w:szCs w:val="24"/>
        </w:rPr>
        <w:t>M</w:t>
      </w:r>
      <w:r w:rsidR="003F6678">
        <w:rPr>
          <w:szCs w:val="24"/>
        </w:rPr>
        <w:t>inistry of Infrastructure and Water Management</w:t>
      </w:r>
      <w:r w:rsidR="00AF052B">
        <w:rPr>
          <w:szCs w:val="24"/>
        </w:rPr>
        <w:t xml:space="preserve"> provides an outlook </w:t>
      </w:r>
      <w:r w:rsidR="003F6678">
        <w:rPr>
          <w:szCs w:val="24"/>
        </w:rPr>
        <w:t xml:space="preserve">to the </w:t>
      </w:r>
      <w:r w:rsidR="002B0B9C">
        <w:rPr>
          <w:szCs w:val="24"/>
        </w:rPr>
        <w:t xml:space="preserve">general developments in </w:t>
      </w:r>
      <w:r w:rsidR="003F6678">
        <w:rPr>
          <w:szCs w:val="24"/>
        </w:rPr>
        <w:t>public transport in 2040.</w:t>
      </w:r>
      <w:r w:rsidR="003F6678">
        <w:rPr>
          <w:rStyle w:val="FootnoteReference"/>
          <w:szCs w:val="24"/>
        </w:rPr>
        <w:footnoteReference w:id="115"/>
      </w:r>
      <w:r w:rsidR="003F6678">
        <w:rPr>
          <w:szCs w:val="24"/>
        </w:rPr>
        <w:t xml:space="preserve"> With a reference to CRPD, the </w:t>
      </w:r>
      <w:r w:rsidR="00D41C15">
        <w:rPr>
          <w:szCs w:val="24"/>
        </w:rPr>
        <w:t>document</w:t>
      </w:r>
      <w:r w:rsidR="003F6678">
        <w:rPr>
          <w:szCs w:val="24"/>
        </w:rPr>
        <w:t xml:space="preserve"> describes that one of the policy goals is to strive to fully accessible public transport in 2040. </w:t>
      </w:r>
      <w:r w:rsidR="00EF1A79">
        <w:rPr>
          <w:szCs w:val="24"/>
        </w:rPr>
        <w:t>T</w:t>
      </w:r>
      <w:r w:rsidR="003F6678">
        <w:rPr>
          <w:szCs w:val="24"/>
        </w:rPr>
        <w:t xml:space="preserve">he policy </w:t>
      </w:r>
      <w:r w:rsidR="00EF1A79">
        <w:rPr>
          <w:szCs w:val="24"/>
        </w:rPr>
        <w:t xml:space="preserve">document contains a section </w:t>
      </w:r>
      <w:r w:rsidR="003F6678">
        <w:rPr>
          <w:szCs w:val="24"/>
        </w:rPr>
        <w:t xml:space="preserve">on accessibility and inclusion, </w:t>
      </w:r>
      <w:r w:rsidR="00EF1A79">
        <w:rPr>
          <w:szCs w:val="24"/>
        </w:rPr>
        <w:t xml:space="preserve">which </w:t>
      </w:r>
      <w:r w:rsidR="00D41C15">
        <w:rPr>
          <w:szCs w:val="24"/>
        </w:rPr>
        <w:t>promises</w:t>
      </w:r>
      <w:r w:rsidR="00EF1A79">
        <w:rPr>
          <w:szCs w:val="24"/>
        </w:rPr>
        <w:t xml:space="preserve"> </w:t>
      </w:r>
      <w:r w:rsidR="003F6678">
        <w:rPr>
          <w:szCs w:val="24"/>
        </w:rPr>
        <w:t>the introduction of new services and new providers of transport.</w:t>
      </w:r>
      <w:r w:rsidR="00721B62">
        <w:rPr>
          <w:rStyle w:val="FootnoteReference"/>
          <w:szCs w:val="24"/>
        </w:rPr>
        <w:footnoteReference w:id="116"/>
      </w:r>
    </w:p>
    <w:p w14:paraId="4921DF37" w14:textId="77777777" w:rsidR="000C3AE8" w:rsidRPr="003B3981" w:rsidRDefault="000C3AE8" w:rsidP="00F9312C">
      <w:pPr>
        <w:spacing w:line="360" w:lineRule="auto"/>
      </w:pPr>
    </w:p>
    <w:p w14:paraId="79F4583C" w14:textId="138312C6" w:rsidR="00192E65" w:rsidRPr="007C53D8" w:rsidRDefault="00192E65" w:rsidP="00F9312C">
      <w:pPr>
        <w:spacing w:line="360" w:lineRule="auto"/>
        <w:ind w:left="66"/>
        <w:rPr>
          <w:b/>
          <w:bCs/>
        </w:rPr>
      </w:pPr>
      <w:r w:rsidRPr="007C53D8">
        <w:rPr>
          <w:b/>
          <w:bCs/>
        </w:rPr>
        <w:t>Other Monitoring and Oversight Mechanisms</w:t>
      </w:r>
    </w:p>
    <w:p w14:paraId="5B48D0E7" w14:textId="64BF976D" w:rsidR="00E939A0" w:rsidRDefault="001052EA" w:rsidP="00F9312C">
      <w:pPr>
        <w:spacing w:line="360" w:lineRule="auto"/>
      </w:pPr>
      <w:r>
        <w:t xml:space="preserve">The </w:t>
      </w:r>
      <w:r w:rsidR="002874E3" w:rsidRPr="002874E3">
        <w:rPr>
          <w:i/>
          <w:iCs/>
        </w:rPr>
        <w:t xml:space="preserve">College </w:t>
      </w:r>
      <w:proofErr w:type="spellStart"/>
      <w:r w:rsidR="002874E3" w:rsidRPr="002874E3">
        <w:rPr>
          <w:i/>
          <w:iCs/>
        </w:rPr>
        <w:t>voor</w:t>
      </w:r>
      <w:proofErr w:type="spellEnd"/>
      <w:r w:rsidR="002874E3" w:rsidRPr="002874E3">
        <w:rPr>
          <w:i/>
          <w:iCs/>
        </w:rPr>
        <w:t xml:space="preserve"> de </w:t>
      </w:r>
      <w:proofErr w:type="spellStart"/>
      <w:r w:rsidR="002874E3" w:rsidRPr="002874E3">
        <w:rPr>
          <w:i/>
          <w:iCs/>
        </w:rPr>
        <w:t>Rechten</w:t>
      </w:r>
      <w:proofErr w:type="spellEnd"/>
      <w:r w:rsidR="002874E3" w:rsidRPr="002874E3">
        <w:rPr>
          <w:i/>
          <w:iCs/>
        </w:rPr>
        <w:t xml:space="preserve"> van de </w:t>
      </w:r>
      <w:proofErr w:type="spellStart"/>
      <w:r w:rsidR="002874E3" w:rsidRPr="002874E3">
        <w:rPr>
          <w:i/>
          <w:iCs/>
        </w:rPr>
        <w:t>Mens</w:t>
      </w:r>
      <w:proofErr w:type="spellEnd"/>
      <w:r w:rsidR="002874E3">
        <w:t xml:space="preserve">, the </w:t>
      </w:r>
      <w:r>
        <w:t>N</w:t>
      </w:r>
      <w:r w:rsidR="002874E3">
        <w:t>etherlands Institute for Human Rights</w:t>
      </w:r>
      <w:r w:rsidR="00E915A6">
        <w:t xml:space="preserve"> or NIHR</w:t>
      </w:r>
      <w:r>
        <w:t>,</w:t>
      </w:r>
      <w:r w:rsidR="002874E3">
        <w:rPr>
          <w:rStyle w:val="FootnoteReference"/>
        </w:rPr>
        <w:footnoteReference w:id="117"/>
      </w:r>
      <w:r>
        <w:t xml:space="preserve"> </w:t>
      </w:r>
      <w:r w:rsidR="002874E3">
        <w:t xml:space="preserve">is </w:t>
      </w:r>
      <w:r>
        <w:t>the national monitoring body for CRPD</w:t>
      </w:r>
      <w:r w:rsidR="002874E3">
        <w:t>. It</w:t>
      </w:r>
      <w:r>
        <w:t xml:space="preserve"> reports annually about the state of implementation of CRPD in the Netherlands.</w:t>
      </w:r>
      <w:r w:rsidR="001C5C60">
        <w:t xml:space="preserve"> In its </w:t>
      </w:r>
      <w:r w:rsidR="00F32266">
        <w:t xml:space="preserve">annual </w:t>
      </w:r>
      <w:r w:rsidR="001C5C60">
        <w:t>report of 2019,</w:t>
      </w:r>
      <w:r w:rsidR="00F32266">
        <w:rPr>
          <w:rStyle w:val="FootnoteReference"/>
        </w:rPr>
        <w:footnoteReference w:id="118"/>
      </w:r>
      <w:r w:rsidR="001C5C60">
        <w:t xml:space="preserve"> the NIHR </w:t>
      </w:r>
      <w:r w:rsidR="00F32266">
        <w:t>notes</w:t>
      </w:r>
      <w:r w:rsidR="001C5C60">
        <w:t xml:space="preserve"> that the environment of many bus and tram stops and railway stations lacks accessibility. Even if </w:t>
      </w:r>
      <w:r w:rsidR="00E375AE">
        <w:t xml:space="preserve">bus </w:t>
      </w:r>
      <w:r w:rsidR="001C5C60">
        <w:t>stop</w:t>
      </w:r>
      <w:r w:rsidR="00E375AE">
        <w:t>s</w:t>
      </w:r>
      <w:r w:rsidR="001C5C60">
        <w:t xml:space="preserve"> or </w:t>
      </w:r>
      <w:r w:rsidR="00E375AE">
        <w:t xml:space="preserve">railway </w:t>
      </w:r>
      <w:r w:rsidR="001C5C60">
        <w:t>station</w:t>
      </w:r>
      <w:r w:rsidR="00E375AE">
        <w:t>s</w:t>
      </w:r>
      <w:r w:rsidR="001C5C60">
        <w:t xml:space="preserve"> </w:t>
      </w:r>
      <w:r w:rsidR="00E375AE">
        <w:t>themselves</w:t>
      </w:r>
      <w:r w:rsidR="001C5C60">
        <w:t xml:space="preserve"> </w:t>
      </w:r>
      <w:r w:rsidR="00E375AE">
        <w:t>are</w:t>
      </w:r>
      <w:r w:rsidR="001C5C60">
        <w:t xml:space="preserve"> accessible, the route towards the</w:t>
      </w:r>
      <w:r w:rsidR="00E375AE">
        <w:t>m</w:t>
      </w:r>
      <w:r w:rsidR="001C5C60">
        <w:t xml:space="preserve"> is often inaccessible. Street crossings are dangerous or obstacles on footpaths block the way. In addition, the transfer from a railway station to the nearest bus stop is </w:t>
      </w:r>
      <w:r w:rsidR="00F32266">
        <w:t>difficult in some cases</w:t>
      </w:r>
      <w:r w:rsidR="001C5C60">
        <w:t xml:space="preserve">. Walking routes are not properly connected, </w:t>
      </w:r>
      <w:r w:rsidR="00E375AE">
        <w:t xml:space="preserve">e.g. </w:t>
      </w:r>
      <w:r w:rsidR="001C5C60">
        <w:t xml:space="preserve">because guiding lines in the railway station are not extended </w:t>
      </w:r>
      <w:r w:rsidR="00E375AE">
        <w:t>in</w:t>
      </w:r>
      <w:r w:rsidR="001C5C60">
        <w:t>to the bus station.</w:t>
      </w:r>
      <w:r w:rsidR="00F32266">
        <w:t xml:space="preserve"> According to the NIHR, these difficulties </w:t>
      </w:r>
      <w:r w:rsidR="00E375AE">
        <w:t>discourage</w:t>
      </w:r>
      <w:r w:rsidR="00F32266">
        <w:t xml:space="preserve"> persons with disabilities </w:t>
      </w:r>
      <w:r w:rsidR="00E375AE">
        <w:t>from</w:t>
      </w:r>
      <w:r w:rsidR="00F32266">
        <w:t xml:space="preserve"> us</w:t>
      </w:r>
      <w:r w:rsidR="00E375AE">
        <w:t>ing</w:t>
      </w:r>
      <w:r w:rsidR="00F32266">
        <w:t xml:space="preserve"> public transport. In order to solve this, the Institute advises to initiate a better consultation process between municipal</w:t>
      </w:r>
      <w:r w:rsidR="00D63E74">
        <w:t>ities</w:t>
      </w:r>
      <w:r w:rsidR="00F32266">
        <w:t xml:space="preserve"> and public transport authorities.</w:t>
      </w:r>
      <w:r w:rsidR="00E375AE">
        <w:rPr>
          <w:rStyle w:val="FootnoteReference"/>
        </w:rPr>
        <w:footnoteReference w:id="119"/>
      </w:r>
    </w:p>
    <w:p w14:paraId="44EDB0C0" w14:textId="77777777" w:rsidR="001052EA" w:rsidRDefault="001052EA" w:rsidP="00F9312C">
      <w:pPr>
        <w:spacing w:line="360" w:lineRule="auto"/>
        <w:ind w:left="426"/>
      </w:pPr>
    </w:p>
    <w:p w14:paraId="2DE9E212" w14:textId="7D3F6BB9" w:rsidR="00192E65" w:rsidRPr="00293A8D" w:rsidRDefault="00192E65" w:rsidP="00F9312C">
      <w:pPr>
        <w:pStyle w:val="ListParagraph"/>
        <w:spacing w:line="360" w:lineRule="auto"/>
        <w:ind w:left="0"/>
        <w:rPr>
          <w:b/>
          <w:bCs/>
        </w:rPr>
      </w:pPr>
      <w:r w:rsidRPr="00293A8D">
        <w:rPr>
          <w:b/>
          <w:bCs/>
        </w:rPr>
        <w:t>Civil Society Engagement</w:t>
      </w:r>
    </w:p>
    <w:p w14:paraId="1B71F136" w14:textId="18BBC647" w:rsidR="00E939A0" w:rsidRDefault="00E939A0" w:rsidP="00F9312C">
      <w:pPr>
        <w:spacing w:line="360" w:lineRule="auto"/>
      </w:pPr>
      <w:r>
        <w:t>DPOs have been involved in talks about accessibility of public transport, and pointed out the shortcomings in the accessibility provisions. Their experience and knowledge was used to adapt plans and policies.</w:t>
      </w:r>
      <w:r w:rsidR="00E375AE">
        <w:t xml:space="preserve"> </w:t>
      </w:r>
    </w:p>
    <w:p w14:paraId="39CC9989" w14:textId="3EF4E932" w:rsidR="009813C4" w:rsidRDefault="009813C4" w:rsidP="00F9312C">
      <w:pPr>
        <w:spacing w:line="360" w:lineRule="auto"/>
        <w:rPr>
          <w:b/>
          <w:bCs/>
        </w:rPr>
      </w:pPr>
      <w:r>
        <w:rPr>
          <w:b/>
          <w:bCs/>
        </w:rPr>
        <w:br w:type="page"/>
      </w:r>
    </w:p>
    <w:p w14:paraId="46EA1D8E" w14:textId="072BE3BE" w:rsidR="005F0C1F" w:rsidRPr="00F9312C" w:rsidRDefault="005F0C1F" w:rsidP="00F9312C">
      <w:pPr>
        <w:pStyle w:val="Heading3"/>
        <w:spacing w:line="360" w:lineRule="auto"/>
        <w:rPr>
          <w:b/>
          <w:bCs w:val="0"/>
        </w:rPr>
      </w:pPr>
      <w:r w:rsidRPr="00F9312C">
        <w:rPr>
          <w:b/>
          <w:bCs w:val="0"/>
        </w:rPr>
        <w:t>A4.3</w:t>
      </w:r>
      <w:r w:rsidR="00192E65" w:rsidRPr="00F9312C">
        <w:rPr>
          <w:b/>
          <w:bCs w:val="0"/>
        </w:rPr>
        <w:t xml:space="preserve"> </w:t>
      </w:r>
      <w:r w:rsidRPr="00F9312C">
        <w:rPr>
          <w:b/>
          <w:bCs w:val="0"/>
        </w:rPr>
        <w:t>Planning</w:t>
      </w:r>
    </w:p>
    <w:p w14:paraId="2AF5EFBC" w14:textId="77777777" w:rsidR="00293A8D" w:rsidRDefault="00293A8D" w:rsidP="00F9312C">
      <w:pPr>
        <w:pStyle w:val="ListParagraph"/>
        <w:spacing w:line="360" w:lineRule="auto"/>
      </w:pPr>
    </w:p>
    <w:p w14:paraId="1E7CB840" w14:textId="7ECA1E36" w:rsidR="005F0C1F" w:rsidRPr="00293A8D" w:rsidRDefault="005F0C1F" w:rsidP="00F9312C">
      <w:pPr>
        <w:pStyle w:val="ListParagraph"/>
        <w:spacing w:line="360" w:lineRule="auto"/>
        <w:ind w:left="0"/>
        <w:rPr>
          <w:b/>
          <w:bCs/>
        </w:rPr>
      </w:pPr>
      <w:r w:rsidRPr="00293A8D">
        <w:rPr>
          <w:b/>
          <w:bCs/>
        </w:rPr>
        <w:t>Current Legislative, Policy and Strategic Frameworks</w:t>
      </w:r>
    </w:p>
    <w:p w14:paraId="7BE58BA0" w14:textId="77777777" w:rsidR="005B760B" w:rsidRPr="0073516A" w:rsidRDefault="005B760B" w:rsidP="00F9312C">
      <w:pPr>
        <w:spacing w:line="360" w:lineRule="auto"/>
        <w:rPr>
          <w:rFonts w:cs="Arial"/>
          <w:i/>
          <w:iCs/>
          <w:szCs w:val="24"/>
        </w:rPr>
      </w:pPr>
      <w:r w:rsidRPr="0073516A">
        <w:rPr>
          <w:rFonts w:cs="Arial"/>
          <w:i/>
          <w:iCs/>
          <w:szCs w:val="24"/>
        </w:rPr>
        <w:t xml:space="preserve">Spatial Planning Act </w:t>
      </w:r>
    </w:p>
    <w:p w14:paraId="302A78F4" w14:textId="77777777" w:rsidR="005B760B" w:rsidRDefault="005B760B" w:rsidP="00F9312C">
      <w:pPr>
        <w:spacing w:line="360" w:lineRule="auto"/>
        <w:rPr>
          <w:rFonts w:cs="Arial"/>
          <w:szCs w:val="24"/>
        </w:rPr>
      </w:pPr>
      <w:r>
        <w:rPr>
          <w:rFonts w:cs="Arial"/>
          <w:szCs w:val="24"/>
        </w:rPr>
        <w:t xml:space="preserve">Street design, management and maintenance are issues which are determined at the end of a process of spatial planning. When the overall design of an urban or rural area has been determined, filling in of the actual space with streets and (residential) areas takes place. In the following section, the legal system of spatial planning in the Netherlands is described. </w:t>
      </w:r>
    </w:p>
    <w:p w14:paraId="7903DB4E" w14:textId="77777777" w:rsidR="00431F47" w:rsidRDefault="005B760B" w:rsidP="00F9312C">
      <w:pPr>
        <w:spacing w:line="360" w:lineRule="auto"/>
        <w:rPr>
          <w:rFonts w:cs="Arial"/>
          <w:szCs w:val="24"/>
        </w:rPr>
      </w:pPr>
      <w:r>
        <w:rPr>
          <w:rFonts w:cs="Arial"/>
          <w:szCs w:val="24"/>
        </w:rPr>
        <w:t xml:space="preserve">The main legal instrument in spatial planning is the </w:t>
      </w:r>
      <w:r w:rsidRPr="00036CE1">
        <w:rPr>
          <w:rFonts w:cs="Arial"/>
          <w:szCs w:val="24"/>
        </w:rPr>
        <w:t xml:space="preserve">Wet </w:t>
      </w:r>
      <w:proofErr w:type="spellStart"/>
      <w:r w:rsidRPr="00036CE1">
        <w:rPr>
          <w:rFonts w:cs="Arial"/>
          <w:szCs w:val="24"/>
        </w:rPr>
        <w:t>ruimtelijke</w:t>
      </w:r>
      <w:proofErr w:type="spellEnd"/>
      <w:r w:rsidRPr="00036CE1">
        <w:rPr>
          <w:rFonts w:cs="Arial"/>
          <w:szCs w:val="24"/>
        </w:rPr>
        <w:t xml:space="preserve"> </w:t>
      </w:r>
      <w:proofErr w:type="spellStart"/>
      <w:r w:rsidRPr="00036CE1">
        <w:rPr>
          <w:rFonts w:cs="Arial"/>
          <w:szCs w:val="24"/>
        </w:rPr>
        <w:t>ordening</w:t>
      </w:r>
      <w:proofErr w:type="spellEnd"/>
      <w:r>
        <w:rPr>
          <w:rFonts w:cs="Arial"/>
          <w:szCs w:val="24"/>
        </w:rPr>
        <w:t xml:space="preserve"> or </w:t>
      </w:r>
      <w:proofErr w:type="spellStart"/>
      <w:r w:rsidRPr="00036CE1">
        <w:rPr>
          <w:rFonts w:cs="Arial"/>
          <w:szCs w:val="24"/>
        </w:rPr>
        <w:t>Wro</w:t>
      </w:r>
      <w:proofErr w:type="spellEnd"/>
      <w:r>
        <w:rPr>
          <w:rFonts w:cs="Arial"/>
          <w:szCs w:val="24"/>
        </w:rPr>
        <w:t xml:space="preserve"> (‘</w:t>
      </w:r>
      <w:r w:rsidRPr="00036CE1">
        <w:rPr>
          <w:rFonts w:cs="Arial"/>
          <w:i/>
          <w:iCs/>
          <w:szCs w:val="24"/>
        </w:rPr>
        <w:t>Spatial Planning Act</w:t>
      </w:r>
      <w:r>
        <w:rPr>
          <w:rFonts w:cs="Arial"/>
          <w:i/>
          <w:iCs/>
          <w:szCs w:val="24"/>
        </w:rPr>
        <w:t>’)</w:t>
      </w:r>
      <w:r>
        <w:rPr>
          <w:rFonts w:cs="Arial"/>
          <w:szCs w:val="24"/>
        </w:rPr>
        <w:t>.</w:t>
      </w:r>
      <w:r>
        <w:rPr>
          <w:rStyle w:val="FootnoteReference"/>
          <w:rFonts w:cs="Arial"/>
          <w:szCs w:val="24"/>
        </w:rPr>
        <w:footnoteReference w:id="120"/>
      </w:r>
      <w:r>
        <w:rPr>
          <w:rFonts w:cs="Arial"/>
          <w:szCs w:val="24"/>
        </w:rPr>
        <w:t xml:space="preserve"> </w:t>
      </w:r>
      <w:r w:rsidRPr="005E5DFD">
        <w:rPr>
          <w:rFonts w:cs="Arial"/>
          <w:szCs w:val="24"/>
        </w:rPr>
        <w:t xml:space="preserve">The </w:t>
      </w:r>
      <w:r>
        <w:rPr>
          <w:rFonts w:cs="Arial"/>
          <w:szCs w:val="24"/>
        </w:rPr>
        <w:t>Spatial Planning Act</w:t>
      </w:r>
      <w:r w:rsidRPr="005E5DFD">
        <w:rPr>
          <w:rFonts w:cs="Arial"/>
          <w:szCs w:val="24"/>
        </w:rPr>
        <w:t xml:space="preserve"> is the instrument for dividing spatial needs such as living, working, recreation, mobility, water and nature in a coherent </w:t>
      </w:r>
      <w:r>
        <w:rPr>
          <w:rFonts w:cs="Arial"/>
          <w:szCs w:val="24"/>
        </w:rPr>
        <w:t>manner</w:t>
      </w:r>
      <w:r w:rsidRPr="005E5DFD">
        <w:rPr>
          <w:rFonts w:cs="Arial"/>
          <w:szCs w:val="24"/>
        </w:rPr>
        <w:t>.</w:t>
      </w:r>
      <w:r>
        <w:rPr>
          <w:rStyle w:val="FootnoteReference"/>
          <w:rFonts w:cs="Arial"/>
          <w:szCs w:val="24"/>
        </w:rPr>
        <w:footnoteReference w:id="121"/>
      </w:r>
      <w:r>
        <w:rPr>
          <w:rFonts w:cs="Arial"/>
          <w:szCs w:val="24"/>
        </w:rPr>
        <w:t xml:space="preserve"> The Act, mainly contains framework provisions</w:t>
      </w:r>
      <w:r w:rsidR="00431F47">
        <w:rPr>
          <w:rFonts w:cs="Arial"/>
          <w:szCs w:val="24"/>
        </w:rPr>
        <w:t>.</w:t>
      </w:r>
      <w:r>
        <w:rPr>
          <w:rFonts w:cs="Arial"/>
          <w:szCs w:val="24"/>
        </w:rPr>
        <w:t xml:space="preserve"> </w:t>
      </w:r>
      <w:r w:rsidR="00431F47">
        <w:rPr>
          <w:rFonts w:cs="Arial"/>
          <w:szCs w:val="24"/>
        </w:rPr>
        <w:t xml:space="preserve">It </w:t>
      </w:r>
      <w:r w:rsidRPr="005E5DFD">
        <w:rPr>
          <w:rFonts w:cs="Arial"/>
          <w:szCs w:val="24"/>
        </w:rPr>
        <w:t>makes a clear distinction between</w:t>
      </w:r>
      <w:r>
        <w:rPr>
          <w:rFonts w:cs="Arial"/>
          <w:szCs w:val="24"/>
        </w:rPr>
        <w:t xml:space="preserve"> </w:t>
      </w:r>
      <w:r w:rsidRPr="00431F47">
        <w:rPr>
          <w:rFonts w:cs="Arial"/>
          <w:szCs w:val="24"/>
        </w:rPr>
        <w:t>policy</w:t>
      </w:r>
      <w:r>
        <w:rPr>
          <w:rFonts w:cs="Arial"/>
          <w:szCs w:val="24"/>
        </w:rPr>
        <w:t xml:space="preserve"> and </w:t>
      </w:r>
      <w:r w:rsidRPr="00431F47">
        <w:rPr>
          <w:rFonts w:cs="Arial"/>
          <w:szCs w:val="24"/>
        </w:rPr>
        <w:t>legal safeguarding</w:t>
      </w:r>
      <w:r>
        <w:rPr>
          <w:rFonts w:cs="Arial"/>
          <w:szCs w:val="24"/>
        </w:rPr>
        <w:t xml:space="preserve">. </w:t>
      </w:r>
    </w:p>
    <w:p w14:paraId="0512821E" w14:textId="00A5F064" w:rsidR="005B760B" w:rsidRDefault="005B760B" w:rsidP="00F9312C">
      <w:pPr>
        <w:spacing w:line="360" w:lineRule="auto"/>
        <w:rPr>
          <w:rFonts w:cs="Arial"/>
          <w:szCs w:val="24"/>
        </w:rPr>
      </w:pPr>
      <w:r>
        <w:rPr>
          <w:rFonts w:cs="Arial"/>
          <w:szCs w:val="24"/>
        </w:rPr>
        <w:t>In the area of policy, the Spatial Planning Act</w:t>
      </w:r>
      <w:r w:rsidRPr="005E5DFD">
        <w:rPr>
          <w:rFonts w:cs="Arial"/>
          <w:szCs w:val="24"/>
        </w:rPr>
        <w:t xml:space="preserve"> </w:t>
      </w:r>
      <w:r>
        <w:rPr>
          <w:rFonts w:cs="Arial"/>
          <w:szCs w:val="24"/>
        </w:rPr>
        <w:t>requires</w:t>
      </w:r>
      <w:r w:rsidRPr="005E5DFD">
        <w:rPr>
          <w:rFonts w:cs="Arial"/>
          <w:szCs w:val="24"/>
        </w:rPr>
        <w:t xml:space="preserve"> every municipality</w:t>
      </w:r>
      <w:r>
        <w:rPr>
          <w:rFonts w:cs="Arial"/>
          <w:szCs w:val="24"/>
        </w:rPr>
        <w:t>,</w:t>
      </w:r>
      <w:r w:rsidRPr="005E5DFD">
        <w:rPr>
          <w:rFonts w:cs="Arial"/>
          <w:szCs w:val="24"/>
        </w:rPr>
        <w:t xml:space="preserve"> province and </w:t>
      </w:r>
      <w:r>
        <w:rPr>
          <w:rFonts w:cs="Arial"/>
          <w:szCs w:val="24"/>
        </w:rPr>
        <w:t xml:space="preserve">the </w:t>
      </w:r>
      <w:r w:rsidRPr="005E5DFD">
        <w:rPr>
          <w:rFonts w:cs="Arial"/>
          <w:szCs w:val="24"/>
        </w:rPr>
        <w:t>central government</w:t>
      </w:r>
      <w:r>
        <w:rPr>
          <w:rFonts w:cs="Arial"/>
          <w:szCs w:val="24"/>
        </w:rPr>
        <w:t xml:space="preserve"> to develop</w:t>
      </w:r>
      <w:r w:rsidRPr="005E5DFD">
        <w:rPr>
          <w:rFonts w:cs="Arial"/>
          <w:szCs w:val="24"/>
        </w:rPr>
        <w:t xml:space="preserve"> a structural vision, in which the spatial development </w:t>
      </w:r>
      <w:r>
        <w:rPr>
          <w:rFonts w:cs="Arial"/>
          <w:szCs w:val="24"/>
        </w:rPr>
        <w:t xml:space="preserve">in the respective domains </w:t>
      </w:r>
      <w:r w:rsidRPr="005E5DFD">
        <w:rPr>
          <w:rFonts w:cs="Arial"/>
          <w:szCs w:val="24"/>
        </w:rPr>
        <w:t xml:space="preserve">is described. </w:t>
      </w:r>
    </w:p>
    <w:p w14:paraId="15DA73DB" w14:textId="77777777" w:rsidR="00431F47" w:rsidRDefault="005B760B" w:rsidP="00F9312C">
      <w:pPr>
        <w:spacing w:line="360" w:lineRule="auto"/>
        <w:rPr>
          <w:rFonts w:cs="Arial"/>
          <w:szCs w:val="24"/>
        </w:rPr>
      </w:pPr>
      <w:r w:rsidRPr="00194047">
        <w:rPr>
          <w:rFonts w:cs="Arial"/>
          <w:szCs w:val="24"/>
        </w:rPr>
        <w:t xml:space="preserve">The structural vision is a substantive guiding document for spatial development. The municipalities, provinces and central government are obliged to establish one or more structural visions for their territory in the context of good spatial planning. It contains the main features of the spatial policy for the </w:t>
      </w:r>
      <w:r w:rsidR="00431F47">
        <w:rPr>
          <w:rFonts w:cs="Arial"/>
          <w:szCs w:val="24"/>
        </w:rPr>
        <w:t xml:space="preserve">national, provincial and </w:t>
      </w:r>
      <w:r w:rsidRPr="00194047">
        <w:rPr>
          <w:rFonts w:cs="Arial"/>
          <w:szCs w:val="24"/>
        </w:rPr>
        <w:t>municipal territory</w:t>
      </w:r>
      <w:r>
        <w:rPr>
          <w:rFonts w:cs="Arial"/>
          <w:szCs w:val="24"/>
        </w:rPr>
        <w:t xml:space="preserve"> and it</w:t>
      </w:r>
      <w:r w:rsidRPr="00194047">
        <w:rPr>
          <w:rFonts w:cs="Arial"/>
          <w:szCs w:val="24"/>
        </w:rPr>
        <w:t xml:space="preserve"> indicates how </w:t>
      </w:r>
      <w:r>
        <w:rPr>
          <w:rFonts w:cs="Arial"/>
          <w:szCs w:val="24"/>
        </w:rPr>
        <w:t xml:space="preserve">to </w:t>
      </w:r>
      <w:r w:rsidRPr="00194047">
        <w:rPr>
          <w:rFonts w:cs="Arial"/>
          <w:szCs w:val="24"/>
        </w:rPr>
        <w:t xml:space="preserve">implement </w:t>
      </w:r>
      <w:r>
        <w:rPr>
          <w:rFonts w:cs="Arial"/>
          <w:szCs w:val="24"/>
        </w:rPr>
        <w:t>it</w:t>
      </w:r>
      <w:r w:rsidRPr="00194047">
        <w:rPr>
          <w:rFonts w:cs="Arial"/>
          <w:szCs w:val="24"/>
        </w:rPr>
        <w:t>.</w:t>
      </w:r>
      <w:r w:rsidRPr="006737D5">
        <w:rPr>
          <w:rFonts w:cs="Arial"/>
          <w:szCs w:val="24"/>
        </w:rPr>
        <w:t xml:space="preserve"> </w:t>
      </w:r>
    </w:p>
    <w:p w14:paraId="32167D02" w14:textId="3C6F5346" w:rsidR="005B760B" w:rsidRPr="00194047" w:rsidRDefault="005B760B" w:rsidP="00F9312C">
      <w:pPr>
        <w:spacing w:line="360" w:lineRule="auto"/>
        <w:rPr>
          <w:rFonts w:cs="Arial"/>
          <w:szCs w:val="24"/>
        </w:rPr>
      </w:pPr>
      <w:r>
        <w:rPr>
          <w:rFonts w:cs="Arial"/>
          <w:szCs w:val="24"/>
        </w:rPr>
        <w:t xml:space="preserve">The </w:t>
      </w:r>
      <w:r w:rsidRPr="005E5DFD">
        <w:rPr>
          <w:rFonts w:cs="Arial"/>
          <w:szCs w:val="24"/>
        </w:rPr>
        <w:t>legal safeguarding of the polic</w:t>
      </w:r>
      <w:r>
        <w:rPr>
          <w:rFonts w:cs="Arial"/>
          <w:szCs w:val="24"/>
        </w:rPr>
        <w:t>ies</w:t>
      </w:r>
      <w:r w:rsidRPr="005E5DFD">
        <w:rPr>
          <w:rFonts w:cs="Arial"/>
          <w:szCs w:val="24"/>
        </w:rPr>
        <w:t xml:space="preserve"> takes place in zoning plans, integration plans and management regulations.</w:t>
      </w:r>
    </w:p>
    <w:p w14:paraId="142257FB" w14:textId="77777777" w:rsidR="005B760B" w:rsidRPr="00194047" w:rsidRDefault="005B760B" w:rsidP="00F9312C">
      <w:pPr>
        <w:spacing w:line="360" w:lineRule="auto"/>
        <w:rPr>
          <w:rFonts w:cs="Arial"/>
          <w:szCs w:val="24"/>
        </w:rPr>
      </w:pPr>
      <w:r w:rsidRPr="00194047">
        <w:rPr>
          <w:rFonts w:cs="Arial"/>
          <w:szCs w:val="24"/>
        </w:rPr>
        <w:t>The structural vision mainly has an internal structuring function. There is no hierarchical relationship between structural visions of central government, province and municipality.</w:t>
      </w:r>
      <w:r>
        <w:rPr>
          <w:rFonts w:cs="Arial"/>
          <w:szCs w:val="24"/>
        </w:rPr>
        <w:t xml:space="preserve"> It</w:t>
      </w:r>
      <w:r w:rsidRPr="00194047">
        <w:rPr>
          <w:rFonts w:cs="Arial"/>
          <w:szCs w:val="24"/>
        </w:rPr>
        <w:t xml:space="preserve"> does not impose obligations</w:t>
      </w:r>
      <w:r>
        <w:rPr>
          <w:rFonts w:cs="Arial"/>
          <w:szCs w:val="24"/>
        </w:rPr>
        <w:t>, because it</w:t>
      </w:r>
      <w:r w:rsidRPr="00194047">
        <w:rPr>
          <w:rFonts w:cs="Arial"/>
          <w:szCs w:val="24"/>
        </w:rPr>
        <w:t xml:space="preserve"> is a policy and development framework, not an assessment framework.</w:t>
      </w:r>
    </w:p>
    <w:p w14:paraId="05B82CFE" w14:textId="0B3801AF" w:rsidR="005B760B" w:rsidRDefault="005B760B" w:rsidP="00F9312C">
      <w:pPr>
        <w:spacing w:line="360" w:lineRule="auto"/>
        <w:rPr>
          <w:rFonts w:cs="Arial"/>
          <w:szCs w:val="24"/>
        </w:rPr>
      </w:pPr>
      <w:r w:rsidRPr="00194047">
        <w:rPr>
          <w:rFonts w:cs="Arial"/>
          <w:szCs w:val="24"/>
        </w:rPr>
        <w:t>The municipal council proposes the structural vision for the municipal permanent, provincial councils for the province and the Minister</w:t>
      </w:r>
      <w:r>
        <w:rPr>
          <w:rFonts w:cs="Arial"/>
          <w:szCs w:val="24"/>
        </w:rPr>
        <w:t xml:space="preserve"> of Infrastructure and Water Management</w:t>
      </w:r>
      <w:r w:rsidRPr="00194047">
        <w:rPr>
          <w:rFonts w:cs="Arial"/>
          <w:szCs w:val="24"/>
        </w:rPr>
        <w:t xml:space="preserve"> for </w:t>
      </w:r>
      <w:r>
        <w:rPr>
          <w:rFonts w:cs="Arial"/>
          <w:szCs w:val="24"/>
        </w:rPr>
        <w:t xml:space="preserve">the </w:t>
      </w:r>
      <w:r w:rsidRPr="00194047">
        <w:rPr>
          <w:rFonts w:cs="Arial"/>
          <w:szCs w:val="24"/>
        </w:rPr>
        <w:t>central government.</w:t>
      </w:r>
      <w:r>
        <w:rPr>
          <w:rFonts w:cs="Arial"/>
          <w:szCs w:val="24"/>
        </w:rPr>
        <w:t xml:space="preserve"> Structural visions and local development plans are published on a central website.</w:t>
      </w:r>
      <w:r>
        <w:rPr>
          <w:rStyle w:val="FootnoteReference"/>
          <w:rFonts w:cs="Arial"/>
          <w:szCs w:val="24"/>
        </w:rPr>
        <w:footnoteReference w:id="122"/>
      </w:r>
      <w:r>
        <w:rPr>
          <w:rFonts w:cs="Arial"/>
          <w:szCs w:val="24"/>
        </w:rPr>
        <w:t xml:space="preserve"> The current government structural vision was drafted in 2012 and describes the country’s spatial ambitions </w:t>
      </w:r>
      <w:r w:rsidR="00431F47">
        <w:rPr>
          <w:rFonts w:cs="Arial"/>
          <w:szCs w:val="24"/>
        </w:rPr>
        <w:t>until</w:t>
      </w:r>
      <w:r>
        <w:rPr>
          <w:rFonts w:cs="Arial"/>
          <w:szCs w:val="24"/>
        </w:rPr>
        <w:t xml:space="preserve"> 2040.</w:t>
      </w:r>
      <w:r>
        <w:rPr>
          <w:rStyle w:val="FootnoteReference"/>
          <w:rFonts w:cs="Arial"/>
          <w:szCs w:val="24"/>
        </w:rPr>
        <w:footnoteReference w:id="123"/>
      </w:r>
      <w:r>
        <w:rPr>
          <w:rFonts w:cs="Arial"/>
          <w:szCs w:val="24"/>
        </w:rPr>
        <w:t xml:space="preserve"> </w:t>
      </w:r>
    </w:p>
    <w:p w14:paraId="51F03FE9" w14:textId="77777777" w:rsidR="005B760B" w:rsidRDefault="005B760B" w:rsidP="00F9312C">
      <w:pPr>
        <w:spacing w:line="360" w:lineRule="auto"/>
        <w:rPr>
          <w:rFonts w:cs="Arial"/>
          <w:szCs w:val="24"/>
        </w:rPr>
      </w:pPr>
      <w:r>
        <w:rPr>
          <w:rFonts w:cs="Arial"/>
          <w:szCs w:val="24"/>
        </w:rPr>
        <w:t>As far as accessibility of streets and public space is concerned, the government’s structural vision does not mention the position of persons with disabilities. Accessibility as a topic is described as an economic requirement in terms of transport and mobility, not in terms of accessibility for persons with disabilities. In 2012, the year of drafting the structural vision, the Netherlands had not ratified CRPD.</w:t>
      </w:r>
    </w:p>
    <w:p w14:paraId="08D0A637" w14:textId="77777777" w:rsidR="005B760B" w:rsidRDefault="005B760B" w:rsidP="00F9312C">
      <w:pPr>
        <w:spacing w:line="360" w:lineRule="auto"/>
        <w:rPr>
          <w:rFonts w:cs="Arial"/>
          <w:szCs w:val="24"/>
        </w:rPr>
      </w:pPr>
    </w:p>
    <w:p w14:paraId="478533EB" w14:textId="77777777" w:rsidR="005B760B" w:rsidRPr="0073516A" w:rsidRDefault="005B760B" w:rsidP="00F9312C">
      <w:pPr>
        <w:spacing w:line="360" w:lineRule="auto"/>
        <w:rPr>
          <w:i/>
          <w:iCs/>
        </w:rPr>
      </w:pPr>
      <w:r w:rsidRPr="0073516A">
        <w:rPr>
          <w:i/>
          <w:iCs/>
        </w:rPr>
        <w:t>Building Decree</w:t>
      </w:r>
    </w:p>
    <w:p w14:paraId="5C259117" w14:textId="77777777" w:rsidR="005B760B" w:rsidRDefault="005B760B" w:rsidP="00F9312C">
      <w:pPr>
        <w:spacing w:line="360" w:lineRule="auto"/>
      </w:pPr>
      <w:r>
        <w:t>A second relevant law is the Building Decree (</w:t>
      </w:r>
      <w:r w:rsidRPr="008E6EA5">
        <w:rPr>
          <w:i/>
          <w:iCs/>
        </w:rPr>
        <w:t>‘</w:t>
      </w:r>
      <w:proofErr w:type="spellStart"/>
      <w:r w:rsidRPr="008E6EA5">
        <w:rPr>
          <w:i/>
          <w:iCs/>
        </w:rPr>
        <w:t>Bouwbesluit</w:t>
      </w:r>
      <w:proofErr w:type="spellEnd"/>
      <w:r w:rsidRPr="008E6EA5">
        <w:rPr>
          <w:i/>
          <w:iCs/>
        </w:rPr>
        <w:t>’</w:t>
      </w:r>
      <w:r>
        <w:t>).</w:t>
      </w:r>
      <w:r>
        <w:rPr>
          <w:rStyle w:val="FootnoteReference"/>
        </w:rPr>
        <w:footnoteReference w:id="124"/>
      </w:r>
      <w:r>
        <w:t xml:space="preserve"> The Decree, which is the technical elaboration of the Housing Act (‘</w:t>
      </w:r>
      <w:proofErr w:type="spellStart"/>
      <w:r w:rsidRPr="00072F9C">
        <w:rPr>
          <w:i/>
          <w:iCs/>
        </w:rPr>
        <w:t>Woningwet</w:t>
      </w:r>
      <w:proofErr w:type="spellEnd"/>
      <w:r>
        <w:t>’),</w:t>
      </w:r>
      <w:r>
        <w:rPr>
          <w:rStyle w:val="FootnoteReference"/>
        </w:rPr>
        <w:footnoteReference w:id="125"/>
      </w:r>
      <w:r>
        <w:t xml:space="preserve"> comprises</w:t>
      </w:r>
      <w:r w:rsidRPr="00873248">
        <w:t xml:space="preserve"> </w:t>
      </w:r>
      <w:r>
        <w:t xml:space="preserve">technical </w:t>
      </w:r>
      <w:r w:rsidRPr="00873248">
        <w:t>regulations about the (re</w:t>
      </w:r>
      <w:r>
        <w:t>-</w:t>
      </w:r>
      <w:r w:rsidRPr="00873248">
        <w:t>)construction and demolition of buildings, about the condition and use of existing buildings, open yards and grounds and about safety during construction and demolition. These are the regulations that guarantee the minimum necessary quality of construction works.</w:t>
      </w:r>
      <w:r>
        <w:t xml:space="preserve"> </w:t>
      </w:r>
    </w:p>
    <w:p w14:paraId="283C0D94" w14:textId="77777777" w:rsidR="005B760B" w:rsidRDefault="005B760B" w:rsidP="00F9312C">
      <w:pPr>
        <w:spacing w:line="360" w:lineRule="auto"/>
      </w:pPr>
      <w:r w:rsidRPr="00C4023C">
        <w:t xml:space="preserve">The Building Decree contains </w:t>
      </w:r>
      <w:r>
        <w:t xml:space="preserve">certain </w:t>
      </w:r>
      <w:r w:rsidRPr="00C4023C">
        <w:t xml:space="preserve">accessibility requirements. Since 2003, </w:t>
      </w:r>
      <w:r>
        <w:t xml:space="preserve">in </w:t>
      </w:r>
      <w:r w:rsidRPr="00C4023C">
        <w:t xml:space="preserve">the Building Decree </w:t>
      </w:r>
      <w:r>
        <w:t>it is</w:t>
      </w:r>
      <w:r w:rsidRPr="00C4023C">
        <w:t xml:space="preserve"> assumed that accessibility means</w:t>
      </w:r>
      <w:r>
        <w:t xml:space="preserve"> that there will be</w:t>
      </w:r>
      <w:r w:rsidRPr="00C4023C">
        <w:t xml:space="preserve"> no special facilities for disabled people</w:t>
      </w:r>
      <w:r>
        <w:t xml:space="preserve">. Instead, the requirements </w:t>
      </w:r>
      <w:r w:rsidRPr="00C4023C">
        <w:t>ensur</w:t>
      </w:r>
      <w:r>
        <w:t>e</w:t>
      </w:r>
      <w:r w:rsidRPr="00C4023C">
        <w:t xml:space="preserve"> that the user spaces are sufficiently usable for everyone, including pe</w:t>
      </w:r>
      <w:r>
        <w:t>rsons</w:t>
      </w:r>
      <w:r w:rsidRPr="00C4023C">
        <w:t xml:space="preserve"> with disabilities. The accessibility requirements of the Building Decree only apply to new construction and renovation, not to existing construction.</w:t>
      </w:r>
    </w:p>
    <w:p w14:paraId="22E1A1A9" w14:textId="77777777" w:rsidR="005B760B" w:rsidRDefault="005B760B" w:rsidP="00F9312C">
      <w:pPr>
        <w:spacing w:line="360" w:lineRule="auto"/>
      </w:pPr>
      <w:r>
        <w:t xml:space="preserve">It contains sections about the size and composition of accessible areas in residential and commercial buildings. </w:t>
      </w:r>
      <w:proofErr w:type="gramStart"/>
      <w:r>
        <w:t>Although the main content of the Building Decree refers to the built environment, article 5.1.3.</w:t>
      </w:r>
      <w:proofErr w:type="gramEnd"/>
      <w:r>
        <w:t xml:space="preserve"> </w:t>
      </w:r>
      <w:proofErr w:type="gramStart"/>
      <w:r>
        <w:t>requires</w:t>
      </w:r>
      <w:proofErr w:type="gramEnd"/>
      <w:r>
        <w:t xml:space="preserve"> the connecting road between a public street and a building to have minimal width and height differences.</w:t>
      </w:r>
      <w:r>
        <w:rPr>
          <w:rStyle w:val="FootnoteReference"/>
        </w:rPr>
        <w:footnoteReference w:id="126"/>
      </w:r>
      <w:r>
        <w:t xml:space="preserve"> </w:t>
      </w:r>
    </w:p>
    <w:p w14:paraId="4503A164" w14:textId="77777777" w:rsidR="005B760B" w:rsidRDefault="005B760B" w:rsidP="00F9312C">
      <w:pPr>
        <w:spacing w:line="360" w:lineRule="auto"/>
        <w:rPr>
          <w:rFonts w:cs="Arial"/>
          <w:szCs w:val="24"/>
        </w:rPr>
      </w:pPr>
      <w:r>
        <w:t>Based on these principles, it is left to the municipalities to address accessibility of public spaces.</w:t>
      </w:r>
    </w:p>
    <w:p w14:paraId="375360BB" w14:textId="6945A923" w:rsidR="005B760B" w:rsidRDefault="005B760B" w:rsidP="00F9312C">
      <w:pPr>
        <w:spacing w:line="360" w:lineRule="auto"/>
        <w:rPr>
          <w:rFonts w:cs="Arial"/>
          <w:szCs w:val="24"/>
        </w:rPr>
      </w:pPr>
    </w:p>
    <w:p w14:paraId="506A57D7" w14:textId="7E849E3D" w:rsidR="00B8609A" w:rsidRPr="00B8609A" w:rsidRDefault="00B8609A" w:rsidP="00F9312C">
      <w:pPr>
        <w:spacing w:line="360" w:lineRule="auto"/>
        <w:rPr>
          <w:i/>
          <w:iCs/>
          <w:lang w:bidi="en-US"/>
        </w:rPr>
      </w:pPr>
      <w:r w:rsidRPr="00B8609A">
        <w:rPr>
          <w:i/>
          <w:iCs/>
          <w:lang w:bidi="en-US"/>
        </w:rPr>
        <w:t>Mobility policy</w:t>
      </w:r>
    </w:p>
    <w:p w14:paraId="30769622" w14:textId="1AB8A382" w:rsidR="00B8609A" w:rsidRDefault="00B8609A" w:rsidP="00F9312C">
      <w:pPr>
        <w:spacing w:line="360" w:lineRule="auto"/>
        <w:rPr>
          <w:rFonts w:cs="Arial"/>
          <w:szCs w:val="24"/>
        </w:rPr>
      </w:pPr>
      <w:r>
        <w:rPr>
          <w:lang w:bidi="en-US"/>
        </w:rPr>
        <w:t xml:space="preserve">For a long time, walking and the use of roads by pedestrians </w:t>
      </w:r>
      <w:proofErr w:type="gramStart"/>
      <w:r>
        <w:rPr>
          <w:lang w:bidi="en-US"/>
        </w:rPr>
        <w:t>has</w:t>
      </w:r>
      <w:proofErr w:type="gramEnd"/>
      <w:r>
        <w:rPr>
          <w:lang w:bidi="en-US"/>
        </w:rPr>
        <w:t xml:space="preserve"> been treated as a policy subject regarding road safety. Pedestrians were termed as vulnerable road users and policy measures were aimed at improving their safety.</w:t>
      </w:r>
      <w:r>
        <w:rPr>
          <w:rStyle w:val="FootnoteReference"/>
          <w:lang w:bidi="en-US"/>
        </w:rPr>
        <w:footnoteReference w:id="127"/>
      </w:r>
      <w:r>
        <w:rPr>
          <w:lang w:bidi="en-US"/>
        </w:rPr>
        <w:t xml:space="preserve"> Within the central government, the Ministry of Infrastructure and Water Management is responsible for mobility. One of the recent policy areas is the development and stimulation of walking as an important means of transport. In 2019, the Ministry established a national platform on the topic of walking: ‘</w:t>
      </w:r>
      <w:r w:rsidRPr="00D9681D">
        <w:rPr>
          <w:i/>
          <w:iCs/>
          <w:lang w:bidi="en-US"/>
        </w:rPr>
        <w:t>Space for Walking’</w:t>
      </w:r>
      <w:r>
        <w:rPr>
          <w:lang w:bidi="en-US"/>
        </w:rPr>
        <w:t xml:space="preserve"> (‘</w:t>
      </w:r>
      <w:proofErr w:type="spellStart"/>
      <w:r>
        <w:rPr>
          <w:lang w:bidi="en-US"/>
        </w:rPr>
        <w:t>Ruimte</w:t>
      </w:r>
      <w:proofErr w:type="spellEnd"/>
      <w:r>
        <w:rPr>
          <w:lang w:bidi="en-US"/>
        </w:rPr>
        <w:t xml:space="preserve"> </w:t>
      </w:r>
      <w:proofErr w:type="spellStart"/>
      <w:r>
        <w:rPr>
          <w:lang w:bidi="en-US"/>
        </w:rPr>
        <w:t>voor</w:t>
      </w:r>
      <w:proofErr w:type="spellEnd"/>
      <w:r>
        <w:rPr>
          <w:lang w:bidi="en-US"/>
        </w:rPr>
        <w:t xml:space="preserve"> </w:t>
      </w:r>
      <w:proofErr w:type="spellStart"/>
      <w:r>
        <w:rPr>
          <w:lang w:bidi="en-US"/>
        </w:rPr>
        <w:t>Lopen</w:t>
      </w:r>
      <w:proofErr w:type="spellEnd"/>
      <w:r>
        <w:rPr>
          <w:lang w:bidi="en-US"/>
        </w:rPr>
        <w:t>’).</w:t>
      </w:r>
      <w:r>
        <w:rPr>
          <w:rStyle w:val="FootnoteReference"/>
          <w:lang w:bidi="en-US"/>
        </w:rPr>
        <w:footnoteReference w:id="128"/>
      </w:r>
      <w:r>
        <w:rPr>
          <w:lang w:bidi="en-US"/>
        </w:rPr>
        <w:t xml:space="preserve"> The platform comprises of around 30 participating organisations, ranging from expertise centres such as CROW</w:t>
      </w:r>
      <w:r>
        <w:rPr>
          <w:rStyle w:val="FootnoteReference"/>
          <w:lang w:bidi="en-US"/>
        </w:rPr>
        <w:footnoteReference w:id="129"/>
      </w:r>
      <w:r>
        <w:rPr>
          <w:lang w:bidi="en-US"/>
        </w:rPr>
        <w:t xml:space="preserve"> and SWOV</w:t>
      </w:r>
      <w:r>
        <w:rPr>
          <w:rStyle w:val="FootnoteReference"/>
          <w:lang w:bidi="en-US"/>
        </w:rPr>
        <w:footnoteReference w:id="130"/>
      </w:r>
      <w:r>
        <w:rPr>
          <w:lang w:bidi="en-US"/>
        </w:rPr>
        <w:t xml:space="preserve"> to interest organisations for leisure walkers such as </w:t>
      </w:r>
      <w:proofErr w:type="spellStart"/>
      <w:r>
        <w:rPr>
          <w:lang w:bidi="en-US"/>
        </w:rPr>
        <w:t>Wandelnet</w:t>
      </w:r>
      <w:proofErr w:type="spellEnd"/>
      <w:r>
        <w:rPr>
          <w:rStyle w:val="FootnoteReference"/>
          <w:lang w:bidi="en-US"/>
        </w:rPr>
        <w:footnoteReference w:id="131"/>
      </w:r>
      <w:r>
        <w:rPr>
          <w:lang w:bidi="en-US"/>
        </w:rPr>
        <w:t xml:space="preserve"> and for persons with disabilities such as </w:t>
      </w:r>
      <w:proofErr w:type="spellStart"/>
      <w:proofErr w:type="gramStart"/>
      <w:r>
        <w:rPr>
          <w:lang w:bidi="en-US"/>
        </w:rPr>
        <w:t>Ieder</w:t>
      </w:r>
      <w:proofErr w:type="spellEnd"/>
      <w:r>
        <w:rPr>
          <w:lang w:bidi="en-US"/>
        </w:rPr>
        <w:t>(</w:t>
      </w:r>
      <w:proofErr w:type="gramEnd"/>
      <w:r>
        <w:rPr>
          <w:lang w:bidi="en-US"/>
        </w:rPr>
        <w:t>in).</w:t>
      </w:r>
      <w:r>
        <w:rPr>
          <w:rStyle w:val="FootnoteReference"/>
          <w:lang w:bidi="en-US"/>
        </w:rPr>
        <w:footnoteReference w:id="132"/>
      </w:r>
      <w:r>
        <w:rPr>
          <w:lang w:bidi="en-US"/>
        </w:rPr>
        <w:t xml:space="preserve"> The members of the platform are developing a strategic agenda to create an impulse for walking as a mobility issue. The agenda will be presented in October 2020.</w:t>
      </w:r>
      <w:r>
        <w:rPr>
          <w:rStyle w:val="FootnoteReference"/>
          <w:lang w:bidi="en-US"/>
        </w:rPr>
        <w:footnoteReference w:id="133"/>
      </w:r>
      <w:r>
        <w:rPr>
          <w:lang w:bidi="en-US"/>
        </w:rPr>
        <w:t xml:space="preserve"> Various participating organisations are proponents of accessibility and the expectation is that accessibility of pedestrian areas is one of the topics.</w:t>
      </w:r>
    </w:p>
    <w:p w14:paraId="7D6365CF" w14:textId="77777777" w:rsidR="00B8609A" w:rsidRDefault="00B8609A" w:rsidP="00F9312C">
      <w:pPr>
        <w:spacing w:line="360" w:lineRule="auto"/>
        <w:rPr>
          <w:rFonts w:cs="Arial"/>
          <w:szCs w:val="24"/>
        </w:rPr>
      </w:pPr>
    </w:p>
    <w:p w14:paraId="1348F0BD" w14:textId="325383E8" w:rsidR="003923EC" w:rsidRPr="00B8609A" w:rsidRDefault="003923EC" w:rsidP="00F9312C">
      <w:pPr>
        <w:spacing w:line="360" w:lineRule="auto"/>
        <w:rPr>
          <w:rFonts w:cs="Arial"/>
          <w:i/>
          <w:iCs/>
          <w:szCs w:val="24"/>
        </w:rPr>
      </w:pPr>
      <w:r w:rsidRPr="00B8609A">
        <w:rPr>
          <w:rFonts w:cs="Arial"/>
          <w:i/>
          <w:iCs/>
          <w:szCs w:val="24"/>
        </w:rPr>
        <w:t>Voluntary standards</w:t>
      </w:r>
    </w:p>
    <w:p w14:paraId="725EAC21" w14:textId="5D0C20D4" w:rsidR="00114345" w:rsidRDefault="003923EC" w:rsidP="00F9312C">
      <w:pPr>
        <w:spacing w:line="360" w:lineRule="auto"/>
        <w:rPr>
          <w:rFonts w:cs="Arial"/>
          <w:szCs w:val="24"/>
        </w:rPr>
      </w:pPr>
      <w:r>
        <w:rPr>
          <w:rFonts w:cs="Arial"/>
          <w:szCs w:val="24"/>
        </w:rPr>
        <w:t xml:space="preserve">In the planning and design of the built environment and streets, the majority of municipalities apply standards developed by </w:t>
      </w:r>
      <w:r w:rsidR="00E1778A">
        <w:rPr>
          <w:rFonts w:cs="Arial"/>
          <w:szCs w:val="24"/>
        </w:rPr>
        <w:t>the</w:t>
      </w:r>
      <w:r>
        <w:rPr>
          <w:rFonts w:cs="Arial"/>
          <w:szCs w:val="24"/>
        </w:rPr>
        <w:t xml:space="preserve"> leading </w:t>
      </w:r>
      <w:r w:rsidR="00E1778A">
        <w:rPr>
          <w:rFonts w:cs="Arial"/>
          <w:szCs w:val="24"/>
        </w:rPr>
        <w:t>not for profit</w:t>
      </w:r>
      <w:r>
        <w:rPr>
          <w:rFonts w:cs="Arial"/>
          <w:szCs w:val="24"/>
        </w:rPr>
        <w:t xml:space="preserve"> organisation, CROW.</w:t>
      </w:r>
      <w:r w:rsidR="00E1778A">
        <w:rPr>
          <w:rStyle w:val="FootnoteReference"/>
          <w:rFonts w:cs="Arial"/>
          <w:szCs w:val="24"/>
        </w:rPr>
        <w:footnoteReference w:id="134"/>
      </w:r>
      <w:r>
        <w:rPr>
          <w:rFonts w:cs="Arial"/>
          <w:szCs w:val="24"/>
        </w:rPr>
        <w:t xml:space="preserve"> CROW </w:t>
      </w:r>
      <w:r w:rsidR="00E1778A">
        <w:rPr>
          <w:rFonts w:cs="Arial"/>
          <w:szCs w:val="24"/>
        </w:rPr>
        <w:t xml:space="preserve">is active in the </w:t>
      </w:r>
      <w:r w:rsidR="00E1778A">
        <w:t xml:space="preserve">design, construction and management of roads and other traffic and transport facilities. It </w:t>
      </w:r>
      <w:r>
        <w:rPr>
          <w:rFonts w:cs="Arial"/>
          <w:szCs w:val="24"/>
        </w:rPr>
        <w:t xml:space="preserve">develops guidelines and </w:t>
      </w:r>
      <w:r w:rsidR="00E1778A">
        <w:rPr>
          <w:rFonts w:cs="Arial"/>
          <w:szCs w:val="24"/>
        </w:rPr>
        <w:t>manuals</w:t>
      </w:r>
      <w:r>
        <w:rPr>
          <w:rFonts w:cs="Arial"/>
          <w:szCs w:val="24"/>
        </w:rPr>
        <w:t xml:space="preserve"> with details of dimensions and layout of public spaces. For the purposes of accessibility of streets, the ASVV </w:t>
      </w:r>
      <w:r w:rsidR="00114345">
        <w:rPr>
          <w:rFonts w:cs="Arial"/>
          <w:szCs w:val="24"/>
        </w:rPr>
        <w:t>manual</w:t>
      </w:r>
      <w:r w:rsidR="00E1778A">
        <w:rPr>
          <w:rStyle w:val="FootnoteReference"/>
          <w:rFonts w:cs="Arial"/>
          <w:szCs w:val="24"/>
        </w:rPr>
        <w:footnoteReference w:id="135"/>
      </w:r>
      <w:r w:rsidR="00114345">
        <w:rPr>
          <w:rFonts w:cs="Arial"/>
          <w:szCs w:val="24"/>
        </w:rPr>
        <w:t xml:space="preserve"> </w:t>
      </w:r>
      <w:r>
        <w:rPr>
          <w:rFonts w:cs="Arial"/>
          <w:szCs w:val="24"/>
        </w:rPr>
        <w:t>is an important source. The width of pavements, the type of surface and the recommende</w:t>
      </w:r>
      <w:r w:rsidR="00114345">
        <w:rPr>
          <w:rFonts w:cs="Arial"/>
          <w:szCs w:val="24"/>
        </w:rPr>
        <w:t>d</w:t>
      </w:r>
      <w:r>
        <w:rPr>
          <w:rFonts w:cs="Arial"/>
          <w:szCs w:val="24"/>
        </w:rPr>
        <w:t xml:space="preserve"> materials are </w:t>
      </w:r>
      <w:r w:rsidR="00114345">
        <w:rPr>
          <w:rFonts w:cs="Arial"/>
          <w:szCs w:val="24"/>
        </w:rPr>
        <w:t>described in detail in the manual. Although the ASVV is not legislation, administrative courts attach a high relevance to it.</w:t>
      </w:r>
      <w:r w:rsidR="00E1778A">
        <w:rPr>
          <w:rFonts w:cs="Arial"/>
          <w:szCs w:val="24"/>
        </w:rPr>
        <w:t xml:space="preserve"> Because t</w:t>
      </w:r>
      <w:r w:rsidR="00114345" w:rsidRPr="00114345">
        <w:rPr>
          <w:rFonts w:cs="Arial"/>
          <w:szCs w:val="24"/>
        </w:rPr>
        <w:t>he ASVV standards are</w:t>
      </w:r>
      <w:r w:rsidR="00B8609A">
        <w:rPr>
          <w:rFonts w:cs="Arial"/>
          <w:szCs w:val="24"/>
        </w:rPr>
        <w:t xml:space="preserve"> being referred to and applied by municipalities and because of the lack of statutory law, courts follow the content of the manual.</w:t>
      </w:r>
      <w:r w:rsidR="00114345" w:rsidRPr="00114345">
        <w:rPr>
          <w:rFonts w:cs="Arial"/>
          <w:szCs w:val="24"/>
        </w:rPr>
        <w:t xml:space="preserve"> </w:t>
      </w:r>
      <w:r w:rsidR="00B8609A">
        <w:rPr>
          <w:rFonts w:cs="Arial"/>
          <w:szCs w:val="24"/>
        </w:rPr>
        <w:t xml:space="preserve">However, it is settled case law that the ASVV contains </w:t>
      </w:r>
      <w:r w:rsidR="00114345" w:rsidRPr="00114345">
        <w:rPr>
          <w:rFonts w:cs="Arial"/>
          <w:szCs w:val="24"/>
        </w:rPr>
        <w:t>recommendations</w:t>
      </w:r>
      <w:r w:rsidR="00B8609A">
        <w:rPr>
          <w:rFonts w:cs="Arial"/>
          <w:szCs w:val="24"/>
        </w:rPr>
        <w:t>.</w:t>
      </w:r>
      <w:r w:rsidR="00114345" w:rsidRPr="00114345">
        <w:rPr>
          <w:rFonts w:cs="Arial"/>
          <w:szCs w:val="24"/>
        </w:rPr>
        <w:t xml:space="preserve"> </w:t>
      </w:r>
      <w:r w:rsidR="00B8609A">
        <w:rPr>
          <w:rFonts w:cs="Arial"/>
          <w:szCs w:val="24"/>
        </w:rPr>
        <w:t>T</w:t>
      </w:r>
      <w:r w:rsidR="00114345" w:rsidRPr="00114345">
        <w:rPr>
          <w:rFonts w:cs="Arial"/>
          <w:szCs w:val="24"/>
        </w:rPr>
        <w:t xml:space="preserve">he </w:t>
      </w:r>
      <w:r w:rsidR="00114345">
        <w:rPr>
          <w:rFonts w:cs="Arial"/>
          <w:szCs w:val="24"/>
        </w:rPr>
        <w:t>m</w:t>
      </w:r>
      <w:r w:rsidR="00114345" w:rsidRPr="00114345">
        <w:rPr>
          <w:rFonts w:cs="Arial"/>
          <w:szCs w:val="24"/>
        </w:rPr>
        <w:t>unicipal</w:t>
      </w:r>
      <w:r w:rsidR="00114345">
        <w:rPr>
          <w:rFonts w:cs="Arial"/>
          <w:szCs w:val="24"/>
        </w:rPr>
        <w:t>ity</w:t>
      </w:r>
      <w:r w:rsidR="00114345" w:rsidRPr="00114345">
        <w:rPr>
          <w:rFonts w:cs="Arial"/>
          <w:szCs w:val="24"/>
        </w:rPr>
        <w:t xml:space="preserve"> is not obliged to follow these</w:t>
      </w:r>
      <w:r w:rsidR="00114345">
        <w:rPr>
          <w:rFonts w:cs="Arial"/>
          <w:szCs w:val="24"/>
        </w:rPr>
        <w:t>. And</w:t>
      </w:r>
      <w:r w:rsidR="00114345" w:rsidRPr="00114345">
        <w:rPr>
          <w:rFonts w:cs="Arial"/>
          <w:szCs w:val="24"/>
        </w:rPr>
        <w:t xml:space="preserve"> </w:t>
      </w:r>
      <w:r w:rsidR="00114345">
        <w:rPr>
          <w:rFonts w:cs="Arial"/>
          <w:szCs w:val="24"/>
        </w:rPr>
        <w:t xml:space="preserve">in case a municipality </w:t>
      </w:r>
      <w:r w:rsidR="00114345" w:rsidRPr="00114345">
        <w:rPr>
          <w:rFonts w:cs="Arial"/>
          <w:szCs w:val="24"/>
        </w:rPr>
        <w:t>ha</w:t>
      </w:r>
      <w:r w:rsidR="00114345">
        <w:rPr>
          <w:rFonts w:cs="Arial"/>
          <w:szCs w:val="24"/>
        </w:rPr>
        <w:t>s</w:t>
      </w:r>
      <w:r w:rsidR="00114345" w:rsidRPr="00114345">
        <w:rPr>
          <w:rFonts w:cs="Arial"/>
          <w:szCs w:val="24"/>
        </w:rPr>
        <w:t xml:space="preserve"> applied it as a guideline</w:t>
      </w:r>
      <w:r w:rsidR="00114345">
        <w:rPr>
          <w:rFonts w:cs="Arial"/>
          <w:szCs w:val="24"/>
        </w:rPr>
        <w:t>, it</w:t>
      </w:r>
      <w:r w:rsidR="00114345" w:rsidRPr="00114345">
        <w:rPr>
          <w:rFonts w:cs="Arial"/>
          <w:szCs w:val="24"/>
        </w:rPr>
        <w:t xml:space="preserve"> may deviate from this with </w:t>
      </w:r>
      <w:r w:rsidR="00114345">
        <w:rPr>
          <w:rFonts w:cs="Arial"/>
          <w:szCs w:val="24"/>
        </w:rPr>
        <w:t>due motivation.</w:t>
      </w:r>
      <w:r w:rsidR="00114345">
        <w:rPr>
          <w:rStyle w:val="FootnoteReference"/>
          <w:rFonts w:cs="Arial"/>
          <w:szCs w:val="24"/>
        </w:rPr>
        <w:footnoteReference w:id="136"/>
      </w:r>
    </w:p>
    <w:p w14:paraId="189D75AD" w14:textId="77777777" w:rsidR="003923EC" w:rsidRDefault="003923EC" w:rsidP="00F9312C">
      <w:pPr>
        <w:spacing w:line="360" w:lineRule="auto"/>
        <w:rPr>
          <w:rFonts w:cs="Arial"/>
          <w:szCs w:val="24"/>
        </w:rPr>
      </w:pPr>
    </w:p>
    <w:p w14:paraId="14B2B2E3" w14:textId="77777777" w:rsidR="005B760B" w:rsidRPr="005B1453" w:rsidRDefault="005B760B" w:rsidP="00F9312C">
      <w:pPr>
        <w:spacing w:line="360" w:lineRule="auto"/>
        <w:rPr>
          <w:i/>
          <w:iCs/>
        </w:rPr>
      </w:pPr>
      <w:r w:rsidRPr="005B1453">
        <w:rPr>
          <w:i/>
          <w:iCs/>
        </w:rPr>
        <w:t xml:space="preserve">Future developments </w:t>
      </w:r>
    </w:p>
    <w:p w14:paraId="268576D9" w14:textId="01F33E52" w:rsidR="005B760B" w:rsidRDefault="005B760B" w:rsidP="00F9312C">
      <w:pPr>
        <w:spacing w:line="360" w:lineRule="auto"/>
      </w:pPr>
      <w:r>
        <w:t xml:space="preserve">The </w:t>
      </w:r>
      <w:r w:rsidR="00B8609A">
        <w:t xml:space="preserve">existing </w:t>
      </w:r>
      <w:r>
        <w:t xml:space="preserve">Spatial Planning Act and the Building Decree will in time be replaced by </w:t>
      </w:r>
      <w:proofErr w:type="gramStart"/>
      <w:r>
        <w:t>an</w:t>
      </w:r>
      <w:proofErr w:type="gramEnd"/>
      <w:r>
        <w:t xml:space="preserve"> new, comprehensive Act, the Environment and Planning Bill (‘</w:t>
      </w:r>
      <w:proofErr w:type="spellStart"/>
      <w:r w:rsidRPr="002755D8">
        <w:rPr>
          <w:i/>
          <w:iCs/>
        </w:rPr>
        <w:t>Omgevingswet</w:t>
      </w:r>
      <w:proofErr w:type="spellEnd"/>
      <w:r>
        <w:rPr>
          <w:i/>
          <w:iCs/>
        </w:rPr>
        <w:t>’).</w:t>
      </w:r>
      <w:r>
        <w:t xml:space="preserve"> The Bill is currently under review in the First Chamber.</w:t>
      </w:r>
      <w:r>
        <w:rPr>
          <w:rStyle w:val="FootnoteReference"/>
        </w:rPr>
        <w:footnoteReference w:id="137"/>
      </w:r>
      <w:r>
        <w:t xml:space="preserve"> The date of entry into force has been postponed a number of times. It is now envisaged that the law will enter into force in 2021.</w:t>
      </w:r>
      <w:r>
        <w:rPr>
          <w:rStyle w:val="FootnoteReference"/>
        </w:rPr>
        <w:footnoteReference w:id="138"/>
      </w:r>
      <w:r>
        <w:t xml:space="preserve">  </w:t>
      </w:r>
    </w:p>
    <w:p w14:paraId="692D2823" w14:textId="77777777" w:rsidR="005B760B" w:rsidRDefault="005B760B" w:rsidP="00F9312C">
      <w:pPr>
        <w:spacing w:line="360" w:lineRule="auto"/>
      </w:pPr>
      <w:r>
        <w:t>According to the Dutch government, the new Act seeks to modernise, harmonise and simplify current rules on land use planning, environmental protection, nature conservation, construction of buildings, protection of cultural heritage, water management, urban and rural redevelopment, development of major public and private works and mining and earth removal and integrate these rules into one legal framework.</w:t>
      </w:r>
    </w:p>
    <w:p w14:paraId="0469C798" w14:textId="77777777" w:rsidR="005B760B" w:rsidRDefault="005B760B" w:rsidP="00F9312C">
      <w:pPr>
        <w:spacing w:line="360" w:lineRule="auto"/>
      </w:pPr>
      <w:r>
        <w:t xml:space="preserve">The initial Bill did not contain specific sections relating to accessibility of public spaces for persons with disabilities. </w:t>
      </w:r>
    </w:p>
    <w:p w14:paraId="691AD5E0" w14:textId="5942AC59" w:rsidR="005B760B" w:rsidRDefault="005B760B" w:rsidP="00F9312C">
      <w:pPr>
        <w:spacing w:line="360" w:lineRule="auto"/>
      </w:pPr>
      <w:r>
        <w:t>During the parliamentary debate in the Second Chamber, several amendments to include more specific sections on accessibility were submitted. This led to the inclusion of sections about the promotion of accessibility of public spaces.</w:t>
      </w:r>
      <w:r>
        <w:rPr>
          <w:rStyle w:val="FootnoteReference"/>
        </w:rPr>
        <w:footnoteReference w:id="139"/>
      </w:r>
      <w:r>
        <w:t xml:space="preserve"> According to the added</w:t>
      </w:r>
      <w:r w:rsidR="00BC1033">
        <w:t xml:space="preserve"> article </w:t>
      </w:r>
      <w:r>
        <w:t>2.1.3 (s) Environment and Planning Bill, one of the purposes of the Bill is the promotion of accessibility for persons.</w:t>
      </w:r>
      <w:r w:rsidR="00BC1033">
        <w:t xml:space="preserve"> </w:t>
      </w:r>
      <w:proofErr w:type="gramStart"/>
      <w:r w:rsidR="00BC1033">
        <w:t>article</w:t>
      </w:r>
      <w:proofErr w:type="gramEnd"/>
      <w:r w:rsidR="00BC1033">
        <w:t xml:space="preserve"> </w:t>
      </w:r>
      <w:r>
        <w:t>2.28 of the Bill addresses the local environmental plans: if</w:t>
      </w:r>
      <w:r w:rsidRPr="000D4311">
        <w:t xml:space="preserve"> an environmental plan provides for new developments</w:t>
      </w:r>
      <w:r>
        <w:t xml:space="preserve">, it </w:t>
      </w:r>
      <w:r w:rsidR="00B8609A">
        <w:t>is required to</w:t>
      </w:r>
      <w:r>
        <w:t xml:space="preserve"> promote the </w:t>
      </w:r>
      <w:r w:rsidRPr="000D4311">
        <w:t>accessibility of that public outdoor space for pe</w:t>
      </w:r>
      <w:r>
        <w:t>rsons</w:t>
      </w:r>
      <w:r w:rsidRPr="000D4311">
        <w:t xml:space="preserve"> with disabilit</w:t>
      </w:r>
      <w:r>
        <w:t>ies. According to the parliamentarians</w:t>
      </w:r>
      <w:r w:rsidR="00B8609A">
        <w:t xml:space="preserve"> who submitted the </w:t>
      </w:r>
      <w:r w:rsidR="009B5BE5">
        <w:t>amendment</w:t>
      </w:r>
      <w:r>
        <w:t xml:space="preserve">, </w:t>
      </w:r>
      <w:r w:rsidRPr="00C12AEE">
        <w:t xml:space="preserve">administrative bodies must weigh the importance of the accessibility of public outdoor space against other interests involved. This consideration must be made, for example, when allocating functions to locations for new developments (construction of new residential areas and infrastructure) and also in restructuring. This consideration must also be </w:t>
      </w:r>
      <w:r>
        <w:t>made</w:t>
      </w:r>
      <w:r w:rsidRPr="00C12AEE">
        <w:t xml:space="preserve"> when, for example, laying down rules on the usability of public roads (such as the rules on shop displays, installing fences and </w:t>
      </w:r>
      <w:r>
        <w:t xml:space="preserve">parking </w:t>
      </w:r>
      <w:r w:rsidRPr="00C12AEE">
        <w:t>bicycles) and performing tasks such as protecting the state and operation of roads.</w:t>
      </w:r>
      <w:r>
        <w:rPr>
          <w:rStyle w:val="FootnoteReference"/>
        </w:rPr>
        <w:footnoteReference w:id="140"/>
      </w:r>
    </w:p>
    <w:p w14:paraId="25058804" w14:textId="77777777" w:rsidR="005B760B" w:rsidRDefault="005B760B" w:rsidP="00F9312C">
      <w:pPr>
        <w:spacing w:line="360" w:lineRule="auto"/>
      </w:pPr>
      <w:r w:rsidRPr="000E662A">
        <w:t xml:space="preserve">In the accompanying </w:t>
      </w:r>
      <w:r>
        <w:t xml:space="preserve">future </w:t>
      </w:r>
      <w:r w:rsidRPr="000E662A">
        <w:t>Decree</w:t>
      </w:r>
      <w:r>
        <w:t xml:space="preserve"> on Quality of the </w:t>
      </w:r>
      <w:r w:rsidRPr="000E662A">
        <w:t>Living Environment</w:t>
      </w:r>
      <w:r>
        <w:t>,</w:t>
      </w:r>
      <w:r>
        <w:rPr>
          <w:rStyle w:val="FootnoteReference"/>
        </w:rPr>
        <w:footnoteReference w:id="141"/>
      </w:r>
      <w:r>
        <w:t xml:space="preserve"> section 5.162 on accessibility of public space was introduced. The draft Decree contains instructions for provincial and municipal environmental plans. In these environmental plans, municipalities and provinces are required to take the promotion of accessibility for persons with disabilities into account. In the explanatory notes with this article, the government explains that ‘</w:t>
      </w:r>
      <w:r w:rsidRPr="002E443A">
        <w:t>municipalities can consider the importance of accessibility with a view to an equal use of public space by everyone. For example, rules in the environmental plan about the layout can explicitly pay attention to accessibility for people in a wheelchair and people with, for example, visual impairments.</w:t>
      </w:r>
      <w:r>
        <w:t>’</w:t>
      </w:r>
      <w:r>
        <w:rPr>
          <w:rStyle w:val="FootnoteReference"/>
        </w:rPr>
        <w:footnoteReference w:id="142"/>
      </w:r>
      <w:r>
        <w:t xml:space="preserve"> It instructs municipalities to apply the Integrated Accessibility Standard, ITS,</w:t>
      </w:r>
      <w:r>
        <w:rPr>
          <w:rStyle w:val="FootnoteReference"/>
        </w:rPr>
        <w:footnoteReference w:id="143"/>
      </w:r>
      <w:r>
        <w:t xml:space="preserve"> as a reference for buildings and the direct environment.</w:t>
      </w:r>
    </w:p>
    <w:p w14:paraId="0BB00ABA" w14:textId="77777777" w:rsidR="005B760B" w:rsidRDefault="005B760B" w:rsidP="00F9312C">
      <w:pPr>
        <w:spacing w:line="360" w:lineRule="auto"/>
      </w:pPr>
      <w:r>
        <w:t xml:space="preserve">It is worth to note that the text of the Bill and the Decree allow room for interpretation. Implementation is on a more or less voluntary basis. The instructions require public bodies to strive for accessibility rather than setting accessibility as a result oriented obligation. </w:t>
      </w:r>
    </w:p>
    <w:p w14:paraId="170D17FE" w14:textId="195FDC4F" w:rsidR="005B760B" w:rsidRPr="00C64CB8" w:rsidRDefault="005B760B" w:rsidP="00F9312C">
      <w:pPr>
        <w:spacing w:line="360" w:lineRule="auto"/>
        <w:rPr>
          <w:szCs w:val="24"/>
        </w:rPr>
      </w:pPr>
      <w:r>
        <w:t xml:space="preserve">Accompanying the Environment and Planning Bill, a National Strategy on Spatial Planning and the Environment has been drafted. </w:t>
      </w:r>
      <w:r w:rsidRPr="00726F46">
        <w:rPr>
          <w:rFonts w:cs="Arial"/>
          <w:szCs w:val="24"/>
        </w:rPr>
        <w:t xml:space="preserve">The underlying principle </w:t>
      </w:r>
      <w:r>
        <w:rPr>
          <w:rFonts w:cs="Arial"/>
          <w:szCs w:val="24"/>
        </w:rPr>
        <w:t>of th</w:t>
      </w:r>
      <w:r w:rsidR="009813C4">
        <w:rPr>
          <w:rFonts w:cs="Arial"/>
          <w:szCs w:val="24"/>
        </w:rPr>
        <w:t>is</w:t>
      </w:r>
      <w:r>
        <w:rPr>
          <w:rFonts w:cs="Arial"/>
          <w:szCs w:val="24"/>
        </w:rPr>
        <w:t xml:space="preserve"> long-term strategy</w:t>
      </w:r>
      <w:r w:rsidRPr="00726F46">
        <w:rPr>
          <w:rFonts w:cs="Arial"/>
          <w:szCs w:val="24"/>
        </w:rPr>
        <w:t xml:space="preserve"> is that interventions in the living environment must not take place in isolation, but in combination with other interventions.</w:t>
      </w:r>
      <w:r w:rsidRPr="00726F46">
        <w:rPr>
          <w:szCs w:val="24"/>
        </w:rPr>
        <w:t xml:space="preserve"> </w:t>
      </w:r>
      <w:r>
        <w:rPr>
          <w:szCs w:val="24"/>
        </w:rPr>
        <w:t xml:space="preserve">Accessibility is mentioned as one of the </w:t>
      </w:r>
      <w:r w:rsidR="004912CE">
        <w:rPr>
          <w:szCs w:val="24"/>
        </w:rPr>
        <w:t xml:space="preserve">national interests and a </w:t>
      </w:r>
      <w:r>
        <w:rPr>
          <w:szCs w:val="24"/>
        </w:rPr>
        <w:t xml:space="preserve">parameter for </w:t>
      </w:r>
      <w:r w:rsidRPr="00C64CB8">
        <w:rPr>
          <w:rFonts w:cs="Arial"/>
          <w:szCs w:val="24"/>
        </w:rPr>
        <w:t>the quality of life in towns and villages</w:t>
      </w:r>
      <w:r>
        <w:rPr>
          <w:rFonts w:cs="Arial"/>
          <w:szCs w:val="24"/>
        </w:rPr>
        <w:t>.</w:t>
      </w:r>
      <w:r>
        <w:rPr>
          <w:rStyle w:val="FootnoteReference"/>
          <w:rFonts w:cs="Arial"/>
          <w:szCs w:val="24"/>
        </w:rPr>
        <w:footnoteReference w:id="144"/>
      </w:r>
      <w:r>
        <w:rPr>
          <w:rFonts w:cs="Arial"/>
          <w:szCs w:val="24"/>
        </w:rPr>
        <w:t xml:space="preserve"> </w:t>
      </w:r>
      <w:r w:rsidR="00227B5B">
        <w:rPr>
          <w:rFonts w:cs="Arial"/>
          <w:szCs w:val="24"/>
        </w:rPr>
        <w:t>According to the document, t</w:t>
      </w:r>
      <w:r w:rsidR="00227B5B" w:rsidRPr="00227B5B">
        <w:rPr>
          <w:rFonts w:cs="Arial"/>
          <w:szCs w:val="24"/>
        </w:rPr>
        <w:t>he challenge is to improve the accessibility of buildings, public transport and public space (including emergency and emergency services) and to ensure the availability of sufficient suitable housing and housing for people with disabilities</w:t>
      </w:r>
      <w:r w:rsidR="00227B5B">
        <w:rPr>
          <w:rFonts w:cs="Arial"/>
          <w:szCs w:val="24"/>
        </w:rPr>
        <w:t xml:space="preserve">. </w:t>
      </w:r>
      <w:r w:rsidR="004912CE">
        <w:rPr>
          <w:rFonts w:cs="Arial"/>
          <w:szCs w:val="24"/>
        </w:rPr>
        <w:t>Although t</w:t>
      </w:r>
      <w:r>
        <w:rPr>
          <w:rFonts w:cs="Arial"/>
          <w:szCs w:val="24"/>
        </w:rPr>
        <w:t xml:space="preserve">he </w:t>
      </w:r>
      <w:r w:rsidR="004912CE">
        <w:rPr>
          <w:rFonts w:cs="Arial"/>
          <w:szCs w:val="24"/>
        </w:rPr>
        <w:t xml:space="preserve">National </w:t>
      </w:r>
      <w:r>
        <w:rPr>
          <w:rFonts w:cs="Arial"/>
          <w:szCs w:val="24"/>
        </w:rPr>
        <w:t xml:space="preserve">Strategy will enter into force at </w:t>
      </w:r>
      <w:proofErr w:type="gramStart"/>
      <w:r>
        <w:rPr>
          <w:rFonts w:cs="Arial"/>
          <w:szCs w:val="24"/>
        </w:rPr>
        <w:t>same</w:t>
      </w:r>
      <w:proofErr w:type="gramEnd"/>
      <w:r>
        <w:rPr>
          <w:rFonts w:cs="Arial"/>
          <w:szCs w:val="24"/>
        </w:rPr>
        <w:t xml:space="preserve"> the time as the new Act</w:t>
      </w:r>
      <w:r w:rsidR="004912CE">
        <w:rPr>
          <w:rFonts w:cs="Arial"/>
          <w:szCs w:val="24"/>
        </w:rPr>
        <w:t>, relevant authorities are already preparing rules and regulations for its enforcement</w:t>
      </w:r>
      <w:r>
        <w:rPr>
          <w:rFonts w:cs="Arial"/>
          <w:szCs w:val="24"/>
        </w:rPr>
        <w:t>.</w:t>
      </w:r>
      <w:r w:rsidR="004912CE">
        <w:rPr>
          <w:rStyle w:val="FootnoteReference"/>
          <w:rFonts w:cs="Arial"/>
          <w:szCs w:val="24"/>
        </w:rPr>
        <w:footnoteReference w:id="145"/>
      </w:r>
      <w:r>
        <w:rPr>
          <w:rFonts w:cs="Arial"/>
          <w:szCs w:val="24"/>
        </w:rPr>
        <w:t xml:space="preserve"> </w:t>
      </w:r>
    </w:p>
    <w:p w14:paraId="51669478" w14:textId="5BE1D8B0" w:rsidR="00EE37DF" w:rsidRDefault="00EE37DF" w:rsidP="00F9312C">
      <w:pPr>
        <w:spacing w:line="360" w:lineRule="auto"/>
      </w:pPr>
    </w:p>
    <w:p w14:paraId="437440CF" w14:textId="77777777" w:rsidR="0003704F" w:rsidRPr="0003704F" w:rsidRDefault="0003704F" w:rsidP="00F9312C">
      <w:pPr>
        <w:pStyle w:val="Heading3"/>
        <w:spacing w:line="360" w:lineRule="auto"/>
        <w:rPr>
          <w:b/>
          <w:bCs w:val="0"/>
        </w:rPr>
      </w:pPr>
      <w:r w:rsidRPr="0003704F">
        <w:rPr>
          <w:b/>
          <w:bCs w:val="0"/>
        </w:rPr>
        <w:t>A4.4 Structures for Stakeholder Involvement</w:t>
      </w:r>
    </w:p>
    <w:p w14:paraId="4F60D287" w14:textId="3506651F" w:rsidR="000A4C29" w:rsidRDefault="000A4C29" w:rsidP="00F9312C">
      <w:pPr>
        <w:spacing w:line="360" w:lineRule="auto"/>
      </w:pPr>
    </w:p>
    <w:p w14:paraId="22C4E291" w14:textId="387B6FBF" w:rsidR="007337B7" w:rsidRPr="007337B7" w:rsidRDefault="007337B7" w:rsidP="00F9312C">
      <w:pPr>
        <w:spacing w:line="360" w:lineRule="auto"/>
        <w:rPr>
          <w:i/>
          <w:iCs/>
        </w:rPr>
      </w:pPr>
      <w:r w:rsidRPr="007337B7">
        <w:rPr>
          <w:i/>
          <w:iCs/>
        </w:rPr>
        <w:t>Ratification CRPD</w:t>
      </w:r>
    </w:p>
    <w:p w14:paraId="77CDA190" w14:textId="424FA50D" w:rsidR="008D1B5D" w:rsidRDefault="000A4C29" w:rsidP="00F9312C">
      <w:pPr>
        <w:spacing w:line="360" w:lineRule="auto"/>
      </w:pPr>
      <w:r>
        <w:t>In the run-up to the ratification</w:t>
      </w:r>
      <w:r w:rsidR="00C842C8">
        <w:t xml:space="preserve"> of CRPD</w:t>
      </w:r>
      <w:r>
        <w:t xml:space="preserve">, the government </w:t>
      </w:r>
      <w:r w:rsidR="008D1B5D">
        <w:t>asked 42 organisations for their view on the draft bill. Of the invited organisations, 17 submitted their view on the draft. Among the organisations that replied, the NIHR</w:t>
      </w:r>
      <w:r w:rsidR="008D1B5D">
        <w:rPr>
          <w:rStyle w:val="FootnoteReference"/>
        </w:rPr>
        <w:footnoteReference w:id="146"/>
      </w:r>
      <w:r w:rsidR="008D1B5D">
        <w:t xml:space="preserve"> and the Electoral Council</w:t>
      </w:r>
      <w:r w:rsidR="008D1B5D">
        <w:rPr>
          <w:rStyle w:val="FootnoteReference"/>
        </w:rPr>
        <w:footnoteReference w:id="147"/>
      </w:r>
      <w:r w:rsidR="008D1B5D">
        <w:t xml:space="preserve"> submitted their advisory opinions. Both institutions did not refer to accessibility of public spaces. </w:t>
      </w:r>
    </w:p>
    <w:p w14:paraId="51623233" w14:textId="026F02DE" w:rsidR="000A4C29" w:rsidRDefault="008D1B5D" w:rsidP="00F9312C">
      <w:pPr>
        <w:spacing w:line="360" w:lineRule="auto"/>
      </w:pPr>
      <w:r>
        <w:t xml:space="preserve">The government also </w:t>
      </w:r>
      <w:r w:rsidR="000A4C29">
        <w:t>organised an online involvement for stakeholders. In most major new legislation op</w:t>
      </w:r>
      <w:r w:rsidR="00C842C8">
        <w:t>e</w:t>
      </w:r>
      <w:r w:rsidR="000A4C29">
        <w:t>ration, the input from civil society is sought through an online consultation process. Also in the case of the implementation legislation for CRPD, citizens and organizations were invited to give their view on the draft bill.</w:t>
      </w:r>
      <w:r w:rsidR="00C842C8">
        <w:rPr>
          <w:rStyle w:val="FootnoteReference"/>
        </w:rPr>
        <w:footnoteReference w:id="148"/>
      </w:r>
      <w:r w:rsidR="00C842C8">
        <w:t xml:space="preserve"> In total, 44 reactions were received, ranging from local DPOs to national organizations and individuals. </w:t>
      </w:r>
    </w:p>
    <w:p w14:paraId="606A9976" w14:textId="6781F4AD" w:rsidR="00C842C8" w:rsidRDefault="00AF2F1A" w:rsidP="00F9312C">
      <w:pPr>
        <w:spacing w:line="360" w:lineRule="auto"/>
      </w:pPr>
      <w:r>
        <w:t>In the Memorandum of Explanation</w:t>
      </w:r>
      <w:r w:rsidR="008D1B5D">
        <w:t xml:space="preserve"> of the Bill</w:t>
      </w:r>
      <w:r>
        <w:t xml:space="preserve">, the </w:t>
      </w:r>
      <w:r w:rsidR="008D1B5D">
        <w:t>views of the respondents were summarized.</w:t>
      </w:r>
      <w:r w:rsidR="008D1B5D">
        <w:rPr>
          <w:rStyle w:val="FootnoteReference"/>
        </w:rPr>
        <w:footnoteReference w:id="149"/>
      </w:r>
    </w:p>
    <w:p w14:paraId="5994D70C" w14:textId="3588E9D8" w:rsidR="00C842C8" w:rsidRPr="007337B7" w:rsidRDefault="00C842C8" w:rsidP="00F9312C">
      <w:pPr>
        <w:autoSpaceDE w:val="0"/>
        <w:autoSpaceDN w:val="0"/>
        <w:adjustRightInd w:val="0"/>
        <w:spacing w:line="360" w:lineRule="auto"/>
        <w:rPr>
          <w:rFonts w:cs="Arial"/>
          <w:sz w:val="20"/>
          <w:szCs w:val="20"/>
        </w:rPr>
      </w:pPr>
    </w:p>
    <w:p w14:paraId="1EEAD1BB" w14:textId="4E26DD25" w:rsidR="00AF2F1A" w:rsidRPr="00E87ED2" w:rsidRDefault="00AF2F1A" w:rsidP="00F9312C">
      <w:pPr>
        <w:spacing w:line="360" w:lineRule="auto"/>
        <w:rPr>
          <w:i/>
          <w:iCs/>
        </w:rPr>
      </w:pPr>
      <w:r w:rsidRPr="00E87ED2">
        <w:rPr>
          <w:i/>
          <w:iCs/>
        </w:rPr>
        <w:t>Policy</w:t>
      </w:r>
      <w:r w:rsidR="00E87ED2" w:rsidRPr="00E87ED2">
        <w:rPr>
          <w:i/>
          <w:iCs/>
        </w:rPr>
        <w:t xml:space="preserve"> development</w:t>
      </w:r>
    </w:p>
    <w:p w14:paraId="371DD1A5" w14:textId="5815F28B" w:rsidR="00F63578" w:rsidRDefault="00AF2F1A" w:rsidP="00F9312C">
      <w:pPr>
        <w:spacing w:line="360" w:lineRule="auto"/>
      </w:pPr>
      <w:r>
        <w:t>During the development</w:t>
      </w:r>
      <w:r w:rsidRPr="00AF2F1A">
        <w:t xml:space="preserve"> </w:t>
      </w:r>
      <w:r>
        <w:t xml:space="preserve">of the National Action Plan </w:t>
      </w:r>
      <w:proofErr w:type="spellStart"/>
      <w:r w:rsidRPr="00293A8D">
        <w:rPr>
          <w:i/>
          <w:iCs/>
        </w:rPr>
        <w:t>Onbepe</w:t>
      </w:r>
      <w:r w:rsidR="008D1B5D" w:rsidRPr="00293A8D">
        <w:rPr>
          <w:i/>
          <w:iCs/>
        </w:rPr>
        <w:t>r</w:t>
      </w:r>
      <w:r w:rsidRPr="00293A8D">
        <w:rPr>
          <w:i/>
          <w:iCs/>
        </w:rPr>
        <w:t>kt</w:t>
      </w:r>
      <w:proofErr w:type="spellEnd"/>
      <w:r w:rsidRPr="00293A8D">
        <w:rPr>
          <w:i/>
          <w:iCs/>
        </w:rPr>
        <w:t xml:space="preserve"> </w:t>
      </w:r>
      <w:proofErr w:type="spellStart"/>
      <w:r w:rsidRPr="00293A8D">
        <w:rPr>
          <w:i/>
          <w:iCs/>
        </w:rPr>
        <w:t>Meedoen</w:t>
      </w:r>
      <w:proofErr w:type="spellEnd"/>
      <w:proofErr w:type="gramStart"/>
      <w:r w:rsidR="00293A8D" w:rsidRPr="00293A8D">
        <w:rPr>
          <w:i/>
          <w:iCs/>
        </w:rPr>
        <w:t>!</w:t>
      </w:r>
      <w:r>
        <w:t>,</w:t>
      </w:r>
      <w:proofErr w:type="gramEnd"/>
      <w:r w:rsidR="0051785D">
        <w:rPr>
          <w:rStyle w:val="FootnoteReference"/>
        </w:rPr>
        <w:footnoteReference w:id="150"/>
      </w:r>
      <w:r>
        <w:t xml:space="preserve"> the government made </w:t>
      </w:r>
      <w:r w:rsidR="004912CE">
        <w:t xml:space="preserve">the involvement </w:t>
      </w:r>
      <w:r>
        <w:t>of disabled people’s organisations</w:t>
      </w:r>
      <w:r w:rsidR="0051785D">
        <w:t xml:space="preserve"> in the decision making structure</w:t>
      </w:r>
      <w:r>
        <w:t xml:space="preserve">  one of the essential elements. The</w:t>
      </w:r>
      <w:r w:rsidR="00E87ED2">
        <w:t xml:space="preserve"> national</w:t>
      </w:r>
      <w:r>
        <w:t xml:space="preserve"> </w:t>
      </w:r>
      <w:r w:rsidR="00E87ED2">
        <w:t>network</w:t>
      </w:r>
      <w:r>
        <w:t xml:space="preserve"> of various organisations of persons with disabilities, </w:t>
      </w:r>
      <w:r w:rsidR="00F63578">
        <w:t>the Alliance UN Convention on Disability</w:t>
      </w:r>
      <w:r w:rsidR="00E87ED2">
        <w:t>,</w:t>
      </w:r>
      <w:r w:rsidR="00E87ED2">
        <w:rPr>
          <w:rStyle w:val="FootnoteReference"/>
        </w:rPr>
        <w:footnoteReference w:id="151"/>
      </w:r>
      <w:r w:rsidR="00F63578">
        <w:t xml:space="preserve"> is one of the institutional partners</w:t>
      </w:r>
      <w:r>
        <w:t xml:space="preserve"> to co-decide on the various strands of action in the plan. </w:t>
      </w:r>
      <w:r w:rsidR="00F63578">
        <w:t>Other civil society stakeholders are the VNO-NCW, The Confederation of Netherlands Industry and Employers</w:t>
      </w:r>
      <w:r w:rsidR="00F63578">
        <w:rPr>
          <w:rStyle w:val="FootnoteReference"/>
        </w:rPr>
        <w:footnoteReference w:id="152"/>
      </w:r>
      <w:r w:rsidR="00F63578">
        <w:t xml:space="preserve"> and MKB Nederland, the Royal Association for SMEs in the Netherlands</w:t>
      </w:r>
      <w:r w:rsidR="00F63578">
        <w:rPr>
          <w:rStyle w:val="FootnoteReference"/>
        </w:rPr>
        <w:footnoteReference w:id="153"/>
      </w:r>
      <w:r w:rsidR="00E87ED2">
        <w:t xml:space="preserve"> and the VNG, the national association of municipalities.</w:t>
      </w:r>
      <w:r w:rsidR="00E87ED2">
        <w:rPr>
          <w:rStyle w:val="FootnoteReference"/>
        </w:rPr>
        <w:footnoteReference w:id="154"/>
      </w:r>
      <w:r w:rsidR="00F63578">
        <w:t xml:space="preserve"> </w:t>
      </w:r>
    </w:p>
    <w:p w14:paraId="41BE6855" w14:textId="095806B3" w:rsidR="00F63578" w:rsidRDefault="00F63578" w:rsidP="00F9312C">
      <w:pPr>
        <w:spacing w:line="360" w:lineRule="auto"/>
      </w:pPr>
    </w:p>
    <w:p w14:paraId="1105B0D6" w14:textId="0390CF30" w:rsidR="00E87ED2" w:rsidRPr="00E911E4" w:rsidRDefault="00E87ED2" w:rsidP="00F9312C">
      <w:pPr>
        <w:spacing w:line="360" w:lineRule="auto"/>
        <w:rPr>
          <w:i/>
          <w:iCs/>
        </w:rPr>
      </w:pPr>
      <w:r w:rsidRPr="00E911E4">
        <w:rPr>
          <w:i/>
          <w:iCs/>
        </w:rPr>
        <w:t>Monitoring</w:t>
      </w:r>
    </w:p>
    <w:p w14:paraId="65692626" w14:textId="7C75BE56" w:rsidR="00E87ED2" w:rsidRDefault="00E87ED2" w:rsidP="00F9312C">
      <w:pPr>
        <w:spacing w:line="360" w:lineRule="auto"/>
      </w:pPr>
      <w:r>
        <w:t>The independent monitoring role as described in</w:t>
      </w:r>
      <w:r w:rsidR="00BC1033">
        <w:t xml:space="preserve"> article </w:t>
      </w:r>
      <w:r>
        <w:t xml:space="preserve">33 CRPD was </w:t>
      </w:r>
      <w:r w:rsidR="0051785D">
        <w:t>assigned</w:t>
      </w:r>
      <w:r>
        <w:t xml:space="preserve"> to the NIHR. The Institute drafts an annual monitoring report and sends it to parliament. It chooses a different focal issue each year.</w:t>
      </w:r>
      <w:r w:rsidR="002F2013">
        <w:t xml:space="preserve"> In the 2017 report, accessibility was one of the focal issues. For the report, a survey was carried out among disabled people. Of the problems reported by the respondents, a quarter of the problems that they experienced had to do with inaccessible public space, including access to buildings.</w:t>
      </w:r>
      <w:r w:rsidR="002F2013">
        <w:rPr>
          <w:rStyle w:val="FootnoteReference"/>
        </w:rPr>
        <w:footnoteReference w:id="155"/>
      </w:r>
      <w:r w:rsidR="002F2013">
        <w:t xml:space="preserve"> In 2018, the first national State report was sent to the CRPD Committee.</w:t>
      </w:r>
      <w:r w:rsidR="00851513">
        <w:rPr>
          <w:rStyle w:val="FootnoteReference"/>
        </w:rPr>
        <w:footnoteReference w:id="156"/>
      </w:r>
      <w:r w:rsidR="002F2013">
        <w:t xml:space="preserve"> </w:t>
      </w:r>
      <w:r w:rsidR="00851513">
        <w:t>In the same year, t</w:t>
      </w:r>
      <w:r w:rsidR="002F2013">
        <w:t xml:space="preserve">he NIHR made up </w:t>
      </w:r>
      <w:r w:rsidR="00851513">
        <w:t>its independent</w:t>
      </w:r>
      <w:r w:rsidR="002F2013">
        <w:t xml:space="preserve"> report including all sections of CRPD</w:t>
      </w:r>
      <w:r w:rsidR="009449A2">
        <w:t xml:space="preserve"> and submitted it to the Committee</w:t>
      </w:r>
      <w:r w:rsidR="002F2013">
        <w:t>.</w:t>
      </w:r>
      <w:r w:rsidR="00851513">
        <w:rPr>
          <w:rStyle w:val="FootnoteReference"/>
        </w:rPr>
        <w:footnoteReference w:id="157"/>
      </w:r>
      <w:r w:rsidR="00851513">
        <w:t xml:space="preserve"> The</w:t>
      </w:r>
      <w:r w:rsidR="00293A8D">
        <w:t xml:space="preserve"> </w:t>
      </w:r>
      <w:r w:rsidR="00851513">
        <w:t>re</w:t>
      </w:r>
      <w:r w:rsidR="00293A8D">
        <w:t>port</w:t>
      </w:r>
      <w:r w:rsidR="00851513">
        <w:t xml:space="preserve"> </w:t>
      </w:r>
      <w:r w:rsidR="00293A8D">
        <w:t>doe</w:t>
      </w:r>
      <w:r w:rsidR="00851513">
        <w:t>s no</w:t>
      </w:r>
      <w:r w:rsidR="00293A8D">
        <w:t>t</w:t>
      </w:r>
      <w:r w:rsidR="00851513">
        <w:t xml:space="preserve"> mention </w:t>
      </w:r>
      <w:r w:rsidR="00293A8D">
        <w:t xml:space="preserve">the </w:t>
      </w:r>
      <w:r w:rsidR="00851513">
        <w:t>accessibility of public space.</w:t>
      </w:r>
    </w:p>
    <w:p w14:paraId="6445B8FF" w14:textId="5CF8B4E1" w:rsidR="009449A2" w:rsidRDefault="009449A2" w:rsidP="00F9312C">
      <w:pPr>
        <w:spacing w:line="360" w:lineRule="auto"/>
      </w:pPr>
    </w:p>
    <w:p w14:paraId="4C3FF4C1" w14:textId="589B1096" w:rsidR="00106AA7" w:rsidRDefault="00106AA7" w:rsidP="00F9312C">
      <w:pPr>
        <w:spacing w:line="360" w:lineRule="auto"/>
      </w:pPr>
      <w:r>
        <w:t>As described in chapter A</w:t>
      </w:r>
      <w:r w:rsidR="00293A8D">
        <w:t>4</w:t>
      </w:r>
      <w:r>
        <w:t>.1</w:t>
      </w:r>
      <w:r w:rsidR="00293A8D">
        <w:t>.2</w:t>
      </w:r>
      <w:r>
        <w:t>, the Alliance</w:t>
      </w:r>
      <w:r w:rsidR="00293A8D" w:rsidRPr="00293A8D">
        <w:t xml:space="preserve"> </w:t>
      </w:r>
      <w:r w:rsidR="00293A8D">
        <w:t>UN Convention on Disability</w:t>
      </w:r>
      <w:r>
        <w:t xml:space="preserve"> has written a shadow report on the implementation of CRPD in the Netherlands.</w:t>
      </w:r>
    </w:p>
    <w:p w14:paraId="7EC9D41A" w14:textId="77777777" w:rsidR="00FB0837" w:rsidRDefault="00FB0837" w:rsidP="00F9312C">
      <w:pPr>
        <w:spacing w:line="360" w:lineRule="auto"/>
      </w:pPr>
    </w:p>
    <w:p w14:paraId="675A97EF" w14:textId="77777777" w:rsidR="00CF4722" w:rsidRPr="00106AA7" w:rsidRDefault="00CF4722" w:rsidP="00F9312C">
      <w:pPr>
        <w:pStyle w:val="Heading2"/>
        <w:spacing w:line="360" w:lineRule="auto"/>
      </w:pPr>
      <w:r w:rsidRPr="00106AA7">
        <w:t>A5 State or Provincial-Level Strategy, Law and Policy</w:t>
      </w:r>
    </w:p>
    <w:p w14:paraId="41EECB75" w14:textId="77777777" w:rsidR="00F9312C" w:rsidRDefault="00F9312C" w:rsidP="00F9312C">
      <w:pPr>
        <w:spacing w:line="360" w:lineRule="auto"/>
        <w:rPr>
          <w:i/>
          <w:iCs/>
        </w:rPr>
      </w:pPr>
    </w:p>
    <w:p w14:paraId="4C9900F7" w14:textId="29DDED8C" w:rsidR="00422BBD" w:rsidRPr="00836A18" w:rsidRDefault="00836A18" w:rsidP="00F9312C">
      <w:pPr>
        <w:spacing w:line="360" w:lineRule="auto"/>
        <w:rPr>
          <w:i/>
          <w:iCs/>
        </w:rPr>
      </w:pPr>
      <w:r w:rsidRPr="00836A18">
        <w:rPr>
          <w:i/>
          <w:iCs/>
        </w:rPr>
        <w:t>Introduction</w:t>
      </w:r>
    </w:p>
    <w:p w14:paraId="0E963071" w14:textId="617D09A5" w:rsidR="00BE3CAD" w:rsidRDefault="008C5442" w:rsidP="00F9312C">
      <w:pPr>
        <w:spacing w:line="360" w:lineRule="auto"/>
      </w:pPr>
      <w:r>
        <w:t>For the purposes of this report,</w:t>
      </w:r>
      <w:r w:rsidR="00D63E74">
        <w:t xml:space="preserve"> the rules and policies of</w:t>
      </w:r>
      <w:r>
        <w:t xml:space="preserve"> two provinces </w:t>
      </w:r>
      <w:r w:rsidR="00BE3CAD">
        <w:t>are described</w:t>
      </w:r>
      <w:r>
        <w:t xml:space="preserve">, Utrecht and Flevoland. They represent different aspects of the </w:t>
      </w:r>
      <w:r w:rsidR="008179D7">
        <w:t>1</w:t>
      </w:r>
      <w:r>
        <w:t xml:space="preserve">2 provinces in the Netherlands. Utrecht </w:t>
      </w:r>
      <w:r w:rsidR="008179D7">
        <w:t>i</w:t>
      </w:r>
      <w:r>
        <w:t>s one of the olde</w:t>
      </w:r>
      <w:r w:rsidR="00BE3CAD">
        <w:t>st</w:t>
      </w:r>
      <w:r>
        <w:t xml:space="preserve"> provinces in the country </w:t>
      </w:r>
      <w:r w:rsidR="008179D7">
        <w:t xml:space="preserve">and </w:t>
      </w:r>
      <w:r w:rsidR="00660E6D">
        <w:t>has within its borders</w:t>
      </w:r>
      <w:r>
        <w:t xml:space="preserve"> two larger cities</w:t>
      </w:r>
      <w:r w:rsidR="008179D7">
        <w:t>, Utrecht and Amersfoort. It</w:t>
      </w:r>
      <w:r>
        <w:t xml:space="preserve"> </w:t>
      </w:r>
      <w:r w:rsidR="008179D7">
        <w:t xml:space="preserve">therefore has </w:t>
      </w:r>
      <w:r>
        <w:t>a significant urban</w:t>
      </w:r>
      <w:r w:rsidR="00660E6D">
        <w:t xml:space="preserve"> character</w:t>
      </w:r>
      <w:r>
        <w:t>. Flevoland on the other hand has come into existence in the 19</w:t>
      </w:r>
      <w:r w:rsidR="00BE3CAD">
        <w:t>5</w:t>
      </w:r>
      <w:r>
        <w:t>0s</w:t>
      </w:r>
      <w:r w:rsidR="00BE3CAD">
        <w:t>. It was formed</w:t>
      </w:r>
      <w:r>
        <w:t xml:space="preserve"> on reclaimed land in the</w:t>
      </w:r>
      <w:r w:rsidR="008D4261">
        <w:t xml:space="preserve"> </w:t>
      </w:r>
      <w:proofErr w:type="spellStart"/>
      <w:r w:rsidR="008D4261">
        <w:t>IJsselmeer</w:t>
      </w:r>
      <w:proofErr w:type="spellEnd"/>
      <w:r w:rsidR="008D4261">
        <w:t>, the</w:t>
      </w:r>
      <w:r>
        <w:t xml:space="preserve"> former </w:t>
      </w:r>
      <w:proofErr w:type="spellStart"/>
      <w:r>
        <w:t>Zuiderzee</w:t>
      </w:r>
      <w:proofErr w:type="spellEnd"/>
      <w:r>
        <w:t xml:space="preserve">. </w:t>
      </w:r>
      <w:r w:rsidR="005D6790">
        <w:t xml:space="preserve">The province was formally established on 1 January 1986. </w:t>
      </w:r>
      <w:r w:rsidR="005B09E5">
        <w:t>With</w:t>
      </w:r>
      <w:r>
        <w:t xml:space="preserve"> a vast amount of agricultural land,</w:t>
      </w:r>
      <w:r w:rsidR="005D6790">
        <w:t xml:space="preserve"> the province </w:t>
      </w:r>
      <w:r w:rsidR="008179D7">
        <w:t xml:space="preserve">has </w:t>
      </w:r>
      <w:r w:rsidR="00660E6D">
        <w:t xml:space="preserve">predominantly </w:t>
      </w:r>
      <w:r w:rsidR="008179D7">
        <w:t xml:space="preserve">rural </w:t>
      </w:r>
      <w:r w:rsidR="00660E6D">
        <w:t>characteristics</w:t>
      </w:r>
      <w:r w:rsidR="008179D7">
        <w:t xml:space="preserve">. </w:t>
      </w:r>
    </w:p>
    <w:p w14:paraId="0E04D3D2" w14:textId="68B79975" w:rsidR="008C5442" w:rsidRDefault="00BE3CAD" w:rsidP="00F9312C">
      <w:pPr>
        <w:spacing w:line="360" w:lineRule="auto"/>
      </w:pPr>
      <w:r>
        <w:t>T</w:t>
      </w:r>
      <w:r w:rsidR="008179D7">
        <w:t xml:space="preserve">he two cities where the </w:t>
      </w:r>
      <w:proofErr w:type="gramStart"/>
      <w:r w:rsidR="008179D7">
        <w:t>field work</w:t>
      </w:r>
      <w:proofErr w:type="gramEnd"/>
      <w:r w:rsidR="008179D7">
        <w:t xml:space="preserve"> for this study will be carried out</w:t>
      </w:r>
      <w:r>
        <w:t>,</w:t>
      </w:r>
      <w:r w:rsidR="008179D7">
        <w:t xml:space="preserve"> </w:t>
      </w:r>
      <w:r>
        <w:t xml:space="preserve">Utrecht and Almere, </w:t>
      </w:r>
      <w:r w:rsidR="008179D7">
        <w:t>are located in these provinces. A connection can thus be made between provincial and municipal rules and regulations relating to inclusive public space.</w:t>
      </w:r>
    </w:p>
    <w:p w14:paraId="66EAAD2D" w14:textId="734B389C" w:rsidR="002E620B" w:rsidRDefault="002E620B" w:rsidP="00F9312C">
      <w:pPr>
        <w:spacing w:line="360" w:lineRule="auto"/>
      </w:pPr>
      <w:r>
        <w:t xml:space="preserve">With regards to designing, building, managing and maintenance of roads, the following applies. As described above under A1.1.2, provinces are the second tier of administration. They have the authority to design, build, manage and maintain roads within their geographical area. The legal basis of the Provincial authority to build roads is the general law, the </w:t>
      </w:r>
      <w:r w:rsidRPr="002E620B">
        <w:rPr>
          <w:iCs/>
        </w:rPr>
        <w:t xml:space="preserve">Wet </w:t>
      </w:r>
      <w:proofErr w:type="spellStart"/>
      <w:r w:rsidRPr="002E620B">
        <w:rPr>
          <w:iCs/>
        </w:rPr>
        <w:t>herverdeling</w:t>
      </w:r>
      <w:proofErr w:type="spellEnd"/>
      <w:r w:rsidRPr="002E620B">
        <w:rPr>
          <w:iCs/>
        </w:rPr>
        <w:t xml:space="preserve"> </w:t>
      </w:r>
      <w:proofErr w:type="spellStart"/>
      <w:r w:rsidRPr="002E620B">
        <w:rPr>
          <w:iCs/>
        </w:rPr>
        <w:t>wegenbeheer</w:t>
      </w:r>
      <w:proofErr w:type="spellEnd"/>
      <w:r w:rsidRPr="002E620B">
        <w:rPr>
          <w:iCs/>
        </w:rPr>
        <w:t xml:space="preserve"> 1992</w:t>
      </w:r>
      <w:r>
        <w:t xml:space="preserve"> (‘</w:t>
      </w:r>
      <w:r w:rsidRPr="002E620B">
        <w:rPr>
          <w:i/>
          <w:iCs/>
        </w:rPr>
        <w:t>Redistribution of Road Management Act 1992</w:t>
      </w:r>
      <w:r>
        <w:t>’).</w:t>
      </w:r>
      <w:r>
        <w:rPr>
          <w:rStyle w:val="FootnoteReference"/>
        </w:rPr>
        <w:footnoteReference w:id="158"/>
      </w:r>
      <w:r>
        <w:t xml:space="preserve"> The Act describes the division of responsibilities between the national government, the provinces and the municipalities in road construction. The Act also regulates the financial arrangements between these tiers of administration. As far as accessibility is concerned, there is no reference in the Act to pedestrians in general, nor to accessibility for persons with disabilities in particular.</w:t>
      </w:r>
    </w:p>
    <w:p w14:paraId="7BB6F29E" w14:textId="478C4CBE" w:rsidR="008179D7" w:rsidRDefault="008179D7" w:rsidP="00F9312C">
      <w:pPr>
        <w:spacing w:line="360" w:lineRule="auto"/>
      </w:pPr>
    </w:p>
    <w:p w14:paraId="67412412" w14:textId="4911AB8B" w:rsidR="002E620B" w:rsidRPr="00F9312C" w:rsidRDefault="002E620B" w:rsidP="00F9312C">
      <w:pPr>
        <w:pStyle w:val="Heading3"/>
        <w:spacing w:line="360" w:lineRule="auto"/>
        <w:rPr>
          <w:b/>
          <w:bCs w:val="0"/>
        </w:rPr>
      </w:pPr>
      <w:r w:rsidRPr="00F9312C">
        <w:rPr>
          <w:b/>
          <w:bCs w:val="0"/>
        </w:rPr>
        <w:t xml:space="preserve">A5.1 Utrecht </w:t>
      </w:r>
    </w:p>
    <w:p w14:paraId="5ECD02DF" w14:textId="6CABB788" w:rsidR="00422BBD" w:rsidRDefault="00422BBD" w:rsidP="00F9312C">
      <w:pPr>
        <w:spacing w:line="360" w:lineRule="auto"/>
      </w:pPr>
      <w:r>
        <w:t xml:space="preserve">The province of Utrecht is situated in the centre of the country. It is the smallest province in the Netherlands and spans </w:t>
      </w:r>
      <w:r>
        <w:rPr>
          <w:rStyle w:val="langblock"/>
          <w:lang w:val="en"/>
        </w:rPr>
        <w:t>1</w:t>
      </w:r>
      <w:r w:rsidR="00F84064">
        <w:rPr>
          <w:rStyle w:val="langblock"/>
          <w:lang w:val="en"/>
        </w:rPr>
        <w:t>,</w:t>
      </w:r>
      <w:r>
        <w:rPr>
          <w:rStyle w:val="langblock"/>
          <w:lang w:val="en"/>
        </w:rPr>
        <w:t xml:space="preserve">449 </w:t>
      </w:r>
      <w:r w:rsidR="00F84064">
        <w:rPr>
          <w:rStyle w:val="langblock"/>
          <w:lang w:val="en"/>
        </w:rPr>
        <w:t>km</w:t>
      </w:r>
      <w:r w:rsidR="00F84064" w:rsidRPr="00F84064">
        <w:rPr>
          <w:rStyle w:val="langblock"/>
          <w:vertAlign w:val="superscript"/>
          <w:lang w:val="en"/>
        </w:rPr>
        <w:t>2</w:t>
      </w:r>
      <w:r>
        <w:rPr>
          <w:rStyle w:val="langblock"/>
          <w:lang w:val="en"/>
        </w:rPr>
        <w:t>. It consists of 26 municipalities and holds a joint population of 1</w:t>
      </w:r>
      <w:proofErr w:type="gramStart"/>
      <w:r>
        <w:rPr>
          <w:rStyle w:val="langblock"/>
          <w:lang w:val="en"/>
        </w:rPr>
        <w:t>,2</w:t>
      </w:r>
      <w:proofErr w:type="gramEnd"/>
      <w:r w:rsidR="00BE3CAD">
        <w:rPr>
          <w:rStyle w:val="langblock"/>
          <w:lang w:val="en"/>
        </w:rPr>
        <w:t xml:space="preserve"> million</w:t>
      </w:r>
      <w:r>
        <w:rPr>
          <w:rStyle w:val="langblock"/>
          <w:lang w:val="en"/>
        </w:rPr>
        <w:t>.</w:t>
      </w:r>
      <w:r>
        <w:t xml:space="preserve"> The provincial capital is the city of Utrecht. </w:t>
      </w:r>
    </w:p>
    <w:p w14:paraId="2C7A2F8F" w14:textId="6B1CFA7E" w:rsidR="007C7805" w:rsidRDefault="00422BBD" w:rsidP="00F9312C">
      <w:pPr>
        <w:spacing w:line="360" w:lineRule="auto"/>
      </w:pPr>
      <w:r>
        <w:t xml:space="preserve">In relation to road design, management and maintenance, </w:t>
      </w:r>
      <w:r w:rsidR="00836A18">
        <w:t>the province counts 300 km of provincial roads. I</w:t>
      </w:r>
      <w:r>
        <w:t>t is t</w:t>
      </w:r>
      <w:r w:rsidRPr="00422BBD">
        <w:t xml:space="preserve">he </w:t>
      </w:r>
      <w:r>
        <w:t>task</w:t>
      </w:r>
      <w:r w:rsidRPr="00422BBD">
        <w:t xml:space="preserve"> of the </w:t>
      </w:r>
      <w:r w:rsidR="007C7805">
        <w:t>p</w:t>
      </w:r>
      <w:r>
        <w:t xml:space="preserve">rovince to </w:t>
      </w:r>
      <w:r w:rsidRPr="00422BBD">
        <w:t>keep the</w:t>
      </w:r>
      <w:r w:rsidR="00836A18">
        <w:t>se</w:t>
      </w:r>
      <w:r w:rsidRPr="00422BBD">
        <w:t xml:space="preserve"> road</w:t>
      </w:r>
      <w:r>
        <w:t>s</w:t>
      </w:r>
      <w:r w:rsidRPr="00422BBD">
        <w:t xml:space="preserve"> in good and safe condition, including bicycle </w:t>
      </w:r>
      <w:r w:rsidR="005B09E5">
        <w:t xml:space="preserve">lanes </w:t>
      </w:r>
      <w:r w:rsidRPr="00422BBD">
        <w:t xml:space="preserve">and </w:t>
      </w:r>
      <w:r w:rsidR="00836A18">
        <w:t>foot</w:t>
      </w:r>
      <w:r w:rsidRPr="00422BBD">
        <w:t xml:space="preserve">paths, roadsides, parking spaces, bus stops, (traffic) signs, traffic lights and road lighting. In addition, it is </w:t>
      </w:r>
      <w:r>
        <w:t xml:space="preserve">the </w:t>
      </w:r>
      <w:r w:rsidR="007C7805">
        <w:t>p</w:t>
      </w:r>
      <w:r>
        <w:t>rovince’s</w:t>
      </w:r>
      <w:r w:rsidRPr="00422BBD">
        <w:t xml:space="preserve"> task to prevent dangerous situations in, on or around provincial roads.</w:t>
      </w:r>
      <w:r>
        <w:t xml:space="preserve"> The rules and regulations relatin</w:t>
      </w:r>
      <w:r w:rsidR="00836A18">
        <w:t>g</w:t>
      </w:r>
      <w:r>
        <w:t xml:space="preserve"> to these tasks are summed up in the P</w:t>
      </w:r>
      <w:r w:rsidRPr="00422BBD">
        <w:t xml:space="preserve">rovince of Utrecht Road </w:t>
      </w:r>
      <w:r>
        <w:t>O</w:t>
      </w:r>
      <w:r w:rsidRPr="00422BBD">
        <w:t>rdinance 2010</w:t>
      </w:r>
      <w:r w:rsidR="00836A18">
        <w:t xml:space="preserve"> </w:t>
      </w:r>
      <w:r>
        <w:t>(</w:t>
      </w:r>
      <w:r w:rsidRPr="00422BBD">
        <w:rPr>
          <w:i/>
          <w:iCs/>
        </w:rPr>
        <w:t>‘</w:t>
      </w:r>
      <w:proofErr w:type="spellStart"/>
      <w:r w:rsidRPr="00422BBD">
        <w:rPr>
          <w:i/>
          <w:iCs/>
        </w:rPr>
        <w:t>Wegenverordening</w:t>
      </w:r>
      <w:proofErr w:type="spellEnd"/>
      <w:r w:rsidRPr="00422BBD">
        <w:rPr>
          <w:i/>
          <w:iCs/>
        </w:rPr>
        <w:t xml:space="preserve"> </w:t>
      </w:r>
      <w:proofErr w:type="spellStart"/>
      <w:r w:rsidRPr="00422BBD">
        <w:rPr>
          <w:i/>
          <w:iCs/>
        </w:rPr>
        <w:t>provincie</w:t>
      </w:r>
      <w:proofErr w:type="spellEnd"/>
      <w:r w:rsidRPr="00422BBD">
        <w:rPr>
          <w:i/>
          <w:iCs/>
        </w:rPr>
        <w:t xml:space="preserve"> Utrecht 2010’</w:t>
      </w:r>
      <w:r>
        <w:t>)</w:t>
      </w:r>
      <w:r w:rsidR="00836A18">
        <w:t>.</w:t>
      </w:r>
      <w:r w:rsidR="00836A18">
        <w:rPr>
          <w:rStyle w:val="FootnoteReference"/>
        </w:rPr>
        <w:footnoteReference w:id="159"/>
      </w:r>
      <w:r w:rsidR="00990A4D">
        <w:t xml:space="preserve"> </w:t>
      </w:r>
    </w:p>
    <w:p w14:paraId="3BDE0B77" w14:textId="2E2DC20D" w:rsidR="00422BBD" w:rsidRPr="00422BBD" w:rsidRDefault="00990A4D" w:rsidP="00F9312C">
      <w:pPr>
        <w:spacing w:line="360" w:lineRule="auto"/>
      </w:pPr>
      <w:r>
        <w:t>The province also grants concessions for public transport services and is responsible for accessibility of bus and tram stops.</w:t>
      </w:r>
    </w:p>
    <w:p w14:paraId="70DE87A9" w14:textId="77777777" w:rsidR="00422BBD" w:rsidRPr="00422BBD" w:rsidRDefault="00422BBD" w:rsidP="00F9312C">
      <w:pPr>
        <w:spacing w:line="360" w:lineRule="auto"/>
      </w:pPr>
    </w:p>
    <w:p w14:paraId="0B57AEB7" w14:textId="7D1730AA" w:rsidR="00CF4722" w:rsidRPr="002E620B" w:rsidRDefault="00CF4722" w:rsidP="00F9312C">
      <w:pPr>
        <w:spacing w:line="360" w:lineRule="auto"/>
        <w:rPr>
          <w:b/>
          <w:bCs/>
        </w:rPr>
      </w:pPr>
      <w:r w:rsidRPr="002E620B">
        <w:rPr>
          <w:b/>
          <w:bCs/>
        </w:rPr>
        <w:t>Equality and Inclusion</w:t>
      </w:r>
    </w:p>
    <w:p w14:paraId="3737CB76" w14:textId="02272252" w:rsidR="00836A18" w:rsidRDefault="00836A18" w:rsidP="00F9312C">
      <w:pPr>
        <w:spacing w:line="360" w:lineRule="auto"/>
      </w:pPr>
      <w:r>
        <w:t>The Road Ordinance</w:t>
      </w:r>
      <w:r w:rsidR="005B09E5">
        <w:t xml:space="preserve"> 2010</w:t>
      </w:r>
      <w:r>
        <w:t xml:space="preserve"> </w:t>
      </w:r>
      <w:r w:rsidR="005B09E5">
        <w:t>contains</w:t>
      </w:r>
      <w:r>
        <w:t xml:space="preserve"> no sections which refer to equality</w:t>
      </w:r>
      <w:r w:rsidR="00642914">
        <w:t xml:space="preserve">, </w:t>
      </w:r>
      <w:r>
        <w:t>inclusion</w:t>
      </w:r>
      <w:r w:rsidR="00642914">
        <w:t xml:space="preserve"> or accessibility for persons with disabilities. </w:t>
      </w:r>
      <w:proofErr w:type="gramStart"/>
      <w:r w:rsidR="00642914">
        <w:t>Possibly relevant for the accessibility of provincial roads is section 7 Road Ordinance</w:t>
      </w:r>
      <w:r w:rsidR="00BE3CAD">
        <w:t>.</w:t>
      </w:r>
      <w:proofErr w:type="gramEnd"/>
      <w:r w:rsidR="00BE3CAD">
        <w:t xml:space="preserve"> This section</w:t>
      </w:r>
      <w:r w:rsidR="00642914">
        <w:t xml:space="preserve"> forbids anyone to keep</w:t>
      </w:r>
      <w:r w:rsidR="00642914" w:rsidRPr="00642914">
        <w:t xml:space="preserve"> trees, hedges and bushes along roads in such a condition </w:t>
      </w:r>
      <w:r w:rsidR="00BE3CAD">
        <w:t>that these</w:t>
      </w:r>
      <w:r w:rsidR="00642914" w:rsidRPr="00642914">
        <w:t xml:space="preserve"> obstruct the necessary clear view</w:t>
      </w:r>
      <w:r>
        <w:t xml:space="preserve">. </w:t>
      </w:r>
      <w:r w:rsidR="005B09E5">
        <w:t xml:space="preserve">This prohibition may be conducive in preventing and removing certain barriers that hinder the use of these streets for pedestrians with disabilities. </w:t>
      </w:r>
      <w:r w:rsidR="00A164FA">
        <w:t>Interestingly, the requirement refer</w:t>
      </w:r>
      <w:r w:rsidR="00BE3CAD">
        <w:t>s</w:t>
      </w:r>
      <w:r w:rsidR="00A164FA">
        <w:t xml:space="preserve"> to traffic safety, not to accessibility.</w:t>
      </w:r>
      <w:r w:rsidR="00642914">
        <w:t xml:space="preserve"> </w:t>
      </w:r>
      <w:r w:rsidR="007C7805">
        <w:t xml:space="preserve">Other prohibitions, such as a ban on littering or obstructing roads </w:t>
      </w:r>
      <w:r w:rsidR="00BE3CAD">
        <w:t>or</w:t>
      </w:r>
      <w:r w:rsidR="007C7805">
        <w:t xml:space="preserve"> footpaths, are not included.</w:t>
      </w:r>
    </w:p>
    <w:p w14:paraId="75CC1B2C" w14:textId="77777777" w:rsidR="00990A4D" w:rsidRDefault="00990A4D" w:rsidP="00F9312C">
      <w:pPr>
        <w:spacing w:line="360" w:lineRule="auto"/>
      </w:pPr>
    </w:p>
    <w:p w14:paraId="655E4AA3" w14:textId="3C6AF2C5" w:rsidR="00CF4722" w:rsidRPr="002E620B" w:rsidRDefault="00CF4722" w:rsidP="00F9312C">
      <w:pPr>
        <w:spacing w:line="360" w:lineRule="auto"/>
        <w:rPr>
          <w:b/>
          <w:bCs/>
        </w:rPr>
      </w:pPr>
      <w:r w:rsidRPr="002E620B">
        <w:rPr>
          <w:b/>
          <w:bCs/>
        </w:rPr>
        <w:t>Planning</w:t>
      </w:r>
    </w:p>
    <w:p w14:paraId="5ED598F8" w14:textId="68B7C47F" w:rsidR="00896EF5" w:rsidRDefault="00896EF5" w:rsidP="00F9312C">
      <w:pPr>
        <w:spacing w:line="360" w:lineRule="auto"/>
      </w:pPr>
      <w:r>
        <w:t xml:space="preserve">The province of Utrecht has made no plans </w:t>
      </w:r>
      <w:r w:rsidR="000A6AC4">
        <w:t xml:space="preserve">public </w:t>
      </w:r>
      <w:r>
        <w:t xml:space="preserve">for </w:t>
      </w:r>
      <w:r w:rsidR="000A6AC4">
        <w:t xml:space="preserve">improving </w:t>
      </w:r>
      <w:r>
        <w:t>accessibility of roads an</w:t>
      </w:r>
      <w:r w:rsidR="000A6AC4">
        <w:t>d</w:t>
      </w:r>
      <w:r>
        <w:t xml:space="preserve"> footpaths in the </w:t>
      </w:r>
      <w:r w:rsidR="000A6AC4">
        <w:t>coming period.</w:t>
      </w:r>
      <w:r>
        <w:t xml:space="preserve"> </w:t>
      </w:r>
    </w:p>
    <w:p w14:paraId="096172EA" w14:textId="6A6B6011" w:rsidR="000A6AC4" w:rsidRDefault="000A6AC4" w:rsidP="00F9312C">
      <w:pPr>
        <w:spacing w:line="360" w:lineRule="auto"/>
      </w:pPr>
      <w:r>
        <w:t>The provincial plans for public transport are to continue with accessibility measures in bus and tram stops and buses and trams in the period to 2018.</w:t>
      </w:r>
      <w:r>
        <w:rPr>
          <w:rStyle w:val="FootnoteReference"/>
        </w:rPr>
        <w:footnoteReference w:id="160"/>
      </w:r>
      <w:r>
        <w:t xml:space="preserve"> </w:t>
      </w:r>
    </w:p>
    <w:p w14:paraId="55C1F6DC" w14:textId="77777777" w:rsidR="000A6AC4" w:rsidRDefault="000A6AC4" w:rsidP="00F9312C">
      <w:pPr>
        <w:spacing w:line="360" w:lineRule="auto"/>
      </w:pPr>
    </w:p>
    <w:p w14:paraId="6D6230FE" w14:textId="4F4F1D7A" w:rsidR="00CF4722" w:rsidRPr="002E620B" w:rsidRDefault="00CF4722" w:rsidP="00F9312C">
      <w:pPr>
        <w:spacing w:line="360" w:lineRule="auto"/>
        <w:rPr>
          <w:b/>
          <w:bCs/>
        </w:rPr>
      </w:pPr>
      <w:r w:rsidRPr="002E620B">
        <w:rPr>
          <w:b/>
          <w:bCs/>
        </w:rPr>
        <w:t>Civil Society Engagement</w:t>
      </w:r>
    </w:p>
    <w:p w14:paraId="7B072B79" w14:textId="2361DE84" w:rsidR="00896EF5" w:rsidRDefault="005B09E5" w:rsidP="00F9312C">
      <w:pPr>
        <w:spacing w:line="360" w:lineRule="auto"/>
      </w:pPr>
      <w:r>
        <w:t>There is no information available about the involvement of persons with disabilities or DPOs at the provincial level.</w:t>
      </w:r>
    </w:p>
    <w:p w14:paraId="71E904EE" w14:textId="77777777" w:rsidR="000A6AC4" w:rsidRDefault="000A6AC4" w:rsidP="00F9312C">
      <w:pPr>
        <w:spacing w:line="360" w:lineRule="auto"/>
      </w:pPr>
    </w:p>
    <w:p w14:paraId="6AFE820C" w14:textId="292AB068" w:rsidR="00CF4722" w:rsidRPr="002E620B" w:rsidRDefault="00CF4722" w:rsidP="00F9312C">
      <w:pPr>
        <w:spacing w:line="360" w:lineRule="auto"/>
        <w:rPr>
          <w:b/>
          <w:bCs/>
        </w:rPr>
      </w:pPr>
      <w:r w:rsidRPr="002E620B">
        <w:rPr>
          <w:b/>
          <w:bCs/>
        </w:rPr>
        <w:t>Noteworthy Issues or Concerns</w:t>
      </w:r>
    </w:p>
    <w:p w14:paraId="11AD108D" w14:textId="51081893" w:rsidR="00836A18" w:rsidRDefault="000A6AC4" w:rsidP="00F9312C">
      <w:pPr>
        <w:spacing w:line="360" w:lineRule="auto"/>
      </w:pPr>
      <w:r>
        <w:t xml:space="preserve">On the basis of the previous section, it seems that accessibility of streets is not an issue for the province of Utrecht. In the current Road Ordinance, no reference to disability is made and no regulations regarding accessibility </w:t>
      </w:r>
      <w:r w:rsidR="008179D7">
        <w:t>are</w:t>
      </w:r>
      <w:r>
        <w:t xml:space="preserve"> included. It must be noted that, at the time of adopting the Ordinance</w:t>
      </w:r>
      <w:r w:rsidR="008179D7">
        <w:t xml:space="preserve"> in 2012</w:t>
      </w:r>
      <w:r>
        <w:t xml:space="preserve">, CRPD was not in force in The Netherlands. Therefore, a </w:t>
      </w:r>
      <w:r w:rsidR="008C5442">
        <w:t>binding</w:t>
      </w:r>
      <w:r>
        <w:t xml:space="preserve"> obligation to</w:t>
      </w:r>
      <w:r w:rsidR="008C5442">
        <w:t xml:space="preserve"> regulate the issue did not exist. On the other hand, public transport developments did take accessibility on board</w:t>
      </w:r>
      <w:r w:rsidR="008179D7">
        <w:t xml:space="preserve"> even before the ratification of the Convention</w:t>
      </w:r>
      <w:r w:rsidR="008C5442">
        <w:t>. Requirements in the concession for buses and trams included conditions for accessibility. Adjustments of bus and tram stops were taken up in 2015 and onward.</w:t>
      </w:r>
    </w:p>
    <w:p w14:paraId="40CFF747" w14:textId="77777777" w:rsidR="00CF4722" w:rsidRDefault="00CF4722" w:rsidP="00F9312C">
      <w:pPr>
        <w:spacing w:line="360" w:lineRule="auto"/>
      </w:pPr>
    </w:p>
    <w:p w14:paraId="054E2E72" w14:textId="540A44A0" w:rsidR="00CF4722" w:rsidRPr="00F9312C" w:rsidRDefault="00CF4722" w:rsidP="00F9312C">
      <w:pPr>
        <w:pStyle w:val="Heading3"/>
        <w:spacing w:line="360" w:lineRule="auto"/>
        <w:rPr>
          <w:b/>
          <w:bCs w:val="0"/>
        </w:rPr>
      </w:pPr>
      <w:r w:rsidRPr="00F9312C">
        <w:rPr>
          <w:b/>
          <w:bCs w:val="0"/>
        </w:rPr>
        <w:t xml:space="preserve">A5.2 </w:t>
      </w:r>
      <w:r w:rsidR="008179D7" w:rsidRPr="00F9312C">
        <w:rPr>
          <w:b/>
          <w:bCs w:val="0"/>
        </w:rPr>
        <w:t>Flevoland</w:t>
      </w:r>
    </w:p>
    <w:p w14:paraId="25EC8DF3" w14:textId="7459214C" w:rsidR="008179D7" w:rsidRDefault="005D6790" w:rsidP="00F9312C">
      <w:pPr>
        <w:spacing w:line="360" w:lineRule="auto"/>
      </w:pPr>
      <w:r>
        <w:t>The p</w:t>
      </w:r>
      <w:r w:rsidR="008179D7">
        <w:t xml:space="preserve">rovince of </w:t>
      </w:r>
      <w:r w:rsidR="006F3606">
        <w:t>Flevoland</w:t>
      </w:r>
      <w:r>
        <w:t xml:space="preserve"> </w:t>
      </w:r>
      <w:r w:rsidRPr="005D6790">
        <w:t>is home to 401,200 inhabitants</w:t>
      </w:r>
      <w:r>
        <w:t>. It consists of</w:t>
      </w:r>
      <w:r w:rsidRPr="005D6790">
        <w:t xml:space="preserve"> an area of 2,412 km</w:t>
      </w:r>
      <w:r w:rsidRPr="00F84064">
        <w:rPr>
          <w:vertAlign w:val="superscript"/>
        </w:rPr>
        <w:t>2</w:t>
      </w:r>
      <w:r w:rsidRPr="005D6790">
        <w:t xml:space="preserve"> of land. With a total of 6 municipalities, Flevoland is an open space with a str</w:t>
      </w:r>
      <w:r w:rsidR="00F84064">
        <w:t>aight</w:t>
      </w:r>
      <w:r w:rsidRPr="005D6790">
        <w:t xml:space="preserve"> layout</w:t>
      </w:r>
      <w:r w:rsidR="00F84064">
        <w:t xml:space="preserve"> of roads and waterways</w:t>
      </w:r>
      <w:r w:rsidRPr="005D6790">
        <w:t>.</w:t>
      </w:r>
      <w:r>
        <w:t xml:space="preserve"> </w:t>
      </w:r>
      <w:proofErr w:type="gramStart"/>
      <w:r w:rsidR="008306C7">
        <w:t>Both in terms of size and population</w:t>
      </w:r>
      <w:proofErr w:type="gramEnd"/>
      <w:r w:rsidR="008306C7">
        <w:t>, Flevoland is the smallest province in the Netherlands.</w:t>
      </w:r>
      <w:r>
        <w:t xml:space="preserve"> </w:t>
      </w:r>
      <w:proofErr w:type="spellStart"/>
      <w:r>
        <w:t>Lelystad</w:t>
      </w:r>
      <w:proofErr w:type="spellEnd"/>
      <w:r>
        <w:t xml:space="preserve"> is the provincial capital.</w:t>
      </w:r>
      <w:r w:rsidRPr="005D6790">
        <w:t xml:space="preserve"> Th</w:t>
      </w:r>
      <w:r>
        <w:t>e</w:t>
      </w:r>
      <w:r w:rsidRPr="005D6790">
        <w:t xml:space="preserve"> </w:t>
      </w:r>
      <w:r w:rsidR="008306C7">
        <w:t>surface</w:t>
      </w:r>
      <w:r w:rsidRPr="005D6790">
        <w:t xml:space="preserve"> is mainly </w:t>
      </w:r>
      <w:r w:rsidR="00C11E3C">
        <w:t>developed</w:t>
      </w:r>
      <w:r w:rsidRPr="005D6790">
        <w:t xml:space="preserve"> for agriculture: 89,000 hectares of large and efficiently designed plots.</w:t>
      </w:r>
      <w:r w:rsidR="00BE3CAD">
        <w:t xml:space="preserve"> The total length of provincial roads is 618 km.</w:t>
      </w:r>
    </w:p>
    <w:p w14:paraId="5A62D169" w14:textId="77777777" w:rsidR="002E620B" w:rsidRDefault="006F3606" w:rsidP="00F9312C">
      <w:pPr>
        <w:spacing w:line="360" w:lineRule="auto"/>
      </w:pPr>
      <w:r>
        <w:t xml:space="preserve"> </w:t>
      </w:r>
    </w:p>
    <w:p w14:paraId="2358821D" w14:textId="08A26E01" w:rsidR="00CF4722" w:rsidRPr="002E620B" w:rsidRDefault="00CF4722" w:rsidP="00F9312C">
      <w:pPr>
        <w:spacing w:line="360" w:lineRule="auto"/>
        <w:rPr>
          <w:b/>
          <w:bCs/>
        </w:rPr>
      </w:pPr>
      <w:r w:rsidRPr="002E620B">
        <w:rPr>
          <w:b/>
          <w:bCs/>
        </w:rPr>
        <w:t>Equality and Inclusion</w:t>
      </w:r>
    </w:p>
    <w:p w14:paraId="612A5826" w14:textId="34DDF5EB" w:rsidR="00B22A7E" w:rsidRDefault="00F84064" w:rsidP="00F9312C">
      <w:pPr>
        <w:spacing w:line="360" w:lineRule="auto"/>
      </w:pPr>
      <w:r>
        <w:t>The design, management and maintenance of r</w:t>
      </w:r>
      <w:r w:rsidR="00B22A7E">
        <w:t>oads</w:t>
      </w:r>
      <w:r>
        <w:t xml:space="preserve"> in Flevoland </w:t>
      </w:r>
      <w:proofErr w:type="gramStart"/>
      <w:r>
        <w:t>is</w:t>
      </w:r>
      <w:proofErr w:type="gramEnd"/>
      <w:r>
        <w:t xml:space="preserve"> regulated by the </w:t>
      </w:r>
      <w:r w:rsidR="00B22A7E" w:rsidRPr="00F84064">
        <w:t>Environmental Ordinance 2019 (‘</w:t>
      </w:r>
      <w:proofErr w:type="spellStart"/>
      <w:r w:rsidR="0004688F">
        <w:rPr>
          <w:i/>
          <w:iCs/>
        </w:rPr>
        <w:t>O</w:t>
      </w:r>
      <w:r w:rsidR="00B22A7E" w:rsidRPr="00F84064">
        <w:rPr>
          <w:i/>
          <w:iCs/>
        </w:rPr>
        <w:t>mgevingsverordening</w:t>
      </w:r>
      <w:proofErr w:type="spellEnd"/>
      <w:r w:rsidR="00B22A7E" w:rsidRPr="00F84064">
        <w:rPr>
          <w:i/>
          <w:iCs/>
        </w:rPr>
        <w:t xml:space="preserve"> 2019</w:t>
      </w:r>
      <w:r w:rsidR="00B22A7E" w:rsidRPr="00F84064">
        <w:t>’)</w:t>
      </w:r>
      <w:r>
        <w:t>.</w:t>
      </w:r>
      <w:r w:rsidR="00B22A7E">
        <w:rPr>
          <w:rStyle w:val="FootnoteReference"/>
          <w:lang w:val="nl-NL"/>
        </w:rPr>
        <w:footnoteReference w:id="161"/>
      </w:r>
      <w:r>
        <w:t xml:space="preserve"> </w:t>
      </w:r>
      <w:r w:rsidR="0004688F">
        <w:t>T</w:t>
      </w:r>
      <w:r w:rsidR="00F56102">
        <w:t xml:space="preserve">he Ordinance </w:t>
      </w:r>
      <w:r w:rsidR="0004688F">
        <w:t xml:space="preserve">contains </w:t>
      </w:r>
      <w:r w:rsidR="00F56102">
        <w:t>no reference to accessibility for persons with disabilities. However,</w:t>
      </w:r>
      <w:r w:rsidR="00BC1033">
        <w:t xml:space="preserve"> article </w:t>
      </w:r>
      <w:r w:rsidR="0004688F">
        <w:t>15.6</w:t>
      </w:r>
      <w:r w:rsidR="005B09E5">
        <w:t xml:space="preserve"> of the Ordinance</w:t>
      </w:r>
      <w:r w:rsidR="00660E6D">
        <w:t xml:space="preserve"> contains </w:t>
      </w:r>
      <w:r w:rsidR="00F56102">
        <w:t>a specific prohibition to block streets with goods or objects.</w:t>
      </w:r>
      <w:r w:rsidR="00F56102">
        <w:rPr>
          <w:rStyle w:val="FootnoteReference"/>
        </w:rPr>
        <w:footnoteReference w:id="162"/>
      </w:r>
      <w:r w:rsidR="00F56102">
        <w:t xml:space="preserve"> </w:t>
      </w:r>
    </w:p>
    <w:p w14:paraId="57E6C89A" w14:textId="77777777" w:rsidR="00DF36BE" w:rsidRPr="008376BB" w:rsidRDefault="00DF36BE" w:rsidP="00F9312C">
      <w:pPr>
        <w:pStyle w:val="ListParagraph"/>
        <w:spacing w:line="360" w:lineRule="auto"/>
      </w:pPr>
    </w:p>
    <w:p w14:paraId="11EE4B31" w14:textId="41B4E83B" w:rsidR="00CF4722" w:rsidRPr="002E620B" w:rsidRDefault="00CF4722" w:rsidP="00F9312C">
      <w:pPr>
        <w:spacing w:line="360" w:lineRule="auto"/>
        <w:rPr>
          <w:b/>
          <w:bCs/>
        </w:rPr>
      </w:pPr>
      <w:r w:rsidRPr="002E620B">
        <w:rPr>
          <w:b/>
          <w:bCs/>
        </w:rPr>
        <w:t>Planning</w:t>
      </w:r>
    </w:p>
    <w:p w14:paraId="55985176" w14:textId="021611BB" w:rsidR="00F56102" w:rsidRPr="00061D4E" w:rsidRDefault="00B353EB" w:rsidP="00F9312C">
      <w:pPr>
        <w:pStyle w:val="ListParagraph"/>
        <w:spacing w:line="360" w:lineRule="auto"/>
        <w:ind w:left="0"/>
        <w:rPr>
          <w:i/>
          <w:iCs/>
        </w:rPr>
      </w:pPr>
      <w:r w:rsidRPr="00061D4E">
        <w:rPr>
          <w:i/>
          <w:iCs/>
        </w:rPr>
        <w:t xml:space="preserve">Environmental </w:t>
      </w:r>
      <w:r w:rsidR="006463D5" w:rsidRPr="00061D4E">
        <w:rPr>
          <w:i/>
          <w:iCs/>
        </w:rPr>
        <w:t>P</w:t>
      </w:r>
      <w:r w:rsidRPr="00061D4E">
        <w:rPr>
          <w:i/>
          <w:iCs/>
        </w:rPr>
        <w:t xml:space="preserve">lanning </w:t>
      </w:r>
      <w:r w:rsidR="006463D5" w:rsidRPr="00061D4E">
        <w:rPr>
          <w:i/>
          <w:iCs/>
        </w:rPr>
        <w:t>P</w:t>
      </w:r>
      <w:r w:rsidR="009D2665" w:rsidRPr="00061D4E">
        <w:rPr>
          <w:i/>
          <w:iCs/>
        </w:rPr>
        <w:t>rogramm</w:t>
      </w:r>
      <w:r w:rsidRPr="00061D4E">
        <w:rPr>
          <w:i/>
          <w:iCs/>
        </w:rPr>
        <w:t>e</w:t>
      </w:r>
      <w:r w:rsidR="002A5DB3" w:rsidRPr="00061D4E">
        <w:rPr>
          <w:i/>
          <w:iCs/>
        </w:rPr>
        <w:t xml:space="preserve"> Flevoland</w:t>
      </w:r>
    </w:p>
    <w:p w14:paraId="267D7422" w14:textId="0B2AD84E" w:rsidR="006463D5" w:rsidRDefault="00B353EB" w:rsidP="00F9312C">
      <w:pPr>
        <w:pStyle w:val="ListParagraph"/>
        <w:spacing w:line="360" w:lineRule="auto"/>
        <w:ind w:left="0"/>
      </w:pPr>
      <w:r>
        <w:t xml:space="preserve">In preparation for the entry into force of the </w:t>
      </w:r>
      <w:r w:rsidRPr="009D2665">
        <w:t>Environment</w:t>
      </w:r>
      <w:r>
        <w:t xml:space="preserve"> and Planning</w:t>
      </w:r>
      <w:r w:rsidRPr="009D2665">
        <w:t xml:space="preserve"> Act </w:t>
      </w:r>
      <w:r>
        <w:t>o</w:t>
      </w:r>
      <w:r w:rsidR="009D2665" w:rsidRPr="009D2665">
        <w:t>n</w:t>
      </w:r>
      <w:r w:rsidR="009D2665">
        <w:t xml:space="preserve"> </w:t>
      </w:r>
      <w:r w:rsidR="009D2665" w:rsidRPr="009D2665">
        <w:t>1 January 2021</w:t>
      </w:r>
      <w:r>
        <w:t>, Flevoland has developed a</w:t>
      </w:r>
      <w:r w:rsidR="0004688F">
        <w:t>n</w:t>
      </w:r>
      <w:r>
        <w:t xml:space="preserve"> </w:t>
      </w:r>
      <w:r w:rsidR="009D2665" w:rsidRPr="009D2665">
        <w:t xml:space="preserve">Environmental </w:t>
      </w:r>
      <w:r w:rsidR="006463D5">
        <w:t>P</w:t>
      </w:r>
      <w:r>
        <w:t xml:space="preserve">lanning </w:t>
      </w:r>
      <w:r w:rsidR="006463D5">
        <w:t>P</w:t>
      </w:r>
      <w:r w:rsidR="009D2665" w:rsidRPr="009D2665">
        <w:t>rogram</w:t>
      </w:r>
      <w:r>
        <w:t>me</w:t>
      </w:r>
      <w:r w:rsidR="009D2665" w:rsidRPr="009D2665">
        <w:t>.</w:t>
      </w:r>
      <w:r>
        <w:rPr>
          <w:rStyle w:val="FootnoteReference"/>
        </w:rPr>
        <w:footnoteReference w:id="163"/>
      </w:r>
      <w:r w:rsidR="009D2665" w:rsidRPr="009D2665">
        <w:t xml:space="preserve"> </w:t>
      </w:r>
      <w:r>
        <w:t xml:space="preserve">It </w:t>
      </w:r>
      <w:r w:rsidR="009D2665" w:rsidRPr="009D2665">
        <w:t>includes the currently compulsory plans: the environmental policy plan, the regional water plan and the traffic and transport plan.</w:t>
      </w:r>
    </w:p>
    <w:p w14:paraId="1D0E2D4F" w14:textId="3304D248" w:rsidR="006463D5" w:rsidRDefault="006463D5" w:rsidP="00F9312C">
      <w:pPr>
        <w:pStyle w:val="ListParagraph"/>
        <w:spacing w:line="360" w:lineRule="auto"/>
        <w:ind w:left="0"/>
        <w:rPr>
          <w:rStyle w:val="tlid-translation"/>
          <w:lang w:val="en"/>
        </w:rPr>
      </w:pPr>
      <w:r>
        <w:t xml:space="preserve">The programme specifically aims at increasing the accessibility of public transport. The province will complete the accessibility of bus stops which started in 2015. The basic principle is that stops should be made accessible during reconstructions and major maintenance. The execution is the responsibility of the road authority. Transport information will be made suitable for travellers with disabilities, </w:t>
      </w:r>
      <w:r>
        <w:rPr>
          <w:rStyle w:val="tlid-translation"/>
          <w:lang w:val="en"/>
        </w:rPr>
        <w:t>informs about the degree of accessibility of the trip and may offer support during the trip.</w:t>
      </w:r>
      <w:r w:rsidR="00061D4E">
        <w:rPr>
          <w:rStyle w:val="FootnoteReference"/>
          <w:lang w:val="en"/>
        </w:rPr>
        <w:footnoteReference w:id="164"/>
      </w:r>
    </w:p>
    <w:p w14:paraId="5B03DCFC" w14:textId="6AD2FBFC" w:rsidR="00061D4E" w:rsidRDefault="00061D4E" w:rsidP="00F9312C">
      <w:pPr>
        <w:pStyle w:val="ListParagraph"/>
        <w:spacing w:line="360" w:lineRule="auto"/>
        <w:ind w:left="0"/>
      </w:pPr>
      <w:r>
        <w:rPr>
          <w:rStyle w:val="tlid-translation"/>
          <w:lang w:val="en"/>
        </w:rPr>
        <w:t>The Programme further aims at improving recreational accessibility of the existing natural reserves. T</w:t>
      </w:r>
      <w:r w:rsidRPr="00061D4E">
        <w:rPr>
          <w:rStyle w:val="tlid-translation"/>
          <w:lang w:val="en"/>
        </w:rPr>
        <w:t xml:space="preserve">he nature reserves </w:t>
      </w:r>
      <w:r>
        <w:rPr>
          <w:rStyle w:val="tlid-translation"/>
          <w:lang w:val="en"/>
        </w:rPr>
        <w:t xml:space="preserve">should become </w:t>
      </w:r>
      <w:r w:rsidRPr="00061D4E">
        <w:rPr>
          <w:rStyle w:val="tlid-translation"/>
          <w:lang w:val="en"/>
        </w:rPr>
        <w:t>attractive</w:t>
      </w:r>
      <w:r>
        <w:rPr>
          <w:rStyle w:val="tlid-translation"/>
          <w:lang w:val="en"/>
        </w:rPr>
        <w:t xml:space="preserve"> and provide a noteworthy</w:t>
      </w:r>
      <w:r w:rsidRPr="00061D4E">
        <w:rPr>
          <w:rStyle w:val="tlid-translation"/>
          <w:lang w:val="en"/>
        </w:rPr>
        <w:t xml:space="preserve"> experience for different target groups and </w:t>
      </w:r>
      <w:r>
        <w:rPr>
          <w:rStyle w:val="tlid-translation"/>
          <w:lang w:val="en"/>
        </w:rPr>
        <w:t xml:space="preserve">should become </w:t>
      </w:r>
      <w:r w:rsidRPr="00061D4E">
        <w:rPr>
          <w:rStyle w:val="tlid-translation"/>
          <w:lang w:val="en"/>
        </w:rPr>
        <w:t>accessible to everyone.</w:t>
      </w:r>
      <w:r w:rsidR="00AC535F">
        <w:rPr>
          <w:rStyle w:val="FootnoteReference"/>
          <w:lang w:val="en"/>
        </w:rPr>
        <w:footnoteReference w:id="165"/>
      </w:r>
    </w:p>
    <w:p w14:paraId="35C78137" w14:textId="46B5442A" w:rsidR="00F56102" w:rsidRDefault="00B353EB" w:rsidP="00F9312C">
      <w:pPr>
        <w:pStyle w:val="ListParagraph"/>
        <w:spacing w:line="360" w:lineRule="auto"/>
        <w:ind w:left="0"/>
      </w:pPr>
      <w:r>
        <w:t xml:space="preserve"> </w:t>
      </w:r>
    </w:p>
    <w:p w14:paraId="7DC74EC5" w14:textId="0A7385F1" w:rsidR="00CF4722" w:rsidRPr="002E620B" w:rsidRDefault="00CF4722" w:rsidP="00F9312C">
      <w:pPr>
        <w:spacing w:line="360" w:lineRule="auto"/>
        <w:rPr>
          <w:b/>
          <w:bCs/>
        </w:rPr>
      </w:pPr>
      <w:r w:rsidRPr="002E620B">
        <w:rPr>
          <w:b/>
          <w:bCs/>
        </w:rPr>
        <w:t>Civil Society Engagement</w:t>
      </w:r>
    </w:p>
    <w:p w14:paraId="74713C01" w14:textId="77777777" w:rsidR="00AC535F" w:rsidRDefault="00AC535F" w:rsidP="00F9312C">
      <w:pPr>
        <w:spacing w:line="360" w:lineRule="auto"/>
      </w:pPr>
      <w:r>
        <w:t xml:space="preserve">There is no information available about the engagement of persons with disabilities. </w:t>
      </w:r>
    </w:p>
    <w:p w14:paraId="563355E8" w14:textId="7C9ED57E" w:rsidR="00F56102" w:rsidRDefault="00AC535F" w:rsidP="00F9312C">
      <w:pPr>
        <w:spacing w:line="360" w:lineRule="auto"/>
      </w:pPr>
      <w:r>
        <w:t xml:space="preserve"> </w:t>
      </w:r>
    </w:p>
    <w:p w14:paraId="6225CFB4" w14:textId="17480CD5" w:rsidR="00CF4722" w:rsidRPr="002E620B" w:rsidRDefault="00CF4722" w:rsidP="00F9312C">
      <w:pPr>
        <w:spacing w:line="360" w:lineRule="auto"/>
        <w:rPr>
          <w:b/>
          <w:bCs/>
        </w:rPr>
      </w:pPr>
      <w:r w:rsidRPr="002E620B">
        <w:rPr>
          <w:b/>
          <w:bCs/>
        </w:rPr>
        <w:t>Noteworthy Issues or Concerns</w:t>
      </w:r>
    </w:p>
    <w:p w14:paraId="2E9B6B47" w14:textId="48BD5F35" w:rsidR="00AC535F" w:rsidRDefault="00AC535F" w:rsidP="00F9312C">
      <w:pPr>
        <w:spacing w:line="360" w:lineRule="auto"/>
      </w:pPr>
      <w:r>
        <w:t xml:space="preserve">For the province of Flevoland, accessibility of roads and streets has not been a topic of regulation. In the current </w:t>
      </w:r>
      <w:r w:rsidRPr="00F84064">
        <w:t>Consolidated Environmental Ordinance 2019</w:t>
      </w:r>
      <w:r>
        <w:t>, no reference to disability is made. There is a section which prohibits the blocking of roads</w:t>
      </w:r>
      <w:r w:rsidR="008306C7">
        <w:t>, which</w:t>
      </w:r>
      <w:r>
        <w:t xml:space="preserve"> could be </w:t>
      </w:r>
      <w:r w:rsidR="008306C7">
        <w:t>applied</w:t>
      </w:r>
      <w:r>
        <w:t xml:space="preserve"> as a norm to enforce accessibility. In the area of public transport, the province has set rules and conditions for accessibility. Adjustments of bus and tram stops will be increased in the programme period.</w:t>
      </w:r>
    </w:p>
    <w:p w14:paraId="5F9E1B35" w14:textId="77777777" w:rsidR="00CF4722" w:rsidRDefault="00CF4722" w:rsidP="00F9312C">
      <w:pPr>
        <w:spacing w:line="360" w:lineRule="auto"/>
      </w:pPr>
    </w:p>
    <w:p w14:paraId="4F86B2E5" w14:textId="77777777" w:rsidR="005F0C1F" w:rsidRPr="00106AA7" w:rsidRDefault="00CF4722" w:rsidP="00F9312C">
      <w:pPr>
        <w:pStyle w:val="Heading2"/>
        <w:spacing w:line="360" w:lineRule="auto"/>
      </w:pPr>
      <w:r w:rsidRPr="00106AA7">
        <w:t>A6</w:t>
      </w:r>
      <w:r w:rsidR="00E614DE" w:rsidRPr="00106AA7">
        <w:t xml:space="preserve"> </w:t>
      </w:r>
      <w:r w:rsidR="00192E65" w:rsidRPr="00106AA7">
        <w:t>City-Level Strategy, Law and Policy</w:t>
      </w:r>
    </w:p>
    <w:p w14:paraId="7D89D195" w14:textId="77777777" w:rsidR="005F0C1F" w:rsidRDefault="005F0C1F" w:rsidP="00F9312C">
      <w:pPr>
        <w:spacing w:line="360" w:lineRule="auto"/>
      </w:pPr>
    </w:p>
    <w:p w14:paraId="7477081B" w14:textId="295185ED" w:rsidR="00987BA8" w:rsidRPr="00F9312C" w:rsidRDefault="005F0C1F" w:rsidP="00F9312C">
      <w:pPr>
        <w:pStyle w:val="Heading3"/>
        <w:spacing w:line="360" w:lineRule="auto"/>
        <w:rPr>
          <w:b/>
          <w:bCs w:val="0"/>
        </w:rPr>
      </w:pPr>
      <w:r w:rsidRPr="00F9312C">
        <w:rPr>
          <w:b/>
          <w:bCs w:val="0"/>
        </w:rPr>
        <w:t>A</w:t>
      </w:r>
      <w:r w:rsidR="00CF4722" w:rsidRPr="00F9312C">
        <w:rPr>
          <w:b/>
          <w:bCs w:val="0"/>
        </w:rPr>
        <w:t>6</w:t>
      </w:r>
      <w:r w:rsidRPr="00F9312C">
        <w:rPr>
          <w:b/>
          <w:bCs w:val="0"/>
        </w:rPr>
        <w:t>.1</w:t>
      </w:r>
      <w:r w:rsidR="00E614DE" w:rsidRPr="00F9312C">
        <w:rPr>
          <w:b/>
          <w:bCs w:val="0"/>
        </w:rPr>
        <w:t xml:space="preserve"> </w:t>
      </w:r>
      <w:r w:rsidR="00987BA8" w:rsidRPr="00F9312C">
        <w:rPr>
          <w:b/>
          <w:bCs w:val="0"/>
        </w:rPr>
        <w:t>Utrecht</w:t>
      </w:r>
    </w:p>
    <w:p w14:paraId="0C55B07D" w14:textId="1B1E6118" w:rsidR="000E47BC" w:rsidRDefault="00FA1C52" w:rsidP="00F9312C">
      <w:pPr>
        <w:spacing w:line="360" w:lineRule="auto"/>
      </w:pPr>
      <w:r>
        <w:t>The city of Utrecht has been a</w:t>
      </w:r>
      <w:r w:rsidR="00D63294">
        <w:t xml:space="preserve"> </w:t>
      </w:r>
      <w:proofErr w:type="gramStart"/>
      <w:r w:rsidR="00D63294">
        <w:t>long term</w:t>
      </w:r>
      <w:proofErr w:type="gramEnd"/>
      <w:r>
        <w:t xml:space="preserve"> propagator of inclusion an</w:t>
      </w:r>
      <w:r w:rsidR="00E41DF0">
        <w:t>d</w:t>
      </w:r>
      <w:r>
        <w:t xml:space="preserve"> accessibility for persons with disabilities. </w:t>
      </w:r>
      <w:r w:rsidR="00992249">
        <w:t>Already</w:t>
      </w:r>
      <w:r>
        <w:t xml:space="preserve"> </w:t>
      </w:r>
      <w:r w:rsidR="00D63294">
        <w:t>in</w:t>
      </w:r>
      <w:r>
        <w:t xml:space="preserve"> 2007, </w:t>
      </w:r>
      <w:r w:rsidR="00E41DF0">
        <w:t xml:space="preserve">the city adopted </w:t>
      </w:r>
      <w:r>
        <w:t xml:space="preserve">Agenda 22 </w:t>
      </w:r>
      <w:r w:rsidR="00E41DF0">
        <w:t xml:space="preserve">as </w:t>
      </w:r>
      <w:r>
        <w:t xml:space="preserve">the leading policy document to raise awareness and </w:t>
      </w:r>
      <w:r w:rsidR="00D63294">
        <w:t>to guide</w:t>
      </w:r>
      <w:r>
        <w:t xml:space="preserve"> local policies.</w:t>
      </w:r>
      <w:r w:rsidR="000E47BC">
        <w:rPr>
          <w:rStyle w:val="FootnoteReference"/>
        </w:rPr>
        <w:footnoteReference w:id="166"/>
      </w:r>
      <w:r>
        <w:t xml:space="preserve"> </w:t>
      </w:r>
      <w:r w:rsidR="000E47BC">
        <w:t xml:space="preserve">Utrecht adopted the standards as a guide for </w:t>
      </w:r>
      <w:r w:rsidR="00E41DF0">
        <w:t>practical implementation of inclusion standards.</w:t>
      </w:r>
    </w:p>
    <w:p w14:paraId="28FE9F06" w14:textId="4BB312EF" w:rsidR="000E47BC" w:rsidRDefault="00FA1C52" w:rsidP="00F9312C">
      <w:pPr>
        <w:spacing w:line="360" w:lineRule="auto"/>
      </w:pPr>
      <w:r>
        <w:t>In 2012, the city administration decided to adopt a policy document concerning the further implementation of Agenda 22.</w:t>
      </w:r>
      <w:r>
        <w:rPr>
          <w:rStyle w:val="FootnoteReference"/>
        </w:rPr>
        <w:footnoteReference w:id="167"/>
      </w:r>
      <w:r>
        <w:t xml:space="preserve"> </w:t>
      </w:r>
      <w:r w:rsidR="00004538">
        <w:t>Accessibility of public spaces was</w:t>
      </w:r>
      <w:r w:rsidR="000A1C75">
        <w:t xml:space="preserve"> one of the policy areas.</w:t>
      </w:r>
      <w:r w:rsidR="000A1C75">
        <w:rPr>
          <w:rStyle w:val="FootnoteReference"/>
        </w:rPr>
        <w:footnoteReference w:id="168"/>
      </w:r>
      <w:r w:rsidR="000A1C75">
        <w:t xml:space="preserve"> </w:t>
      </w:r>
    </w:p>
    <w:p w14:paraId="40794670" w14:textId="77777777" w:rsidR="000E47BC" w:rsidRDefault="000E47BC" w:rsidP="00F9312C">
      <w:pPr>
        <w:spacing w:line="360" w:lineRule="auto"/>
      </w:pPr>
    </w:p>
    <w:p w14:paraId="28E26221" w14:textId="1750FE06" w:rsidR="000E47BC" w:rsidRDefault="000E47BC" w:rsidP="00F9312C">
      <w:pPr>
        <w:spacing w:line="360" w:lineRule="auto"/>
      </w:pPr>
      <w:r>
        <w:t>With the ratification of CRPD by the Netherlands in 2016, the Convention became the point of reference for local policies in this field.</w:t>
      </w:r>
      <w:r w:rsidR="00031854">
        <w:t xml:space="preserve"> </w:t>
      </w:r>
      <w:r w:rsidR="00C11E3C">
        <w:t xml:space="preserve">In </w:t>
      </w:r>
      <w:r w:rsidR="000F1EF5">
        <w:t>2018,</w:t>
      </w:r>
      <w:r w:rsidR="00C11E3C">
        <w:t xml:space="preserve"> the </w:t>
      </w:r>
      <w:r w:rsidR="000F1EF5">
        <w:t xml:space="preserve">new </w:t>
      </w:r>
      <w:r w:rsidR="00C11E3C">
        <w:t xml:space="preserve">municipal executive </w:t>
      </w:r>
      <w:r w:rsidR="000F1EF5">
        <w:t>adopted its coalition agreement ‘</w:t>
      </w:r>
      <w:r w:rsidR="000F1EF5" w:rsidRPr="00C36D19">
        <w:rPr>
          <w:i/>
          <w:iCs/>
        </w:rPr>
        <w:t>Utrecht: space for everyone’</w:t>
      </w:r>
      <w:r w:rsidR="000F1EF5">
        <w:t>. One of the ambitions for the governing period 2018-2022 was to make the city more accessible and to adopt an inclusion agenda, intended to implement CRPD.</w:t>
      </w:r>
      <w:r w:rsidR="000F1EF5">
        <w:rPr>
          <w:rStyle w:val="FootnoteReference"/>
        </w:rPr>
        <w:footnoteReference w:id="169"/>
      </w:r>
      <w:r w:rsidR="000F1EF5">
        <w:t xml:space="preserve"> </w:t>
      </w:r>
      <w:r w:rsidR="001F207E">
        <w:t xml:space="preserve">The executive </w:t>
      </w:r>
      <w:r w:rsidR="008306C7">
        <w:t xml:space="preserve">pledged to make a flexible </w:t>
      </w:r>
      <w:r w:rsidR="001F207E">
        <w:t xml:space="preserve">and quickly deployable budget </w:t>
      </w:r>
      <w:r w:rsidR="008306C7">
        <w:t>available</w:t>
      </w:r>
      <w:r w:rsidR="001F207E">
        <w:t xml:space="preserve"> to address bottlenecks in physical and social accessibility</w:t>
      </w:r>
      <w:r w:rsidR="008306C7">
        <w:t xml:space="preserve"> </w:t>
      </w:r>
      <w:r w:rsidR="001F207E">
        <w:t xml:space="preserve">and to stimulate private parties to invest in targeted improvements. </w:t>
      </w:r>
    </w:p>
    <w:p w14:paraId="00766B25" w14:textId="77777777" w:rsidR="00031854" w:rsidRDefault="00031854" w:rsidP="00F9312C">
      <w:pPr>
        <w:spacing w:line="360" w:lineRule="auto"/>
      </w:pPr>
    </w:p>
    <w:p w14:paraId="71A4B12F" w14:textId="62B45480" w:rsidR="00192E65" w:rsidRPr="002E620B" w:rsidRDefault="00192E65" w:rsidP="00F9312C">
      <w:pPr>
        <w:autoSpaceDE w:val="0"/>
        <w:autoSpaceDN w:val="0"/>
        <w:adjustRightInd w:val="0"/>
        <w:spacing w:line="360" w:lineRule="auto"/>
        <w:rPr>
          <w:b/>
          <w:bCs/>
        </w:rPr>
      </w:pPr>
      <w:r w:rsidRPr="002E620B">
        <w:rPr>
          <w:b/>
          <w:bCs/>
        </w:rPr>
        <w:t>Equality and Inclusion</w:t>
      </w:r>
    </w:p>
    <w:p w14:paraId="6EADEB3E" w14:textId="0279248D" w:rsidR="002C2A5A" w:rsidRDefault="00186C2A" w:rsidP="00F9312C">
      <w:pPr>
        <w:spacing w:line="360" w:lineRule="auto"/>
      </w:pPr>
      <w:r>
        <w:t xml:space="preserve">Utrecht has </w:t>
      </w:r>
      <w:r w:rsidR="00C263BA">
        <w:t>joined</w:t>
      </w:r>
      <w:r>
        <w:t xml:space="preserve"> the </w:t>
      </w:r>
      <w:r w:rsidR="00C263BA">
        <w:t>F</w:t>
      </w:r>
      <w:r>
        <w:t xml:space="preserve">ront </w:t>
      </w:r>
      <w:r w:rsidR="00C263BA">
        <w:t>R</w:t>
      </w:r>
      <w:r>
        <w:t>unners programme</w:t>
      </w:r>
      <w:r w:rsidR="00C263BA">
        <w:t xml:space="preserve"> ‘</w:t>
      </w:r>
      <w:proofErr w:type="spellStart"/>
      <w:r w:rsidR="00C263BA">
        <w:t>Iedereen</w:t>
      </w:r>
      <w:proofErr w:type="spellEnd"/>
      <w:r w:rsidR="00C263BA">
        <w:t xml:space="preserve"> </w:t>
      </w:r>
      <w:proofErr w:type="spellStart"/>
      <w:r w:rsidR="00C263BA">
        <w:t>doet</w:t>
      </w:r>
      <w:proofErr w:type="spellEnd"/>
      <w:r w:rsidR="00C263BA">
        <w:t xml:space="preserve"> </w:t>
      </w:r>
      <w:proofErr w:type="spellStart"/>
      <w:proofErr w:type="gramStart"/>
      <w:r w:rsidR="00C263BA">
        <w:t>mee</w:t>
      </w:r>
      <w:proofErr w:type="spellEnd"/>
      <w:r w:rsidR="00C263BA">
        <w:t>’(</w:t>
      </w:r>
      <w:proofErr w:type="gramEnd"/>
      <w:r w:rsidR="00C263BA">
        <w:rPr>
          <w:i/>
          <w:iCs/>
        </w:rPr>
        <w:t>‘Everyone joins in’)</w:t>
      </w:r>
      <w:r>
        <w:t>,</w:t>
      </w:r>
      <w:r w:rsidR="00C263BA">
        <w:rPr>
          <w:rStyle w:val="FootnoteReference"/>
        </w:rPr>
        <w:footnoteReference w:id="170"/>
      </w:r>
      <w:r>
        <w:t xml:space="preserve"> an initiative of the </w:t>
      </w:r>
      <w:proofErr w:type="spellStart"/>
      <w:r w:rsidR="00C263BA">
        <w:t>Vereniging</w:t>
      </w:r>
      <w:proofErr w:type="spellEnd"/>
      <w:r w:rsidR="00C263BA">
        <w:t xml:space="preserve"> </w:t>
      </w:r>
      <w:proofErr w:type="spellStart"/>
      <w:r w:rsidR="00C263BA">
        <w:t>Nederlandse</w:t>
      </w:r>
      <w:proofErr w:type="spellEnd"/>
      <w:r w:rsidR="00C263BA">
        <w:t xml:space="preserve"> </w:t>
      </w:r>
      <w:proofErr w:type="spellStart"/>
      <w:r w:rsidR="00C263BA">
        <w:t>Gemeenten</w:t>
      </w:r>
      <w:proofErr w:type="spellEnd"/>
      <w:r w:rsidR="00C263BA">
        <w:t xml:space="preserve"> (VNG – ‘</w:t>
      </w:r>
      <w:r w:rsidR="00C263BA" w:rsidRPr="00C263BA">
        <w:rPr>
          <w:i/>
          <w:iCs/>
        </w:rPr>
        <w:t>Association of Netherlands Municipalities</w:t>
      </w:r>
      <w:r w:rsidR="00C263BA">
        <w:rPr>
          <w:i/>
          <w:iCs/>
        </w:rPr>
        <w:t>’</w:t>
      </w:r>
      <w:r w:rsidR="00C263BA">
        <w:t>).</w:t>
      </w:r>
      <w:r w:rsidR="00C263BA">
        <w:rPr>
          <w:rStyle w:val="FootnoteReference"/>
        </w:rPr>
        <w:footnoteReference w:id="171"/>
      </w:r>
      <w:r w:rsidR="00C263BA">
        <w:t xml:space="preserve"> In the programme, </w:t>
      </w:r>
      <w:r w:rsidR="00AE79E9">
        <w:t>more than 40</w:t>
      </w:r>
      <w:r w:rsidR="00C263BA">
        <w:t xml:space="preserve"> municipalities have committed themselves to implement CRPD at the local level and to improve participation and inclusion of citizens with disabilities. Participating municipalities create networks and exchange good practices in the area of inclusion. They </w:t>
      </w:r>
      <w:r w:rsidR="00AE79E9">
        <w:t>create awareness, take measures in the field of education, leisure and develop a local inclusion agenda.</w:t>
      </w:r>
      <w:r w:rsidR="009F7C16">
        <w:t xml:space="preserve"> </w:t>
      </w:r>
    </w:p>
    <w:p w14:paraId="7C7BEE17" w14:textId="279D6197" w:rsidR="009F7C16" w:rsidRPr="00C263BA" w:rsidRDefault="009F7C16" w:rsidP="00F9312C">
      <w:pPr>
        <w:spacing w:line="360" w:lineRule="auto"/>
      </w:pPr>
      <w:r>
        <w:t>Utrecht has taken various measures, as described below. In order to increase awareness among citizens, a website was developed with general information about participation and accessibility.</w:t>
      </w:r>
      <w:r>
        <w:rPr>
          <w:rStyle w:val="FootnoteReference"/>
        </w:rPr>
        <w:footnoteReference w:id="172"/>
      </w:r>
    </w:p>
    <w:p w14:paraId="5C3CB0C5" w14:textId="77777777" w:rsidR="00C263BA" w:rsidRDefault="00C263BA" w:rsidP="00F9312C">
      <w:pPr>
        <w:spacing w:line="360" w:lineRule="auto"/>
        <w:rPr>
          <w:i/>
          <w:iCs/>
        </w:rPr>
      </w:pPr>
    </w:p>
    <w:p w14:paraId="25E24701" w14:textId="64D86236" w:rsidR="00186C2A" w:rsidRDefault="00186C2A" w:rsidP="00F9312C">
      <w:pPr>
        <w:spacing w:line="360" w:lineRule="auto"/>
        <w:rPr>
          <w:i/>
          <w:iCs/>
        </w:rPr>
      </w:pPr>
      <w:r>
        <w:rPr>
          <w:i/>
          <w:iCs/>
        </w:rPr>
        <w:t>Buildings</w:t>
      </w:r>
    </w:p>
    <w:p w14:paraId="6F956733" w14:textId="5BB5B333" w:rsidR="004353FF" w:rsidRDefault="002C2A5A" w:rsidP="00F9312C">
      <w:pPr>
        <w:spacing w:line="360" w:lineRule="auto"/>
      </w:pPr>
      <w:r>
        <w:t>In relation to t</w:t>
      </w:r>
      <w:r w:rsidR="00667167" w:rsidRPr="002C2A5A">
        <w:t>he built environment</w:t>
      </w:r>
      <w:r>
        <w:t xml:space="preserve">, </w:t>
      </w:r>
      <w:r w:rsidR="00031854">
        <w:t>t</w:t>
      </w:r>
      <w:r w:rsidR="00BC52D8">
        <w:t xml:space="preserve">he city adopted a local accessibility standard, Utrecht </w:t>
      </w:r>
      <w:proofErr w:type="spellStart"/>
      <w:r w:rsidR="00BC52D8">
        <w:t>Standaard</w:t>
      </w:r>
      <w:proofErr w:type="spellEnd"/>
      <w:r w:rsidR="00BC52D8">
        <w:t xml:space="preserve"> </w:t>
      </w:r>
      <w:proofErr w:type="spellStart"/>
      <w:r w:rsidR="00BC52D8">
        <w:t>Toegankelijk</w:t>
      </w:r>
      <w:proofErr w:type="spellEnd"/>
      <w:r w:rsidR="00BC52D8">
        <w:t xml:space="preserve"> (‘</w:t>
      </w:r>
      <w:r w:rsidR="00BC52D8" w:rsidRPr="00BC52D8">
        <w:rPr>
          <w:i/>
          <w:iCs/>
        </w:rPr>
        <w:t>Utrecht accessible</w:t>
      </w:r>
      <w:r w:rsidR="00BC52D8">
        <w:rPr>
          <w:i/>
          <w:iCs/>
        </w:rPr>
        <w:t xml:space="preserve"> by default</w:t>
      </w:r>
      <w:r w:rsidR="00BC52D8">
        <w:t>’)</w:t>
      </w:r>
      <w:r>
        <w:t xml:space="preserve"> in 2017</w:t>
      </w:r>
      <w:r w:rsidR="00BC52D8">
        <w:t>.</w:t>
      </w:r>
      <w:r w:rsidR="00D63294">
        <w:rPr>
          <w:rStyle w:val="FootnoteReference"/>
        </w:rPr>
        <w:footnoteReference w:id="173"/>
      </w:r>
      <w:r w:rsidR="00BC52D8">
        <w:t xml:space="preserve"> With</w:t>
      </w:r>
      <w:r>
        <w:t xml:space="preserve"> a</w:t>
      </w:r>
      <w:r w:rsidR="00BC52D8">
        <w:t xml:space="preserve"> reference to CRPD, the city decided that </w:t>
      </w:r>
      <w:r w:rsidR="00BC52D8" w:rsidRPr="00BC52D8">
        <w:t>everyone</w:t>
      </w:r>
      <w:r w:rsidR="004353FF">
        <w:t xml:space="preserve">, regardless of disability, </w:t>
      </w:r>
      <w:r w:rsidR="00BC52D8" w:rsidRPr="00BC52D8">
        <w:t xml:space="preserve">must be able to </w:t>
      </w:r>
      <w:r w:rsidR="004353FF">
        <w:t xml:space="preserve">access all </w:t>
      </w:r>
      <w:r w:rsidR="00186C2A">
        <w:t xml:space="preserve">municipal </w:t>
      </w:r>
      <w:r w:rsidR="004353FF">
        <w:t>buildings.</w:t>
      </w:r>
      <w:r w:rsidR="00BC52D8">
        <w:t xml:space="preserve"> </w:t>
      </w:r>
      <w:r w:rsidR="004353FF" w:rsidRPr="000044C9">
        <w:t>T</w:t>
      </w:r>
      <w:r w:rsidR="00D63294" w:rsidRPr="000044C9">
        <w:t>he policy letter</w:t>
      </w:r>
      <w:r w:rsidR="004353FF" w:rsidRPr="000044C9">
        <w:t xml:space="preserve"> lists a number of objectives. </w:t>
      </w:r>
      <w:r w:rsidR="004353FF" w:rsidRPr="004353FF">
        <w:t>These include th</w:t>
      </w:r>
      <w:r w:rsidR="00186C2A">
        <w:t>at</w:t>
      </w:r>
      <w:r w:rsidR="004353FF" w:rsidRPr="004353FF">
        <w:t xml:space="preserve"> all spaces, routes and objects within the buildings are accessible to everyone; </w:t>
      </w:r>
      <w:r w:rsidR="00186C2A">
        <w:t>a</w:t>
      </w:r>
      <w:r w:rsidR="004353FF" w:rsidRPr="004353FF">
        <w:t xml:space="preserve">t the start of the building process, the future users decide </w:t>
      </w:r>
      <w:r w:rsidR="00186C2A">
        <w:t>if any</w:t>
      </w:r>
      <w:r w:rsidR="004353FF" w:rsidRPr="004353FF">
        <w:t xml:space="preserve"> spaces are not required to</w:t>
      </w:r>
      <w:r w:rsidR="00186C2A">
        <w:t xml:space="preserve"> </w:t>
      </w:r>
      <w:r w:rsidR="004353FF" w:rsidRPr="004353FF">
        <w:t>be accessible; routes and conne</w:t>
      </w:r>
      <w:r w:rsidR="004353FF">
        <w:t>c</w:t>
      </w:r>
      <w:r w:rsidR="004353FF" w:rsidRPr="004353FF">
        <w:t>tions betwe</w:t>
      </w:r>
      <w:r w:rsidR="004353FF">
        <w:t>e</w:t>
      </w:r>
      <w:r w:rsidR="004353FF" w:rsidRPr="004353FF">
        <w:t xml:space="preserve">n spaces are </w:t>
      </w:r>
      <w:r w:rsidR="004353FF">
        <w:t xml:space="preserve">will be displayed </w:t>
      </w:r>
      <w:r w:rsidR="004353FF" w:rsidRPr="004353FF">
        <w:t>in a room matrix</w:t>
      </w:r>
      <w:r w:rsidR="00186C2A">
        <w:t xml:space="preserve"> and route plan; during the construction process accessibility measures will be checked.</w:t>
      </w:r>
    </w:p>
    <w:p w14:paraId="7D691A8E" w14:textId="432B65EB" w:rsidR="00667167" w:rsidRDefault="00667167" w:rsidP="00F9312C">
      <w:pPr>
        <w:spacing w:line="360" w:lineRule="auto"/>
      </w:pPr>
    </w:p>
    <w:p w14:paraId="72F1C534" w14:textId="5A609478" w:rsidR="00145525" w:rsidRPr="00145525" w:rsidRDefault="00145525" w:rsidP="00F9312C">
      <w:pPr>
        <w:spacing w:line="360" w:lineRule="auto"/>
        <w:rPr>
          <w:i/>
          <w:iCs/>
        </w:rPr>
      </w:pPr>
      <w:r w:rsidRPr="00145525">
        <w:rPr>
          <w:i/>
          <w:iCs/>
        </w:rPr>
        <w:t>Public spaces</w:t>
      </w:r>
    </w:p>
    <w:p w14:paraId="75C80473" w14:textId="044B93C0" w:rsidR="00254C81" w:rsidRDefault="00254C81" w:rsidP="00F9312C">
      <w:pPr>
        <w:spacing w:line="360" w:lineRule="auto"/>
      </w:pPr>
      <w:r>
        <w:t xml:space="preserve">In cooperation with SOLGU, the local DPO, information about wheelchair accessible places was added to </w:t>
      </w:r>
      <w:r w:rsidR="00165F7E">
        <w:t>a</w:t>
      </w:r>
      <w:r>
        <w:t xml:space="preserve"> worldwide online </w:t>
      </w:r>
      <w:r w:rsidR="00842B8E">
        <w:t xml:space="preserve">accessibility </w:t>
      </w:r>
      <w:r>
        <w:t>map, wheelmap.org.</w:t>
      </w:r>
      <w:r>
        <w:rPr>
          <w:rStyle w:val="FootnoteReference"/>
        </w:rPr>
        <w:footnoteReference w:id="174"/>
      </w:r>
    </w:p>
    <w:p w14:paraId="28448D0D" w14:textId="5040A6DC" w:rsidR="00264D2D" w:rsidRDefault="00264D2D" w:rsidP="00F9312C">
      <w:pPr>
        <w:spacing w:line="360" w:lineRule="auto"/>
      </w:pPr>
      <w:r>
        <w:t>For visitors, the City tourist department has developed a website with information about accessible recreational public spaces.</w:t>
      </w:r>
      <w:r>
        <w:rPr>
          <w:rStyle w:val="FootnoteReference"/>
        </w:rPr>
        <w:footnoteReference w:id="175"/>
      </w:r>
    </w:p>
    <w:p w14:paraId="3FFF23D9" w14:textId="26E0B18C" w:rsidR="00937769" w:rsidRPr="005D03B3" w:rsidRDefault="009943F1" w:rsidP="00F9312C">
      <w:pPr>
        <w:spacing w:line="360" w:lineRule="auto"/>
      </w:pPr>
      <w:r>
        <w:t>For the development of public spaces in the city, the municipality</w:t>
      </w:r>
      <w:r w:rsidR="00CE7CC8">
        <w:t xml:space="preserve"> has taken accessibility for persons with disabilities as one of the core values.</w:t>
      </w:r>
      <w:r w:rsidR="00CE7CC8">
        <w:rPr>
          <w:rStyle w:val="FootnoteReference"/>
        </w:rPr>
        <w:footnoteReference w:id="176"/>
      </w:r>
      <w:r w:rsidR="00CE7CC8">
        <w:t xml:space="preserve"> </w:t>
      </w:r>
      <w:r w:rsidR="00BE4EC2">
        <w:t>This principle has been translated in</w:t>
      </w:r>
      <w:r>
        <w:t xml:space="preserve"> the Manual Public Space. The Manual contains a framework for rules regarding management, organization and use of public space. </w:t>
      </w:r>
      <w:r w:rsidRPr="009943F1">
        <w:t>All changes in public space, from large to small, must comply with the set framework.</w:t>
      </w:r>
      <w:r>
        <w:t xml:space="preserve"> A municipal body,</w:t>
      </w:r>
      <w:r w:rsidRPr="009943F1">
        <w:t xml:space="preserve"> </w:t>
      </w:r>
      <w:r>
        <w:t>t</w:t>
      </w:r>
      <w:r w:rsidRPr="009943F1">
        <w:t>he B</w:t>
      </w:r>
      <w:r>
        <w:t>ING</w:t>
      </w:r>
      <w:r w:rsidRPr="009943F1">
        <w:t xml:space="preserve"> committee</w:t>
      </w:r>
      <w:r>
        <w:t>,</w:t>
      </w:r>
      <w:r w:rsidRPr="009943F1">
        <w:t xml:space="preserve"> ensures that the various projects comply with the public space manual.</w:t>
      </w:r>
      <w:r w:rsidR="00E700A0">
        <w:rPr>
          <w:rStyle w:val="FootnoteReference"/>
        </w:rPr>
        <w:footnoteReference w:id="177"/>
      </w:r>
      <w:r w:rsidRPr="009943F1">
        <w:t xml:space="preserve"> Every plan for (part of) the public space must be </w:t>
      </w:r>
      <w:r w:rsidR="00BE4EC2">
        <w:t>submitted</w:t>
      </w:r>
      <w:r w:rsidRPr="009943F1">
        <w:t xml:space="preserve"> to the BI</w:t>
      </w:r>
      <w:r w:rsidR="00E700A0">
        <w:t>N</w:t>
      </w:r>
      <w:r w:rsidRPr="009943F1">
        <w:t>G committee before the preliminary design.</w:t>
      </w:r>
      <w:r w:rsidR="00E700A0">
        <w:t xml:space="preserve"> The BING </w:t>
      </w:r>
      <w:r w:rsidR="00E700A0" w:rsidRPr="00E700A0">
        <w:t>committee consist</w:t>
      </w:r>
      <w:r w:rsidR="00E700A0">
        <w:t>s</w:t>
      </w:r>
      <w:r w:rsidR="00E700A0" w:rsidRPr="00E700A0">
        <w:t xml:space="preserve"> of representatives from various administrative departments in the field of safety, use and management. These include the police, the fire brigade and the administrators.</w:t>
      </w:r>
      <w:r w:rsidR="00E700A0">
        <w:t xml:space="preserve"> The</w:t>
      </w:r>
      <w:r w:rsidR="00BE4EC2">
        <w:t xml:space="preserve"> committee</w:t>
      </w:r>
      <w:r w:rsidR="00E700A0">
        <w:t xml:space="preserve"> review</w:t>
      </w:r>
      <w:r w:rsidR="00BE4EC2">
        <w:t>s</w:t>
      </w:r>
      <w:r w:rsidR="00E700A0">
        <w:t xml:space="preserve"> </w:t>
      </w:r>
      <w:r w:rsidR="00512433">
        <w:t xml:space="preserve">the construction designs of various elements in public space, such as street elements, bridges, pavement and street furniture. The review looks at </w:t>
      </w:r>
      <w:r w:rsidR="00E700A0">
        <w:t>safety, uniformity</w:t>
      </w:r>
      <w:r w:rsidR="00512433">
        <w:t>, usability and accessibility.</w:t>
      </w:r>
      <w:r w:rsidR="00636CA3">
        <w:t xml:space="preserve"> After approval by the Committee, the plan may be carried out.</w:t>
      </w:r>
      <w:r w:rsidR="00512433">
        <w:t xml:space="preserve"> </w:t>
      </w:r>
      <w:r w:rsidR="00636CA3">
        <w:t xml:space="preserve">In view of inclusion, </w:t>
      </w:r>
      <w:r w:rsidR="00015F36">
        <w:t xml:space="preserve">the </w:t>
      </w:r>
      <w:r w:rsidR="00512433">
        <w:t>Annex to the Manual is</w:t>
      </w:r>
      <w:r w:rsidR="00636CA3">
        <w:t xml:space="preserve"> important.</w:t>
      </w:r>
      <w:r w:rsidR="00512433">
        <w:t xml:space="preserve"> </w:t>
      </w:r>
      <w:r w:rsidR="00636CA3">
        <w:t>T</w:t>
      </w:r>
      <w:r w:rsidR="00512433">
        <w:t xml:space="preserve">he </w:t>
      </w:r>
      <w:r w:rsidR="00636CA3">
        <w:t>Annex ‘</w:t>
      </w:r>
      <w:proofErr w:type="spellStart"/>
      <w:r w:rsidR="00636CA3">
        <w:t>Voetpaden</w:t>
      </w:r>
      <w:proofErr w:type="spellEnd"/>
      <w:r w:rsidR="00636CA3">
        <w:t xml:space="preserve"> </w:t>
      </w:r>
      <w:proofErr w:type="spellStart"/>
      <w:r w:rsidR="00636CA3">
        <w:t>voor</w:t>
      </w:r>
      <w:proofErr w:type="spellEnd"/>
      <w:r w:rsidR="00636CA3">
        <w:t xml:space="preserve"> </w:t>
      </w:r>
      <w:proofErr w:type="spellStart"/>
      <w:r w:rsidR="00636CA3">
        <w:t>iedereen</w:t>
      </w:r>
      <w:proofErr w:type="spellEnd"/>
      <w:r w:rsidR="00636CA3">
        <w:t>’ (‘</w:t>
      </w:r>
      <w:r w:rsidR="00636CA3" w:rsidRPr="00636CA3">
        <w:rPr>
          <w:i/>
          <w:iCs/>
        </w:rPr>
        <w:t>Footpaths for everyone</w:t>
      </w:r>
      <w:r w:rsidR="00636CA3">
        <w:t>’)</w:t>
      </w:r>
      <w:r w:rsidR="0061212D">
        <w:rPr>
          <w:rStyle w:val="FootnoteReference"/>
        </w:rPr>
        <w:footnoteReference w:id="178"/>
      </w:r>
      <w:r w:rsidR="00636CA3">
        <w:t xml:space="preserve"> is a guideline</w:t>
      </w:r>
      <w:r w:rsidR="0061212D">
        <w:t xml:space="preserve"> which</w:t>
      </w:r>
      <w:r w:rsidR="00636CA3">
        <w:t xml:space="preserve"> contains guiding principles for accessible footpaths and pavements for persons with various types of disabilities. It has details on street materials, places for dropped kerbs, the width of footpaths</w:t>
      </w:r>
      <w:r w:rsidR="0061212D">
        <w:t>, street crossings and marking lines for the visual impaired.</w:t>
      </w:r>
      <w:r w:rsidR="00586DE3">
        <w:t xml:space="preserve"> </w:t>
      </w:r>
      <w:r w:rsidR="00586DE3" w:rsidRPr="005D03B3">
        <w:t xml:space="preserve">The guidelines are based on several existing criteria, including </w:t>
      </w:r>
      <w:r w:rsidR="005D03B3" w:rsidRPr="005D03B3">
        <w:t>th</w:t>
      </w:r>
      <w:r w:rsidR="005D03B3">
        <w:t>e ASVV recommendations</w:t>
      </w:r>
      <w:r w:rsidR="001C78CB">
        <w:rPr>
          <w:rStyle w:val="FootnoteReference"/>
        </w:rPr>
        <w:footnoteReference w:id="179"/>
      </w:r>
      <w:r w:rsidR="005D03B3">
        <w:t xml:space="preserve"> and the NEN 1814 standards.</w:t>
      </w:r>
      <w:r w:rsidR="005D03B3">
        <w:rPr>
          <w:rStyle w:val="FootnoteReference"/>
        </w:rPr>
        <w:footnoteReference w:id="180"/>
      </w:r>
      <w:r w:rsidR="005D03B3">
        <w:t xml:space="preserve"> </w:t>
      </w:r>
    </w:p>
    <w:p w14:paraId="5B4E3843" w14:textId="19E9D76F" w:rsidR="009943F1" w:rsidRDefault="00015F36" w:rsidP="00F9312C">
      <w:pPr>
        <w:spacing w:line="360" w:lineRule="auto"/>
      </w:pPr>
      <w:r>
        <w:t xml:space="preserve">The city of Utrecht has made </w:t>
      </w:r>
      <w:r w:rsidR="0042147F">
        <w:t xml:space="preserve">the document </w:t>
      </w:r>
      <w:proofErr w:type="spellStart"/>
      <w:r w:rsidR="001C78CB" w:rsidRPr="001C78CB">
        <w:rPr>
          <w:i/>
          <w:iCs/>
        </w:rPr>
        <w:t>Voetpaden</w:t>
      </w:r>
      <w:proofErr w:type="spellEnd"/>
      <w:r w:rsidR="001C78CB" w:rsidRPr="001C78CB">
        <w:rPr>
          <w:i/>
          <w:iCs/>
        </w:rPr>
        <w:t xml:space="preserve"> </w:t>
      </w:r>
      <w:proofErr w:type="spellStart"/>
      <w:r w:rsidR="001C78CB" w:rsidRPr="001C78CB">
        <w:rPr>
          <w:i/>
          <w:iCs/>
        </w:rPr>
        <w:t>voor</w:t>
      </w:r>
      <w:proofErr w:type="spellEnd"/>
      <w:r w:rsidR="001C78CB" w:rsidRPr="001C78CB">
        <w:rPr>
          <w:i/>
          <w:iCs/>
        </w:rPr>
        <w:t xml:space="preserve"> </w:t>
      </w:r>
      <w:proofErr w:type="spellStart"/>
      <w:r w:rsidR="001C78CB" w:rsidRPr="001C78CB">
        <w:rPr>
          <w:i/>
          <w:iCs/>
        </w:rPr>
        <w:t>Iedereen</w:t>
      </w:r>
      <w:proofErr w:type="spellEnd"/>
      <w:r w:rsidR="001C78CB">
        <w:t xml:space="preserve"> </w:t>
      </w:r>
      <w:r>
        <w:t xml:space="preserve">part of the reviewing process </w:t>
      </w:r>
      <w:r w:rsidR="001C78CB">
        <w:t>for</w:t>
      </w:r>
      <w:r>
        <w:t xml:space="preserve"> the BING committee. </w:t>
      </w:r>
      <w:r w:rsidR="00586DE3">
        <w:t>New street designs are therefore tested against the accessibility norms</w:t>
      </w:r>
      <w:r w:rsidR="001C78CB">
        <w:t xml:space="preserve"> included in the guidelines</w:t>
      </w:r>
      <w:r w:rsidR="00586DE3">
        <w:t xml:space="preserve">. </w:t>
      </w:r>
    </w:p>
    <w:p w14:paraId="3B964000" w14:textId="1DF344E8" w:rsidR="00145525" w:rsidRDefault="00145525" w:rsidP="00F9312C">
      <w:pPr>
        <w:spacing w:line="360" w:lineRule="auto"/>
      </w:pPr>
    </w:p>
    <w:p w14:paraId="62B36736" w14:textId="77777777" w:rsidR="009F7C16" w:rsidRPr="00145525" w:rsidRDefault="009F7C16" w:rsidP="00F9312C">
      <w:pPr>
        <w:spacing w:line="360" w:lineRule="auto"/>
        <w:rPr>
          <w:i/>
          <w:iCs/>
        </w:rPr>
      </w:pPr>
      <w:r>
        <w:rPr>
          <w:i/>
          <w:iCs/>
        </w:rPr>
        <w:t>Municipal</w:t>
      </w:r>
      <w:r w:rsidRPr="00145525">
        <w:rPr>
          <w:i/>
          <w:iCs/>
        </w:rPr>
        <w:t xml:space="preserve"> legislation</w:t>
      </w:r>
    </w:p>
    <w:p w14:paraId="3A5728C4" w14:textId="65CA36BD" w:rsidR="009D75F5" w:rsidRDefault="009F7C16" w:rsidP="00F9312C">
      <w:pPr>
        <w:spacing w:line="360" w:lineRule="auto"/>
      </w:pPr>
      <w:r>
        <w:t xml:space="preserve">As </w:t>
      </w:r>
      <w:r w:rsidR="00D0292A">
        <w:t xml:space="preserve">will be </w:t>
      </w:r>
      <w:r>
        <w:t xml:space="preserve">explained in chapter </w:t>
      </w:r>
      <w:r w:rsidR="00D0292A">
        <w:t>D1.3,</w:t>
      </w:r>
      <w:r>
        <w:t xml:space="preserve"> local government can make and implement municipal </w:t>
      </w:r>
      <w:r w:rsidR="00AD0C12">
        <w:t>legislation</w:t>
      </w:r>
      <w:r>
        <w:t>.</w:t>
      </w:r>
      <w:r w:rsidR="001E0DB2">
        <w:rPr>
          <w:rStyle w:val="FootnoteReference"/>
        </w:rPr>
        <w:footnoteReference w:id="181"/>
      </w:r>
      <w:r>
        <w:t xml:space="preserve"> The city of Utrecht has drafted the </w:t>
      </w:r>
      <w:proofErr w:type="spellStart"/>
      <w:r w:rsidR="00842B8E">
        <w:t>Algemene</w:t>
      </w:r>
      <w:proofErr w:type="spellEnd"/>
      <w:r w:rsidR="00842B8E">
        <w:t xml:space="preserve"> </w:t>
      </w:r>
      <w:proofErr w:type="spellStart"/>
      <w:r w:rsidR="00842B8E">
        <w:t>plaatselijke</w:t>
      </w:r>
      <w:proofErr w:type="spellEnd"/>
      <w:r w:rsidR="00842B8E">
        <w:t xml:space="preserve"> </w:t>
      </w:r>
      <w:proofErr w:type="spellStart"/>
      <w:r w:rsidR="00842B8E">
        <w:t>verordening</w:t>
      </w:r>
      <w:proofErr w:type="spellEnd"/>
      <w:r w:rsidR="00842B8E">
        <w:t xml:space="preserve"> (</w:t>
      </w:r>
      <w:r w:rsidR="00842B8E" w:rsidRPr="00842B8E">
        <w:rPr>
          <w:i/>
          <w:iCs/>
        </w:rPr>
        <w:t>‘General Local Ordinance’</w:t>
      </w:r>
      <w:r w:rsidR="00842B8E">
        <w:t xml:space="preserve"> – APV). The APV addresses a broad range of issues, </w:t>
      </w:r>
      <w:r w:rsidR="00AD0C12">
        <w:t>vary</w:t>
      </w:r>
      <w:r w:rsidR="00842B8E">
        <w:t xml:space="preserve">ing from public manifestations, street performances, </w:t>
      </w:r>
      <w:proofErr w:type="spellStart"/>
      <w:proofErr w:type="gramStart"/>
      <w:r w:rsidR="009D75F5">
        <w:t>cctv</w:t>
      </w:r>
      <w:proofErr w:type="spellEnd"/>
      <w:proofErr w:type="gramEnd"/>
      <w:r w:rsidR="009D75F5">
        <w:t xml:space="preserve"> surveillance, </w:t>
      </w:r>
      <w:r w:rsidR="00842B8E">
        <w:t>football matches</w:t>
      </w:r>
      <w:r w:rsidR="00AD0C12">
        <w:t>, drug abuse</w:t>
      </w:r>
      <w:r w:rsidR="00842B8E">
        <w:t xml:space="preserve"> </w:t>
      </w:r>
      <w:r w:rsidR="00AD0C12">
        <w:t>and m</w:t>
      </w:r>
      <w:r w:rsidR="00AD0C12" w:rsidRPr="00AD0C12">
        <w:t>easures against nuisance and wantonness</w:t>
      </w:r>
      <w:r w:rsidR="009D0D0A">
        <w:t>,</w:t>
      </w:r>
      <w:r w:rsidR="00AD0C12">
        <w:t xml:space="preserve"> to care for the environment, street collections, prostitution zones and</w:t>
      </w:r>
      <w:r w:rsidR="009D0D0A">
        <w:t xml:space="preserve"> the</w:t>
      </w:r>
      <w:r w:rsidR="00AD0C12">
        <w:t xml:space="preserve"> sale of soft drugs.</w:t>
      </w:r>
    </w:p>
    <w:p w14:paraId="3EF606BE" w14:textId="1EAB98F3" w:rsidR="009D75F5" w:rsidRDefault="009D0D0A" w:rsidP="00F9312C">
      <w:pPr>
        <w:spacing w:line="360" w:lineRule="auto"/>
        <w:rPr>
          <w:lang w:bidi="en-US"/>
        </w:rPr>
      </w:pPr>
      <w:r>
        <w:rPr>
          <w:lang w:bidi="en-US"/>
        </w:rPr>
        <w:t xml:space="preserve">With regard to the accessibility of </w:t>
      </w:r>
      <w:r w:rsidR="00625A52">
        <w:rPr>
          <w:lang w:bidi="en-US"/>
        </w:rPr>
        <w:t xml:space="preserve">streets, </w:t>
      </w:r>
      <w:r>
        <w:rPr>
          <w:lang w:bidi="en-US"/>
        </w:rPr>
        <w:t>the</w:t>
      </w:r>
      <w:r w:rsidR="009D75F5">
        <w:rPr>
          <w:lang w:bidi="en-US"/>
        </w:rPr>
        <w:t xml:space="preserve"> APV </w:t>
      </w:r>
      <w:r w:rsidR="00625A52">
        <w:rPr>
          <w:lang w:bidi="en-US"/>
        </w:rPr>
        <w:t xml:space="preserve">includes a prohibition </w:t>
      </w:r>
      <w:r w:rsidR="00625A52" w:rsidRPr="00625A52">
        <w:rPr>
          <w:lang w:bidi="en-US"/>
        </w:rPr>
        <w:t>to place, apply, have or deposit objects or substances on, in or above the road without a permit.</w:t>
      </w:r>
      <w:r w:rsidR="00625A52">
        <w:rPr>
          <w:lang w:bidi="en-US"/>
        </w:rPr>
        <w:t xml:space="preserve"> The Ordinance also </w:t>
      </w:r>
      <w:r w:rsidR="00787AC3">
        <w:rPr>
          <w:lang w:bidi="en-US"/>
        </w:rPr>
        <w:t>prohibits</w:t>
      </w:r>
      <w:r>
        <w:rPr>
          <w:lang w:bidi="en-US"/>
        </w:rPr>
        <w:t xml:space="preserve"> the parking of bicycles, mopeds</w:t>
      </w:r>
      <w:r w:rsidR="009D75F5">
        <w:rPr>
          <w:lang w:bidi="en-US"/>
        </w:rPr>
        <w:t xml:space="preserve"> </w:t>
      </w:r>
      <w:r w:rsidR="00625A52">
        <w:rPr>
          <w:lang w:bidi="en-US"/>
        </w:rPr>
        <w:t>and</w:t>
      </w:r>
      <w:r>
        <w:rPr>
          <w:lang w:bidi="en-US"/>
        </w:rPr>
        <w:t xml:space="preserve"> similar vehicles if a pavement o</w:t>
      </w:r>
      <w:r w:rsidR="00625A52">
        <w:rPr>
          <w:lang w:bidi="en-US"/>
        </w:rPr>
        <w:t>r</w:t>
      </w:r>
      <w:r>
        <w:rPr>
          <w:lang w:bidi="en-US"/>
        </w:rPr>
        <w:t xml:space="preserve"> footpath is obstructed.</w:t>
      </w:r>
      <w:r>
        <w:rPr>
          <w:rStyle w:val="FootnoteReference"/>
          <w:lang w:bidi="en-US"/>
        </w:rPr>
        <w:footnoteReference w:id="182"/>
      </w:r>
      <w:r>
        <w:rPr>
          <w:lang w:bidi="en-US"/>
        </w:rPr>
        <w:t xml:space="preserve"> </w:t>
      </w:r>
      <w:r w:rsidR="00FF49AB">
        <w:rPr>
          <w:lang w:bidi="en-US"/>
        </w:rPr>
        <w:t xml:space="preserve">These provisions are suited for action to prevent and remove barriers in public spaces. For the enforcement of these provisions, local supervisors </w:t>
      </w:r>
      <w:r w:rsidR="009254C2">
        <w:rPr>
          <w:lang w:bidi="en-US"/>
        </w:rPr>
        <w:t xml:space="preserve">(BOAs) </w:t>
      </w:r>
      <w:r w:rsidR="00FF49AB">
        <w:rPr>
          <w:lang w:bidi="en-US"/>
        </w:rPr>
        <w:t>and police officers are mandated. Whether this is having a practical effect</w:t>
      </w:r>
      <w:r w:rsidR="009943F1">
        <w:rPr>
          <w:lang w:bidi="en-US"/>
        </w:rPr>
        <w:t>,</w:t>
      </w:r>
      <w:r w:rsidR="00FF49AB">
        <w:rPr>
          <w:lang w:bidi="en-US"/>
        </w:rPr>
        <w:t xml:space="preserve"> </w:t>
      </w:r>
      <w:r w:rsidR="009943F1">
        <w:rPr>
          <w:lang w:bidi="en-US"/>
        </w:rPr>
        <w:t>requires</w:t>
      </w:r>
      <w:r w:rsidR="00FF49AB">
        <w:rPr>
          <w:lang w:bidi="en-US"/>
        </w:rPr>
        <w:t xml:space="preserve"> further research in the field.</w:t>
      </w:r>
    </w:p>
    <w:p w14:paraId="187A2CFA" w14:textId="609DE9FD" w:rsidR="00690CF7" w:rsidRPr="00FF49AB" w:rsidRDefault="00690CF7" w:rsidP="00F9312C">
      <w:pPr>
        <w:spacing w:line="360" w:lineRule="auto"/>
      </w:pPr>
    </w:p>
    <w:p w14:paraId="65CEB7DA" w14:textId="4CFB6A63" w:rsidR="00690CF7" w:rsidRPr="002E620B" w:rsidRDefault="00192E65" w:rsidP="00F9312C">
      <w:pPr>
        <w:spacing w:line="360" w:lineRule="auto"/>
        <w:rPr>
          <w:rFonts w:ascii="Verdana" w:eastAsiaTheme="minorHAnsi" w:hAnsi="Verdana" w:cs="Verdana"/>
          <w:b/>
          <w:bCs/>
          <w:sz w:val="18"/>
          <w:szCs w:val="18"/>
          <w:lang w:eastAsia="en-US"/>
        </w:rPr>
      </w:pPr>
      <w:r w:rsidRPr="002E620B">
        <w:rPr>
          <w:b/>
          <w:bCs/>
        </w:rPr>
        <w:t>Planning</w:t>
      </w:r>
      <w:r w:rsidR="00690CF7" w:rsidRPr="002E620B">
        <w:rPr>
          <w:rFonts w:ascii="Verdana" w:eastAsiaTheme="minorHAnsi" w:hAnsi="Verdana" w:cs="Verdana"/>
          <w:b/>
          <w:bCs/>
          <w:sz w:val="18"/>
          <w:szCs w:val="18"/>
          <w:lang w:eastAsia="en-US"/>
        </w:rPr>
        <w:t xml:space="preserve"> </w:t>
      </w:r>
    </w:p>
    <w:p w14:paraId="6D123DB3" w14:textId="7724F23F" w:rsidR="00B21044" w:rsidRDefault="00B21044" w:rsidP="00F9312C">
      <w:pPr>
        <w:spacing w:line="360" w:lineRule="auto"/>
        <w:rPr>
          <w:rFonts w:eastAsiaTheme="minorHAnsi" w:cs="Arial"/>
          <w:szCs w:val="24"/>
          <w:lang w:eastAsia="en-US"/>
        </w:rPr>
      </w:pPr>
      <w:r>
        <w:rPr>
          <w:rFonts w:eastAsiaTheme="minorHAnsi" w:cs="Arial"/>
          <w:szCs w:val="24"/>
          <w:lang w:eastAsia="en-US"/>
        </w:rPr>
        <w:t>The principle of accessibility has been embraced in the municipal Framework Memorandum for the quality of public space, adopted in 2016.</w:t>
      </w:r>
      <w:r>
        <w:rPr>
          <w:rStyle w:val="FootnoteReference"/>
          <w:rFonts w:eastAsiaTheme="minorHAnsi" w:cs="Arial"/>
          <w:szCs w:val="24"/>
          <w:lang w:eastAsia="en-US"/>
        </w:rPr>
        <w:footnoteReference w:id="183"/>
      </w:r>
      <w:r>
        <w:rPr>
          <w:rFonts w:eastAsiaTheme="minorHAnsi" w:cs="Arial"/>
          <w:szCs w:val="24"/>
          <w:lang w:eastAsia="en-US"/>
        </w:rPr>
        <w:t xml:space="preserve"> As a leading principle for planning, </w:t>
      </w:r>
      <w:r w:rsidR="00992249">
        <w:rPr>
          <w:rFonts w:eastAsiaTheme="minorHAnsi" w:cs="Arial"/>
          <w:szCs w:val="24"/>
          <w:lang w:eastAsia="en-US"/>
        </w:rPr>
        <w:t>design</w:t>
      </w:r>
      <w:r>
        <w:rPr>
          <w:rFonts w:eastAsiaTheme="minorHAnsi" w:cs="Arial"/>
          <w:szCs w:val="24"/>
          <w:lang w:eastAsia="en-US"/>
        </w:rPr>
        <w:t xml:space="preserve"> and management, accessibility </w:t>
      </w:r>
      <w:r w:rsidR="00992249">
        <w:rPr>
          <w:rFonts w:eastAsiaTheme="minorHAnsi" w:cs="Arial"/>
          <w:szCs w:val="24"/>
          <w:lang w:eastAsia="en-US"/>
        </w:rPr>
        <w:t xml:space="preserve">is treated at the same policy level as </w:t>
      </w:r>
      <w:r w:rsidR="00992249" w:rsidRPr="00992249">
        <w:rPr>
          <w:rFonts w:eastAsiaTheme="minorHAnsi" w:cs="Arial"/>
          <w:szCs w:val="24"/>
          <w:lang w:eastAsia="en-US"/>
        </w:rPr>
        <w:t>sustainability, climate resilience</w:t>
      </w:r>
      <w:r w:rsidR="00992249">
        <w:rPr>
          <w:rFonts w:eastAsiaTheme="minorHAnsi" w:cs="Arial"/>
          <w:szCs w:val="24"/>
          <w:lang w:eastAsia="en-US"/>
        </w:rPr>
        <w:t xml:space="preserve"> and</w:t>
      </w:r>
      <w:r w:rsidR="00992249" w:rsidRPr="00992249">
        <w:rPr>
          <w:rFonts w:eastAsiaTheme="minorHAnsi" w:cs="Arial"/>
          <w:szCs w:val="24"/>
          <w:lang w:eastAsia="en-US"/>
        </w:rPr>
        <w:t xml:space="preserve"> healthy urbanization</w:t>
      </w:r>
      <w:r w:rsidR="00992249">
        <w:rPr>
          <w:rFonts w:eastAsiaTheme="minorHAnsi" w:cs="Arial"/>
          <w:szCs w:val="24"/>
          <w:lang w:eastAsia="en-US"/>
        </w:rPr>
        <w:t xml:space="preserve">. The </w:t>
      </w:r>
      <w:r w:rsidR="00431F47">
        <w:rPr>
          <w:rFonts w:eastAsiaTheme="minorHAnsi" w:cs="Arial"/>
          <w:szCs w:val="24"/>
          <w:lang w:eastAsia="en-US"/>
        </w:rPr>
        <w:t>m</w:t>
      </w:r>
      <w:r w:rsidR="00992249">
        <w:rPr>
          <w:rFonts w:eastAsiaTheme="minorHAnsi" w:cs="Arial"/>
          <w:szCs w:val="24"/>
          <w:lang w:eastAsia="en-US"/>
        </w:rPr>
        <w:t xml:space="preserve">unicipal </w:t>
      </w:r>
      <w:r w:rsidR="00431F47">
        <w:rPr>
          <w:rFonts w:eastAsiaTheme="minorHAnsi" w:cs="Arial"/>
          <w:szCs w:val="24"/>
          <w:lang w:eastAsia="en-US"/>
        </w:rPr>
        <w:t>e</w:t>
      </w:r>
      <w:r w:rsidR="00992249">
        <w:rPr>
          <w:rFonts w:eastAsiaTheme="minorHAnsi" w:cs="Arial"/>
          <w:szCs w:val="24"/>
          <w:lang w:eastAsia="en-US"/>
        </w:rPr>
        <w:t xml:space="preserve">xecutive aims at </w:t>
      </w:r>
      <w:r w:rsidR="00992249" w:rsidRPr="00992249">
        <w:rPr>
          <w:rFonts w:eastAsiaTheme="minorHAnsi" w:cs="Arial"/>
          <w:szCs w:val="24"/>
          <w:lang w:eastAsia="en-US"/>
        </w:rPr>
        <w:t xml:space="preserve">a careful design and management process when it comes to bridging differences in height, setting up obstacle-free zones and clear walking routes with marking or guidance. </w:t>
      </w:r>
      <w:r w:rsidR="00992249">
        <w:rPr>
          <w:rFonts w:eastAsiaTheme="minorHAnsi" w:cs="Arial"/>
          <w:szCs w:val="24"/>
          <w:lang w:eastAsia="en-US"/>
        </w:rPr>
        <w:t>W</w:t>
      </w:r>
      <w:r w:rsidR="00992249" w:rsidRPr="00992249">
        <w:rPr>
          <w:rFonts w:eastAsiaTheme="minorHAnsi" w:cs="Arial"/>
          <w:szCs w:val="24"/>
          <w:lang w:eastAsia="en-US"/>
        </w:rPr>
        <w:t>here necessary and possible</w:t>
      </w:r>
      <w:r w:rsidR="00992249">
        <w:rPr>
          <w:rFonts w:eastAsiaTheme="minorHAnsi" w:cs="Arial"/>
          <w:szCs w:val="24"/>
          <w:lang w:eastAsia="en-US"/>
        </w:rPr>
        <w:t>, it promises</w:t>
      </w:r>
      <w:r w:rsidR="00992249" w:rsidRPr="00992249">
        <w:rPr>
          <w:rFonts w:eastAsiaTheme="minorHAnsi" w:cs="Arial"/>
          <w:szCs w:val="24"/>
          <w:lang w:eastAsia="en-US"/>
        </w:rPr>
        <w:t xml:space="preserve"> </w:t>
      </w:r>
      <w:r w:rsidR="00992249">
        <w:rPr>
          <w:rFonts w:eastAsiaTheme="minorHAnsi" w:cs="Arial"/>
          <w:szCs w:val="24"/>
          <w:lang w:eastAsia="en-US"/>
        </w:rPr>
        <w:t xml:space="preserve">to take </w:t>
      </w:r>
      <w:r w:rsidR="00992249" w:rsidRPr="00992249">
        <w:rPr>
          <w:rFonts w:eastAsiaTheme="minorHAnsi" w:cs="Arial"/>
          <w:szCs w:val="24"/>
          <w:lang w:eastAsia="en-US"/>
        </w:rPr>
        <w:t xml:space="preserve">the interests of </w:t>
      </w:r>
      <w:r w:rsidR="00992249">
        <w:rPr>
          <w:rFonts w:eastAsiaTheme="minorHAnsi" w:cs="Arial"/>
          <w:szCs w:val="24"/>
          <w:lang w:eastAsia="en-US"/>
        </w:rPr>
        <w:t>persons</w:t>
      </w:r>
      <w:r w:rsidR="00992249" w:rsidRPr="00992249">
        <w:rPr>
          <w:rFonts w:eastAsiaTheme="minorHAnsi" w:cs="Arial"/>
          <w:szCs w:val="24"/>
          <w:lang w:eastAsia="en-US"/>
        </w:rPr>
        <w:t xml:space="preserve"> with a disability into account as equally as possible with the other de</w:t>
      </w:r>
      <w:r w:rsidR="00992249">
        <w:rPr>
          <w:rFonts w:eastAsiaTheme="minorHAnsi" w:cs="Arial"/>
          <w:szCs w:val="24"/>
          <w:lang w:eastAsia="en-US"/>
        </w:rPr>
        <w:t>velopment</w:t>
      </w:r>
      <w:r w:rsidR="00992249" w:rsidRPr="00992249">
        <w:rPr>
          <w:rFonts w:eastAsiaTheme="minorHAnsi" w:cs="Arial"/>
          <w:szCs w:val="24"/>
          <w:lang w:eastAsia="en-US"/>
        </w:rPr>
        <w:t xml:space="preserve"> aspects in a design.</w:t>
      </w:r>
    </w:p>
    <w:p w14:paraId="52AA81AD" w14:textId="5B7659E6" w:rsidR="00F82B2F" w:rsidRPr="00F82B2F" w:rsidRDefault="00667167" w:rsidP="00F9312C">
      <w:pPr>
        <w:spacing w:line="360" w:lineRule="auto"/>
        <w:rPr>
          <w:rFonts w:eastAsiaTheme="minorHAnsi" w:cs="Arial"/>
          <w:szCs w:val="24"/>
          <w:lang w:eastAsia="en-US"/>
        </w:rPr>
      </w:pPr>
      <w:r>
        <w:rPr>
          <w:rFonts w:eastAsiaTheme="minorHAnsi" w:cs="Arial"/>
          <w:szCs w:val="24"/>
          <w:lang w:eastAsia="en-US"/>
        </w:rPr>
        <w:t>The p</w:t>
      </w:r>
      <w:r w:rsidR="00690CF7" w:rsidRPr="00486A98">
        <w:rPr>
          <w:rFonts w:eastAsiaTheme="minorHAnsi" w:cs="Arial"/>
          <w:szCs w:val="24"/>
          <w:lang w:eastAsia="en-US"/>
        </w:rPr>
        <w:t>olicy programme</w:t>
      </w:r>
      <w:r>
        <w:rPr>
          <w:rFonts w:eastAsiaTheme="minorHAnsi" w:cs="Arial"/>
          <w:szCs w:val="24"/>
          <w:lang w:eastAsia="en-US"/>
        </w:rPr>
        <w:t xml:space="preserve"> ‘</w:t>
      </w:r>
      <w:r w:rsidRPr="00667167">
        <w:t xml:space="preserve">Utrecht </w:t>
      </w:r>
      <w:proofErr w:type="spellStart"/>
      <w:r w:rsidRPr="00667167">
        <w:t>voor</w:t>
      </w:r>
      <w:proofErr w:type="spellEnd"/>
      <w:r w:rsidRPr="00667167">
        <w:t xml:space="preserve"> </w:t>
      </w:r>
      <w:proofErr w:type="spellStart"/>
      <w:r w:rsidR="001F207E">
        <w:t>iedereen</w:t>
      </w:r>
      <w:proofErr w:type="spellEnd"/>
      <w:r w:rsidR="00690CF7" w:rsidRPr="00486A98">
        <w:rPr>
          <w:rFonts w:eastAsiaTheme="minorHAnsi" w:cs="Arial"/>
          <w:szCs w:val="24"/>
          <w:lang w:eastAsia="en-US"/>
        </w:rPr>
        <w:t xml:space="preserve"> </w:t>
      </w:r>
      <w:proofErr w:type="spellStart"/>
      <w:r w:rsidR="001F207E" w:rsidRPr="00667167">
        <w:t>toegankelijk</w:t>
      </w:r>
      <w:proofErr w:type="spellEnd"/>
      <w:r w:rsidR="001F207E">
        <w:t>’</w:t>
      </w:r>
      <w:r w:rsidR="00690CF7" w:rsidRPr="00667167">
        <w:t xml:space="preserve"> </w:t>
      </w:r>
      <w:r>
        <w:rPr>
          <w:rFonts w:eastAsiaTheme="minorHAnsi" w:cs="Arial"/>
          <w:szCs w:val="24"/>
          <w:lang w:eastAsia="en-US"/>
        </w:rPr>
        <w:t>(</w:t>
      </w:r>
      <w:r w:rsidR="00690CF7" w:rsidRPr="00486A98">
        <w:rPr>
          <w:rFonts w:eastAsiaTheme="minorHAnsi" w:cs="Arial"/>
          <w:szCs w:val="24"/>
          <w:lang w:eastAsia="en-US"/>
        </w:rPr>
        <w:t>‘</w:t>
      </w:r>
      <w:r w:rsidR="00690CF7" w:rsidRPr="00667167">
        <w:rPr>
          <w:rFonts w:eastAsiaTheme="minorHAnsi" w:cs="Arial"/>
          <w:i/>
          <w:iCs/>
          <w:szCs w:val="24"/>
          <w:lang w:eastAsia="en-US"/>
        </w:rPr>
        <w:t>Utrecht Accessible for everyone</w:t>
      </w:r>
      <w:r w:rsidR="00690CF7" w:rsidRPr="00486A98">
        <w:rPr>
          <w:rFonts w:eastAsiaTheme="minorHAnsi" w:cs="Arial"/>
          <w:szCs w:val="24"/>
          <w:lang w:eastAsia="en-US"/>
        </w:rPr>
        <w:t>’</w:t>
      </w:r>
      <w:r>
        <w:rPr>
          <w:rFonts w:eastAsiaTheme="minorHAnsi" w:cs="Arial"/>
          <w:szCs w:val="24"/>
          <w:lang w:eastAsia="en-US"/>
        </w:rPr>
        <w:t>)</w:t>
      </w:r>
      <w:r w:rsidR="00690CF7" w:rsidRPr="00486A98">
        <w:rPr>
          <w:rFonts w:eastAsiaTheme="minorHAnsi" w:cs="Arial"/>
          <w:szCs w:val="24"/>
          <w:lang w:eastAsia="en-US"/>
        </w:rPr>
        <w:t xml:space="preserve">, adopted by the city council </w:t>
      </w:r>
      <w:r w:rsidR="00D41C15">
        <w:rPr>
          <w:rFonts w:eastAsiaTheme="minorHAnsi" w:cs="Arial"/>
          <w:szCs w:val="24"/>
          <w:lang w:eastAsia="en-US"/>
        </w:rPr>
        <w:t>i</w:t>
      </w:r>
      <w:r w:rsidR="00690CF7" w:rsidRPr="00486A98">
        <w:rPr>
          <w:rFonts w:eastAsiaTheme="minorHAnsi" w:cs="Arial"/>
          <w:szCs w:val="24"/>
          <w:lang w:eastAsia="en-US"/>
        </w:rPr>
        <w:t xml:space="preserve">n </w:t>
      </w:r>
      <w:r w:rsidR="00486A98">
        <w:rPr>
          <w:rFonts w:eastAsiaTheme="minorHAnsi" w:cs="Arial"/>
          <w:szCs w:val="24"/>
          <w:lang w:eastAsia="en-US"/>
        </w:rPr>
        <w:t>2019 is a local agenda with</w:t>
      </w:r>
      <w:r w:rsidR="00690CF7" w:rsidRPr="00486A98">
        <w:rPr>
          <w:rFonts w:eastAsiaTheme="minorHAnsi" w:cs="Arial"/>
          <w:szCs w:val="24"/>
          <w:lang w:eastAsia="en-US"/>
        </w:rPr>
        <w:t xml:space="preserve"> </w:t>
      </w:r>
      <w:r w:rsidR="00992249">
        <w:rPr>
          <w:rFonts w:eastAsiaTheme="minorHAnsi" w:cs="Arial"/>
          <w:szCs w:val="24"/>
          <w:lang w:eastAsia="en-US"/>
        </w:rPr>
        <w:t>the</w:t>
      </w:r>
      <w:r w:rsidR="00690CF7" w:rsidRPr="00486A98">
        <w:rPr>
          <w:rFonts w:eastAsiaTheme="minorHAnsi" w:cs="Arial"/>
          <w:szCs w:val="24"/>
          <w:lang w:eastAsia="en-US"/>
        </w:rPr>
        <w:t xml:space="preserve"> implementation programme</w:t>
      </w:r>
      <w:r w:rsidR="00992249">
        <w:rPr>
          <w:rFonts w:eastAsiaTheme="minorHAnsi" w:cs="Arial"/>
          <w:szCs w:val="24"/>
          <w:lang w:eastAsia="en-US"/>
        </w:rPr>
        <w:t>, is an elaboration of the Framework Memorandum from 2016</w:t>
      </w:r>
      <w:r w:rsidR="00B91D12">
        <w:rPr>
          <w:rFonts w:eastAsiaTheme="minorHAnsi" w:cs="Arial"/>
          <w:szCs w:val="24"/>
          <w:lang w:eastAsia="en-US"/>
        </w:rPr>
        <w:t>.</w:t>
      </w:r>
      <w:r w:rsidR="00486A98">
        <w:rPr>
          <w:rStyle w:val="FootnoteReference"/>
          <w:rFonts w:eastAsiaTheme="minorHAnsi" w:cs="Arial"/>
          <w:szCs w:val="24"/>
          <w:lang w:eastAsia="en-US"/>
        </w:rPr>
        <w:footnoteReference w:id="184"/>
      </w:r>
      <w:r w:rsidR="00B91D12">
        <w:rPr>
          <w:rFonts w:eastAsiaTheme="minorHAnsi" w:cs="Arial"/>
          <w:szCs w:val="24"/>
          <w:lang w:eastAsia="en-US"/>
        </w:rPr>
        <w:t xml:space="preserve"> </w:t>
      </w:r>
      <w:r w:rsidR="00F82B2F">
        <w:rPr>
          <w:rFonts w:eastAsiaTheme="minorHAnsi" w:cs="Arial"/>
          <w:szCs w:val="24"/>
          <w:lang w:eastAsia="en-US"/>
        </w:rPr>
        <w:t>According to the implementation programme, ‘p</w:t>
      </w:r>
      <w:r w:rsidR="00F82B2F" w:rsidRPr="00F82B2F">
        <w:rPr>
          <w:rFonts w:eastAsiaTheme="minorHAnsi" w:cs="Arial"/>
          <w:szCs w:val="24"/>
          <w:lang w:eastAsia="en-US"/>
        </w:rPr>
        <w:t>ublic space is space that must be easily and freely accessible to everyone, including pe</w:t>
      </w:r>
      <w:r w:rsidR="00F82B2F">
        <w:rPr>
          <w:rFonts w:eastAsiaTheme="minorHAnsi" w:cs="Arial"/>
          <w:szCs w:val="24"/>
          <w:lang w:eastAsia="en-US"/>
        </w:rPr>
        <w:t>rsons</w:t>
      </w:r>
      <w:r w:rsidR="00F82B2F" w:rsidRPr="00F82B2F">
        <w:rPr>
          <w:rFonts w:eastAsiaTheme="minorHAnsi" w:cs="Arial"/>
          <w:szCs w:val="24"/>
          <w:lang w:eastAsia="en-US"/>
        </w:rPr>
        <w:t xml:space="preserve"> with disabilities.</w:t>
      </w:r>
      <w:r w:rsidR="00F82B2F">
        <w:rPr>
          <w:rFonts w:eastAsiaTheme="minorHAnsi" w:cs="Arial"/>
          <w:szCs w:val="24"/>
          <w:lang w:eastAsia="en-US"/>
        </w:rPr>
        <w:t xml:space="preserve"> </w:t>
      </w:r>
      <w:r w:rsidR="00F82B2F" w:rsidRPr="00F82B2F">
        <w:rPr>
          <w:rFonts w:eastAsiaTheme="minorHAnsi" w:cs="Arial"/>
          <w:szCs w:val="24"/>
          <w:lang w:eastAsia="en-US"/>
        </w:rPr>
        <w:t>The municipality manages the public space and its task is to ensure that everyone can use it.</w:t>
      </w:r>
    </w:p>
    <w:p w14:paraId="5C85EFE1" w14:textId="2AB89297" w:rsidR="00690CF7" w:rsidRDefault="00F82B2F" w:rsidP="00F9312C">
      <w:pPr>
        <w:spacing w:line="360" w:lineRule="auto"/>
        <w:rPr>
          <w:rFonts w:eastAsiaTheme="minorHAnsi" w:cs="Arial"/>
          <w:szCs w:val="24"/>
          <w:lang w:eastAsia="en-US"/>
        </w:rPr>
      </w:pPr>
      <w:r w:rsidRPr="00F82B2F">
        <w:rPr>
          <w:rFonts w:eastAsiaTheme="minorHAnsi" w:cs="Arial"/>
          <w:szCs w:val="24"/>
          <w:lang w:eastAsia="en-US"/>
        </w:rPr>
        <w:t xml:space="preserve">Making the city accessible appears to be a major challenge; improving all roads and </w:t>
      </w:r>
      <w:r>
        <w:rPr>
          <w:rFonts w:eastAsiaTheme="minorHAnsi" w:cs="Arial"/>
          <w:szCs w:val="24"/>
          <w:lang w:eastAsia="en-US"/>
        </w:rPr>
        <w:t>pavements</w:t>
      </w:r>
      <w:r w:rsidRPr="00F82B2F">
        <w:rPr>
          <w:rFonts w:eastAsiaTheme="minorHAnsi" w:cs="Arial"/>
          <w:szCs w:val="24"/>
          <w:lang w:eastAsia="en-US"/>
        </w:rPr>
        <w:t xml:space="preserve"> in the city is a long-term process.</w:t>
      </w:r>
      <w:r>
        <w:rPr>
          <w:rFonts w:eastAsiaTheme="minorHAnsi" w:cs="Arial"/>
          <w:szCs w:val="24"/>
          <w:lang w:eastAsia="en-US"/>
        </w:rPr>
        <w:t>’</w:t>
      </w:r>
      <w:r>
        <w:rPr>
          <w:rStyle w:val="FootnoteReference"/>
          <w:rFonts w:eastAsiaTheme="minorHAnsi" w:cs="Arial"/>
          <w:szCs w:val="24"/>
          <w:lang w:eastAsia="en-US"/>
        </w:rPr>
        <w:footnoteReference w:id="185"/>
      </w:r>
      <w:r>
        <w:rPr>
          <w:rFonts w:eastAsiaTheme="minorHAnsi" w:cs="Arial"/>
          <w:szCs w:val="24"/>
          <w:highlight w:val="yellow"/>
          <w:lang w:eastAsia="en-US"/>
        </w:rPr>
        <w:t xml:space="preserve"> </w:t>
      </w:r>
    </w:p>
    <w:p w14:paraId="6EFB2479" w14:textId="0A3CAB46" w:rsidR="00D63294" w:rsidRPr="00B21044" w:rsidRDefault="00D63294" w:rsidP="00F9312C">
      <w:pPr>
        <w:spacing w:line="360" w:lineRule="auto"/>
        <w:rPr>
          <w:rFonts w:eastAsiaTheme="minorHAnsi" w:cs="Arial"/>
          <w:sz w:val="20"/>
          <w:szCs w:val="20"/>
          <w:lang w:eastAsia="en-US"/>
        </w:rPr>
      </w:pPr>
      <w:r>
        <w:rPr>
          <w:rFonts w:eastAsiaTheme="minorHAnsi" w:cs="Arial"/>
          <w:szCs w:val="24"/>
          <w:lang w:eastAsia="en-US"/>
        </w:rPr>
        <w:t>In addition to the package</w:t>
      </w:r>
      <w:r w:rsidR="001F207E">
        <w:rPr>
          <w:rFonts w:eastAsiaTheme="minorHAnsi" w:cs="Arial"/>
          <w:szCs w:val="24"/>
          <w:lang w:eastAsia="en-US"/>
        </w:rPr>
        <w:t xml:space="preserve"> and in line with the pledge in the </w:t>
      </w:r>
      <w:r w:rsidR="00D41C15">
        <w:rPr>
          <w:rFonts w:eastAsiaTheme="minorHAnsi" w:cs="Arial"/>
          <w:szCs w:val="24"/>
          <w:lang w:eastAsia="en-US"/>
        </w:rPr>
        <w:t xml:space="preserve">city </w:t>
      </w:r>
      <w:r w:rsidR="001F207E">
        <w:rPr>
          <w:rFonts w:eastAsiaTheme="minorHAnsi" w:cs="Arial"/>
          <w:szCs w:val="24"/>
          <w:lang w:eastAsia="en-US"/>
        </w:rPr>
        <w:t>coalition agreement</w:t>
      </w:r>
      <w:r>
        <w:rPr>
          <w:rFonts w:eastAsiaTheme="minorHAnsi" w:cs="Arial"/>
          <w:szCs w:val="24"/>
          <w:lang w:eastAsia="en-US"/>
        </w:rPr>
        <w:t xml:space="preserve">, a subsidy programme was developed. Subsidies with a maximum of 20,000 € can be applied for. </w:t>
      </w:r>
      <w:r w:rsidR="001F207E">
        <w:rPr>
          <w:rFonts w:eastAsiaTheme="minorHAnsi" w:cs="Arial"/>
          <w:szCs w:val="24"/>
          <w:lang w:eastAsia="en-US"/>
        </w:rPr>
        <w:t>In 2020, the subsidy may cover the total costs for the measure; from 2021, the subsidy covers a maximum of 50% of the costs of the measure.</w:t>
      </w:r>
      <w:r w:rsidR="001F207E">
        <w:rPr>
          <w:rStyle w:val="FootnoteReference"/>
          <w:rFonts w:eastAsiaTheme="minorHAnsi" w:cs="Arial"/>
          <w:szCs w:val="24"/>
          <w:lang w:eastAsia="en-US"/>
        </w:rPr>
        <w:footnoteReference w:id="186"/>
      </w:r>
      <w:r>
        <w:rPr>
          <w:rFonts w:eastAsiaTheme="minorHAnsi" w:cs="Arial"/>
          <w:szCs w:val="24"/>
          <w:lang w:eastAsia="en-US"/>
        </w:rPr>
        <w:t xml:space="preserve"> M</w:t>
      </w:r>
      <w:r w:rsidRPr="00D63294">
        <w:rPr>
          <w:rFonts w:eastAsiaTheme="minorHAnsi" w:cs="Arial"/>
          <w:szCs w:val="24"/>
          <w:lang w:eastAsia="en-US"/>
        </w:rPr>
        <w:t xml:space="preserve">easures, facilities or activities that contribute to more opportunities for </w:t>
      </w:r>
      <w:r w:rsidR="004353FF">
        <w:rPr>
          <w:rFonts w:eastAsiaTheme="minorHAnsi" w:cs="Arial"/>
          <w:szCs w:val="24"/>
          <w:lang w:eastAsia="en-US"/>
        </w:rPr>
        <w:t>citizens</w:t>
      </w:r>
      <w:r w:rsidRPr="00D63294">
        <w:rPr>
          <w:rFonts w:eastAsiaTheme="minorHAnsi" w:cs="Arial"/>
          <w:szCs w:val="24"/>
          <w:lang w:eastAsia="en-US"/>
        </w:rPr>
        <w:t xml:space="preserve"> with disabilities to participate in society are eligible for </w:t>
      </w:r>
      <w:r>
        <w:rPr>
          <w:rFonts w:eastAsiaTheme="minorHAnsi" w:cs="Arial"/>
          <w:szCs w:val="24"/>
          <w:lang w:eastAsia="en-US"/>
        </w:rPr>
        <w:t xml:space="preserve">the </w:t>
      </w:r>
      <w:r w:rsidRPr="00D63294">
        <w:rPr>
          <w:rFonts w:eastAsiaTheme="minorHAnsi" w:cs="Arial"/>
          <w:szCs w:val="24"/>
          <w:lang w:eastAsia="en-US"/>
        </w:rPr>
        <w:t>subsidy.</w:t>
      </w:r>
      <w:r w:rsidR="00B21044">
        <w:rPr>
          <w:rFonts w:eastAsiaTheme="minorHAnsi" w:cs="Arial"/>
          <w:szCs w:val="24"/>
          <w:lang w:eastAsia="en-US"/>
        </w:rPr>
        <w:t xml:space="preserve"> </w:t>
      </w:r>
    </w:p>
    <w:p w14:paraId="4838B930" w14:textId="74439B8A" w:rsidR="00B21044" w:rsidRPr="00E9059A" w:rsidRDefault="00B21044" w:rsidP="00F9312C">
      <w:pPr>
        <w:spacing w:line="360" w:lineRule="auto"/>
        <w:rPr>
          <w:rFonts w:eastAsiaTheme="minorHAnsi" w:cs="Arial"/>
          <w:sz w:val="20"/>
          <w:szCs w:val="20"/>
          <w:lang w:eastAsia="en-US"/>
        </w:rPr>
      </w:pPr>
    </w:p>
    <w:p w14:paraId="1F7DC775" w14:textId="0D08AF11" w:rsidR="00192E65" w:rsidRPr="002E620B" w:rsidRDefault="00192E65" w:rsidP="00F9312C">
      <w:pPr>
        <w:spacing w:line="360" w:lineRule="auto"/>
        <w:rPr>
          <w:b/>
          <w:bCs/>
        </w:rPr>
      </w:pPr>
      <w:r w:rsidRPr="002E620B">
        <w:rPr>
          <w:b/>
          <w:bCs/>
        </w:rPr>
        <w:t>Civil Society Engagement</w:t>
      </w:r>
    </w:p>
    <w:p w14:paraId="4B79719F" w14:textId="3AFA72F9" w:rsidR="00486A98" w:rsidRDefault="00FF49AB" w:rsidP="00F9312C">
      <w:pPr>
        <w:pStyle w:val="ListParagraph"/>
        <w:spacing w:line="360" w:lineRule="auto"/>
        <w:ind w:left="0"/>
      </w:pPr>
      <w:r>
        <w:t xml:space="preserve">According to the </w:t>
      </w:r>
      <w:r w:rsidR="009943F1">
        <w:t xml:space="preserve">policy programme </w:t>
      </w:r>
      <w:r w:rsidR="009943F1" w:rsidRPr="00667167">
        <w:rPr>
          <w:rFonts w:eastAsiaTheme="minorHAnsi" w:cs="Arial"/>
          <w:i/>
          <w:iCs/>
          <w:szCs w:val="24"/>
          <w:lang w:eastAsia="en-US"/>
        </w:rPr>
        <w:t>Utrecht Accessible for everyone</w:t>
      </w:r>
      <w:r w:rsidR="009943F1">
        <w:rPr>
          <w:rFonts w:eastAsiaTheme="minorHAnsi" w:cs="Arial"/>
          <w:szCs w:val="24"/>
          <w:lang w:eastAsia="en-US"/>
        </w:rPr>
        <w:t xml:space="preserve">, the involvement of persons with disabilities and their organizations, is </w:t>
      </w:r>
      <w:r w:rsidR="000E19E7">
        <w:rPr>
          <w:rFonts w:eastAsiaTheme="minorHAnsi" w:cs="Arial"/>
          <w:szCs w:val="24"/>
          <w:lang w:eastAsia="en-US"/>
        </w:rPr>
        <w:t>important</w:t>
      </w:r>
      <w:r w:rsidR="009943F1">
        <w:rPr>
          <w:rFonts w:eastAsiaTheme="minorHAnsi" w:cs="Arial"/>
          <w:szCs w:val="24"/>
          <w:lang w:eastAsia="en-US"/>
        </w:rPr>
        <w:t>.</w:t>
      </w:r>
      <w:r w:rsidR="00BD422D">
        <w:rPr>
          <w:rFonts w:eastAsiaTheme="minorHAnsi" w:cs="Arial"/>
          <w:szCs w:val="24"/>
          <w:lang w:eastAsia="en-US"/>
        </w:rPr>
        <w:t xml:space="preserve"> In the policy process, the local interest group of persons with disabilities, </w:t>
      </w:r>
      <w:proofErr w:type="spellStart"/>
      <w:r w:rsidR="00BD422D">
        <w:rPr>
          <w:rFonts w:eastAsiaTheme="minorHAnsi" w:cs="Arial"/>
          <w:szCs w:val="24"/>
          <w:lang w:eastAsia="en-US"/>
        </w:rPr>
        <w:t>Solgu</w:t>
      </w:r>
      <w:proofErr w:type="spellEnd"/>
      <w:r w:rsidR="00BD422D">
        <w:rPr>
          <w:rFonts w:eastAsiaTheme="minorHAnsi" w:cs="Arial"/>
          <w:szCs w:val="24"/>
          <w:lang w:eastAsia="en-US"/>
        </w:rPr>
        <w:t>,</w:t>
      </w:r>
      <w:r w:rsidR="00BD422D">
        <w:rPr>
          <w:rStyle w:val="FootnoteReference"/>
          <w:rFonts w:eastAsiaTheme="minorHAnsi" w:cs="Arial"/>
          <w:szCs w:val="24"/>
          <w:lang w:eastAsia="en-US"/>
        </w:rPr>
        <w:footnoteReference w:id="187"/>
      </w:r>
      <w:r w:rsidR="00BD422D">
        <w:rPr>
          <w:rFonts w:eastAsiaTheme="minorHAnsi" w:cs="Arial"/>
          <w:szCs w:val="24"/>
          <w:lang w:eastAsia="en-US"/>
        </w:rPr>
        <w:t xml:space="preserve"> is an important collaborating partner. </w:t>
      </w:r>
      <w:r w:rsidR="00BD422D">
        <w:t>As one of the representative</w:t>
      </w:r>
      <w:r w:rsidR="00781CD1">
        <w:t xml:space="preserve"> organisations</w:t>
      </w:r>
      <w:r w:rsidR="00BD422D">
        <w:t xml:space="preserve"> of persons with disabilities in Utrecht, </w:t>
      </w:r>
      <w:proofErr w:type="spellStart"/>
      <w:r w:rsidR="00781CD1">
        <w:t>Solgu</w:t>
      </w:r>
      <w:proofErr w:type="spellEnd"/>
      <w:r w:rsidR="00781CD1">
        <w:t xml:space="preserve"> </w:t>
      </w:r>
      <w:r w:rsidR="00BD422D">
        <w:t xml:space="preserve">is consulted on many policy areas. </w:t>
      </w:r>
    </w:p>
    <w:p w14:paraId="34F5FA45" w14:textId="77777777" w:rsidR="00486A98" w:rsidRDefault="00486A98" w:rsidP="00F9312C">
      <w:pPr>
        <w:pStyle w:val="ListParagraph"/>
        <w:spacing w:line="360" w:lineRule="auto"/>
        <w:ind w:left="1069"/>
      </w:pPr>
    </w:p>
    <w:p w14:paraId="3759A2B4" w14:textId="47CA3D07" w:rsidR="00237704" w:rsidRPr="002E620B" w:rsidRDefault="00237704" w:rsidP="00F9312C">
      <w:pPr>
        <w:spacing w:line="360" w:lineRule="auto"/>
        <w:rPr>
          <w:b/>
          <w:bCs/>
        </w:rPr>
      </w:pPr>
      <w:r w:rsidRPr="002E620B">
        <w:rPr>
          <w:b/>
          <w:bCs/>
        </w:rPr>
        <w:t>Noteworthy Issues or Concerns</w:t>
      </w:r>
    </w:p>
    <w:p w14:paraId="04C3AD02" w14:textId="13B54024" w:rsidR="005F0C1F" w:rsidRDefault="002632ED" w:rsidP="00F9312C">
      <w:pPr>
        <w:spacing w:line="360" w:lineRule="auto"/>
      </w:pPr>
      <w:r w:rsidRPr="002632ED">
        <w:rPr>
          <w:bCs/>
        </w:rPr>
        <w:t xml:space="preserve">The city of Utrecht </w:t>
      </w:r>
      <w:r>
        <w:rPr>
          <w:bCs/>
        </w:rPr>
        <w:t>has shown to be aware of issues relating to persons with disabilities. In most areas of municipal policies, the city executive addresses disability. Even before the ratification of CRPD, Utrecht had applied the principles of Agenda 22. There is a collaboration with the local disabled people’s organisation, SOLGU.</w:t>
      </w:r>
      <w:r w:rsidR="00FE572D">
        <w:rPr>
          <w:bCs/>
        </w:rPr>
        <w:t xml:space="preserve"> The city has introduced a helpline, where people can report situations of inaccessibility. However, as the city website </w:t>
      </w:r>
      <w:r w:rsidR="00787AC3">
        <w:rPr>
          <w:bCs/>
        </w:rPr>
        <w:t xml:space="preserve">itself declares, accessibility is still not achieved all over the town and requires continuous attention.  </w:t>
      </w:r>
    </w:p>
    <w:p w14:paraId="141C683F" w14:textId="77777777" w:rsidR="0042147F" w:rsidRDefault="0042147F" w:rsidP="00F9312C">
      <w:pPr>
        <w:spacing w:line="360" w:lineRule="auto"/>
      </w:pPr>
    </w:p>
    <w:p w14:paraId="5377B227" w14:textId="63C65EB1" w:rsidR="00AC6691" w:rsidRPr="00F9312C" w:rsidRDefault="005F0C1F" w:rsidP="00F9312C">
      <w:pPr>
        <w:pStyle w:val="Heading3"/>
        <w:spacing w:line="360" w:lineRule="auto"/>
        <w:rPr>
          <w:b/>
          <w:bCs w:val="0"/>
        </w:rPr>
      </w:pPr>
      <w:r w:rsidRPr="00F9312C">
        <w:rPr>
          <w:b/>
          <w:bCs w:val="0"/>
        </w:rPr>
        <w:t>A</w:t>
      </w:r>
      <w:r w:rsidR="00CF4722" w:rsidRPr="00F9312C">
        <w:rPr>
          <w:b/>
          <w:bCs w:val="0"/>
        </w:rPr>
        <w:t>6</w:t>
      </w:r>
      <w:r w:rsidRPr="00F9312C">
        <w:rPr>
          <w:b/>
          <w:bCs w:val="0"/>
        </w:rPr>
        <w:t>.2</w:t>
      </w:r>
      <w:r w:rsidR="00192E65" w:rsidRPr="00F9312C">
        <w:rPr>
          <w:b/>
          <w:bCs w:val="0"/>
        </w:rPr>
        <w:t xml:space="preserve"> </w:t>
      </w:r>
      <w:r w:rsidR="00AC6691" w:rsidRPr="00F9312C">
        <w:rPr>
          <w:b/>
          <w:bCs w:val="0"/>
        </w:rPr>
        <w:t>Almere</w:t>
      </w:r>
    </w:p>
    <w:p w14:paraId="5E3ED2BC" w14:textId="428E1000" w:rsidR="00174DDC" w:rsidRDefault="002B4AD7" w:rsidP="00F9312C">
      <w:pPr>
        <w:spacing w:line="360" w:lineRule="auto"/>
      </w:pPr>
      <w:r>
        <w:t xml:space="preserve">The city of Almere </w:t>
      </w:r>
      <w:r w:rsidR="008D4261">
        <w:t xml:space="preserve">has been </w:t>
      </w:r>
      <w:r w:rsidR="005B09E5">
        <w:t>built</w:t>
      </w:r>
      <w:r w:rsidR="008D4261">
        <w:t xml:space="preserve"> on reclaimed land from the </w:t>
      </w:r>
      <w:proofErr w:type="spellStart"/>
      <w:r w:rsidR="008D4261">
        <w:t>IJsselmeer</w:t>
      </w:r>
      <w:proofErr w:type="spellEnd"/>
      <w:r w:rsidR="008D4261">
        <w:t xml:space="preserve">. Building of the city started in 1976, when the first houses were </w:t>
      </w:r>
      <w:r w:rsidR="005B09E5">
        <w:t>constructed</w:t>
      </w:r>
      <w:r w:rsidR="008D4261">
        <w:t>. The objective is to expand the city towards 350.000 inhabitants in 2030, when it will be the fifth largest city in the Netherlands. Several new urban districts are being developed.</w:t>
      </w:r>
      <w:r>
        <w:t xml:space="preserve"> </w:t>
      </w:r>
      <w:r w:rsidR="00174DDC" w:rsidRPr="00174DDC">
        <w:t>In its</w:t>
      </w:r>
      <w:r w:rsidR="008D4261">
        <w:t xml:space="preserve"> social</w:t>
      </w:r>
      <w:r w:rsidR="00174DDC" w:rsidRPr="00174DDC">
        <w:t xml:space="preserve"> policy, the municipality of Almere strives </w:t>
      </w:r>
      <w:r>
        <w:t>towards</w:t>
      </w:r>
      <w:r w:rsidR="00174DDC" w:rsidRPr="00174DDC">
        <w:t xml:space="preserve"> active citizenship, strengthening self-empowerment in society, and seeking connections between residents and organizations in the neighbo</w:t>
      </w:r>
      <w:r w:rsidR="00174DDC">
        <w:t>u</w:t>
      </w:r>
      <w:r w:rsidR="00174DDC" w:rsidRPr="00174DDC">
        <w:t>rhoods.</w:t>
      </w:r>
      <w:r w:rsidR="008D4261">
        <w:t xml:space="preserve"> </w:t>
      </w:r>
    </w:p>
    <w:p w14:paraId="434DCF86" w14:textId="5A1123EA" w:rsidR="008D4261" w:rsidRDefault="008D4261" w:rsidP="00F9312C">
      <w:pPr>
        <w:spacing w:line="360" w:lineRule="auto"/>
      </w:pPr>
    </w:p>
    <w:p w14:paraId="258DE187" w14:textId="587B2C7A" w:rsidR="00192E65" w:rsidRPr="002E620B" w:rsidRDefault="00192E65" w:rsidP="00F9312C">
      <w:pPr>
        <w:spacing w:line="360" w:lineRule="auto"/>
        <w:rPr>
          <w:b/>
          <w:bCs/>
        </w:rPr>
      </w:pPr>
      <w:r w:rsidRPr="002E620B">
        <w:rPr>
          <w:b/>
          <w:bCs/>
        </w:rPr>
        <w:t>Equality and Inclusion</w:t>
      </w:r>
    </w:p>
    <w:p w14:paraId="31ABCC46" w14:textId="78083624" w:rsidR="00BF299B" w:rsidRDefault="00BE2F50" w:rsidP="00F9312C">
      <w:pPr>
        <w:spacing w:line="360" w:lineRule="auto"/>
      </w:pPr>
      <w:r>
        <w:t>In the municipal social policy agenda of 2014, the situation of persons with disabilities is explicitly mentioned.</w:t>
      </w:r>
      <w:r>
        <w:rPr>
          <w:rStyle w:val="FootnoteReference"/>
        </w:rPr>
        <w:footnoteReference w:id="188"/>
      </w:r>
      <w:r>
        <w:t xml:space="preserve"> Under the flag of ‘The Inclusive City’, the increase of participation is one of the objectives. The</w:t>
      </w:r>
      <w:r w:rsidR="00054219">
        <w:t xml:space="preserve"> </w:t>
      </w:r>
      <w:r>
        <w:t>role of the municipality is driven by the decentralisation of social support legislation in 2015.</w:t>
      </w:r>
      <w:r w:rsidR="00DE628D">
        <w:rPr>
          <w:rStyle w:val="FootnoteReference"/>
        </w:rPr>
        <w:footnoteReference w:id="189"/>
      </w:r>
      <w:r>
        <w:t xml:space="preserve"> </w:t>
      </w:r>
      <w:r w:rsidR="00DE628D">
        <w:t xml:space="preserve">One of the </w:t>
      </w:r>
      <w:r w:rsidR="00787AC3">
        <w:t xml:space="preserve">city’s </w:t>
      </w:r>
      <w:r w:rsidR="00DE628D">
        <w:t>policy objectives is the enhanced accessibility of public space.</w:t>
      </w:r>
      <w:r w:rsidR="00990138">
        <w:t xml:space="preserve"> Almere’s mobility policy includes measures for safe and pleasant use of public space for pedestrians, including persons with disabilities.</w:t>
      </w:r>
      <w:r w:rsidR="00990138">
        <w:rPr>
          <w:rStyle w:val="FootnoteReference"/>
        </w:rPr>
        <w:footnoteReference w:id="190"/>
      </w:r>
      <w:r w:rsidR="00990138">
        <w:t xml:space="preserve"> The aim is to create a division between spaces for fast traffic, cars and buses and slow traffic, cyclists and pedestrians.</w:t>
      </w:r>
      <w:r w:rsidR="0047342F">
        <w:t xml:space="preserve"> However, the policy plan does not contain concrete measures aimed at persons with disabilities.</w:t>
      </w:r>
      <w:r w:rsidR="00BF299B">
        <w:t xml:space="preserve"> The current policy document on management of public space</w:t>
      </w:r>
      <w:r w:rsidR="00BF299B">
        <w:rPr>
          <w:rStyle w:val="FootnoteReference"/>
        </w:rPr>
        <w:footnoteReference w:id="191"/>
      </w:r>
      <w:r w:rsidR="00BF299B">
        <w:t xml:space="preserve"> focuses on </w:t>
      </w:r>
      <w:r w:rsidR="00BF299B" w:rsidRPr="00BF299B">
        <w:t>sustainably maintaining and improving the functionality of the public space</w:t>
      </w:r>
      <w:r w:rsidR="00787AC3">
        <w:t>. It</w:t>
      </w:r>
      <w:r w:rsidR="00BF299B">
        <w:t xml:space="preserve"> </w:t>
      </w:r>
      <w:r w:rsidR="00787AC3">
        <w:t xml:space="preserve">does not contain </w:t>
      </w:r>
      <w:r w:rsidR="00BF299B">
        <w:t>a</w:t>
      </w:r>
      <w:r w:rsidR="00787AC3">
        <w:t>ny</w:t>
      </w:r>
      <w:r w:rsidR="00BF299B">
        <w:t xml:space="preserve"> reference to accessibility for persons with disabilities. </w:t>
      </w:r>
      <w:r w:rsidR="00787AC3">
        <w:t>T</w:t>
      </w:r>
      <w:r w:rsidR="003F6AAC">
        <w:t>he policy document relating to construction activities</w:t>
      </w:r>
      <w:r w:rsidR="00787AC3">
        <w:t xml:space="preserve"> does refer to pedestrian access to public space. O</w:t>
      </w:r>
      <w:r w:rsidR="003F6AAC">
        <w:t>ne of the requirements for builders is to keep pedestrian zones free from objects and obstacles, in order to guarantee safety and accessibility for pedestrians, including wheelchair users.</w:t>
      </w:r>
      <w:r w:rsidR="003F6AAC">
        <w:rPr>
          <w:rStyle w:val="FootnoteReference"/>
        </w:rPr>
        <w:footnoteReference w:id="192"/>
      </w:r>
    </w:p>
    <w:p w14:paraId="48BDEBC9" w14:textId="42969BAD" w:rsidR="00145525" w:rsidRDefault="00054219" w:rsidP="00F9312C">
      <w:pPr>
        <w:spacing w:line="360" w:lineRule="auto"/>
      </w:pPr>
      <w:r>
        <w:t xml:space="preserve">In 2017, a working group of citizens, </w:t>
      </w:r>
      <w:proofErr w:type="spellStart"/>
      <w:proofErr w:type="gramStart"/>
      <w:r w:rsidRPr="00054219">
        <w:rPr>
          <w:rFonts w:cs="Arial"/>
          <w:sz w:val="25"/>
          <w:szCs w:val="25"/>
        </w:rPr>
        <w:t>ViP</w:t>
      </w:r>
      <w:proofErr w:type="spellEnd"/>
      <w:proofErr w:type="gramEnd"/>
      <w:r w:rsidRPr="00054219">
        <w:rPr>
          <w:rFonts w:cs="Arial"/>
          <w:sz w:val="25"/>
          <w:szCs w:val="25"/>
        </w:rPr>
        <w:t xml:space="preserve"> (</w:t>
      </w:r>
      <w:r w:rsidRPr="00054219">
        <w:rPr>
          <w:rFonts w:cs="Arial"/>
          <w:i/>
          <w:iCs/>
          <w:sz w:val="25"/>
          <w:szCs w:val="25"/>
        </w:rPr>
        <w:t>VN-</w:t>
      </w:r>
      <w:proofErr w:type="spellStart"/>
      <w:r w:rsidRPr="00054219">
        <w:rPr>
          <w:rFonts w:cs="Arial"/>
          <w:i/>
          <w:iCs/>
          <w:sz w:val="25"/>
          <w:szCs w:val="25"/>
        </w:rPr>
        <w:t>verdrag</w:t>
      </w:r>
      <w:proofErr w:type="spellEnd"/>
      <w:r w:rsidRPr="00054219">
        <w:rPr>
          <w:rFonts w:cs="Arial"/>
          <w:i/>
          <w:iCs/>
          <w:sz w:val="25"/>
          <w:szCs w:val="25"/>
        </w:rPr>
        <w:t xml:space="preserve"> in de </w:t>
      </w:r>
      <w:proofErr w:type="spellStart"/>
      <w:r w:rsidRPr="00054219">
        <w:rPr>
          <w:rFonts w:cs="Arial"/>
          <w:i/>
          <w:iCs/>
          <w:sz w:val="25"/>
          <w:szCs w:val="25"/>
        </w:rPr>
        <w:t>Praktijk</w:t>
      </w:r>
      <w:proofErr w:type="spellEnd"/>
      <w:r w:rsidRPr="00054219">
        <w:rPr>
          <w:rFonts w:cs="Arial"/>
          <w:sz w:val="25"/>
          <w:szCs w:val="25"/>
        </w:rPr>
        <w:t>,</w:t>
      </w:r>
      <w:r>
        <w:t xml:space="preserve"> ‘UN Convention in Practice’) drafted a local inclusion agenda. The </w:t>
      </w:r>
      <w:r w:rsidR="00BD422D">
        <w:t>advice</w:t>
      </w:r>
      <w:r>
        <w:t xml:space="preserve"> of the group was embraced by the city council and</w:t>
      </w:r>
      <w:r w:rsidR="00BE4EC2">
        <w:t xml:space="preserve"> was fully</w:t>
      </w:r>
      <w:r>
        <w:t xml:space="preserve"> </w:t>
      </w:r>
      <w:r w:rsidR="007D4FAF">
        <w:t xml:space="preserve">included in the </w:t>
      </w:r>
      <w:r w:rsidR="00BF299B">
        <w:t xml:space="preserve">development of the </w:t>
      </w:r>
      <w:r w:rsidR="007D4FAF">
        <w:t>municipal policy framework</w:t>
      </w:r>
      <w:r>
        <w:t>.</w:t>
      </w:r>
      <w:r>
        <w:rPr>
          <w:rStyle w:val="FootnoteReference"/>
        </w:rPr>
        <w:footnoteReference w:id="193"/>
      </w:r>
    </w:p>
    <w:p w14:paraId="3A689078" w14:textId="61C865C8" w:rsidR="00264D2D" w:rsidRDefault="00145525" w:rsidP="00F9312C">
      <w:pPr>
        <w:spacing w:line="360" w:lineRule="auto"/>
      </w:pPr>
      <w:r>
        <w:t>Policy m</w:t>
      </w:r>
      <w:r w:rsidR="007D4FAF">
        <w:t>easures to increase accessibility of public spaces</w:t>
      </w:r>
      <w:r>
        <w:t xml:space="preserve"> are included in the </w:t>
      </w:r>
      <w:proofErr w:type="gramStart"/>
      <w:r>
        <w:t>inclusion  agenda</w:t>
      </w:r>
      <w:proofErr w:type="gramEnd"/>
      <w:r>
        <w:t>. They</w:t>
      </w:r>
      <w:r w:rsidR="007D4FAF">
        <w:t xml:space="preserve"> </w:t>
      </w:r>
      <w:r w:rsidR="00BF299B">
        <w:t>envisage</w:t>
      </w:r>
      <w:r w:rsidR="007D4FAF">
        <w:t xml:space="preserve"> enforcement of the prohibition of parking bicycles in the city centre, improve</w:t>
      </w:r>
      <w:r w:rsidR="002C2A5A">
        <w:t>d</w:t>
      </w:r>
      <w:r w:rsidR="007D4FAF">
        <w:t xml:space="preserve"> safety of street crossings in the city centre</w:t>
      </w:r>
      <w:r w:rsidR="00787AC3">
        <w:t xml:space="preserve">. Other </w:t>
      </w:r>
      <w:r w:rsidR="0075730B">
        <w:t>policy intentions</w:t>
      </w:r>
      <w:r w:rsidR="00787AC3">
        <w:t xml:space="preserve"> are aimed at</w:t>
      </w:r>
      <w:r w:rsidR="007D4FAF">
        <w:t xml:space="preserve"> </w:t>
      </w:r>
      <w:r w:rsidR="00B91D12">
        <w:t>includ</w:t>
      </w:r>
      <w:r w:rsidR="002C2A5A">
        <w:t>ing</w:t>
      </w:r>
      <w:r w:rsidR="00B91D12">
        <w:t xml:space="preserve"> accessibility norms in the local </w:t>
      </w:r>
      <w:r w:rsidR="00BF299B">
        <w:t>i</w:t>
      </w:r>
      <w:r w:rsidR="00B91D12">
        <w:t>nfrastructure</w:t>
      </w:r>
      <w:r w:rsidR="002C2A5A">
        <w:t xml:space="preserve"> </w:t>
      </w:r>
      <w:r w:rsidR="00787AC3">
        <w:t xml:space="preserve">manual </w:t>
      </w:r>
      <w:r w:rsidR="002C2A5A">
        <w:t>and</w:t>
      </w:r>
      <w:r w:rsidR="00B91D12">
        <w:t xml:space="preserve"> increased accessibility for wheelchair users at public events.</w:t>
      </w:r>
      <w:r w:rsidR="00B91D12">
        <w:rPr>
          <w:rStyle w:val="FootnoteReference"/>
        </w:rPr>
        <w:footnoteReference w:id="194"/>
      </w:r>
    </w:p>
    <w:p w14:paraId="2F46087E" w14:textId="62F02058" w:rsidR="00B91D12" w:rsidRDefault="00B91D12" w:rsidP="00F9312C">
      <w:pPr>
        <w:spacing w:line="360" w:lineRule="auto"/>
      </w:pPr>
    </w:p>
    <w:p w14:paraId="3115BE31" w14:textId="51AB13E7" w:rsidR="00145525" w:rsidRPr="00145525" w:rsidRDefault="00145525" w:rsidP="00F9312C">
      <w:pPr>
        <w:spacing w:line="360" w:lineRule="auto"/>
        <w:rPr>
          <w:i/>
          <w:iCs/>
        </w:rPr>
      </w:pPr>
      <w:r>
        <w:rPr>
          <w:i/>
          <w:iCs/>
        </w:rPr>
        <w:t>Municipal</w:t>
      </w:r>
      <w:r w:rsidRPr="00145525">
        <w:rPr>
          <w:i/>
          <w:iCs/>
        </w:rPr>
        <w:t xml:space="preserve"> legislation</w:t>
      </w:r>
    </w:p>
    <w:p w14:paraId="3D0BCAE4" w14:textId="5E754F73" w:rsidR="00145525" w:rsidRDefault="00CD7A1E" w:rsidP="00F9312C">
      <w:pPr>
        <w:spacing w:line="360" w:lineRule="auto"/>
      </w:pPr>
      <w:r>
        <w:t>T</w:t>
      </w:r>
      <w:r w:rsidR="00193288">
        <w:t>he</w:t>
      </w:r>
      <w:r w:rsidR="00D0292A">
        <w:t xml:space="preserve"> Almere</w:t>
      </w:r>
      <w:r w:rsidR="00193288">
        <w:t xml:space="preserve"> Gen</w:t>
      </w:r>
      <w:r w:rsidR="000E19E7">
        <w:t>e</w:t>
      </w:r>
      <w:r w:rsidR="00193288">
        <w:t>ral Local Ordina</w:t>
      </w:r>
      <w:r w:rsidR="000E19E7">
        <w:t>n</w:t>
      </w:r>
      <w:r w:rsidR="00193288">
        <w:t>ce</w:t>
      </w:r>
      <w:r>
        <w:t xml:space="preserve"> 2011 addresses the usability of roads and streets. According to </w:t>
      </w:r>
      <w:r w:rsidR="00F85F4B">
        <w:t>the</w:t>
      </w:r>
      <w:r>
        <w:t xml:space="preserve"> Ordinance, </w:t>
      </w:r>
      <w:r w:rsidR="00143335">
        <w:t>it is prohibited</w:t>
      </w:r>
      <w:r>
        <w:t xml:space="preserve"> to </w:t>
      </w:r>
      <w:r w:rsidRPr="00CD7A1E">
        <w:t xml:space="preserve">use a public place </w:t>
      </w:r>
      <w:r>
        <w:t>for an</w:t>
      </w:r>
      <w:r w:rsidRPr="00CD7A1E">
        <w:t>other</w:t>
      </w:r>
      <w:r>
        <w:t xml:space="preserve"> purpose</w:t>
      </w:r>
      <w:r w:rsidRPr="00CD7A1E">
        <w:t xml:space="preserve"> than in accordance with its public function.</w:t>
      </w:r>
      <w:r w:rsidR="00143335">
        <w:t xml:space="preserve"> </w:t>
      </w:r>
      <w:proofErr w:type="gramStart"/>
      <w:r w:rsidR="00781CD1">
        <w:t xml:space="preserve">Putting </w:t>
      </w:r>
      <w:r w:rsidR="00143335">
        <w:t xml:space="preserve"> objects</w:t>
      </w:r>
      <w:proofErr w:type="gramEnd"/>
      <w:r w:rsidR="00143335">
        <w:t xml:space="preserve"> or materials </w:t>
      </w:r>
      <w:r w:rsidR="00781CD1">
        <w:t xml:space="preserve">on a public street </w:t>
      </w:r>
      <w:r w:rsidR="00143335">
        <w:t xml:space="preserve">is forbidden if it </w:t>
      </w:r>
      <w:r w:rsidR="00143335" w:rsidRPr="00143335">
        <w:t xml:space="preserve">jeopardizes the </w:t>
      </w:r>
      <w:r w:rsidR="00F85F4B">
        <w:t>accessi</w:t>
      </w:r>
      <w:r w:rsidR="00143335" w:rsidRPr="00143335">
        <w:t>bility of the road or its efficient and safe use</w:t>
      </w:r>
      <w:r w:rsidR="00143335">
        <w:t xml:space="preserve"> and if it causes nuisance or danger for the users of a property adjacent to the road.</w:t>
      </w:r>
      <w:r w:rsidR="00F85F4B">
        <w:rPr>
          <w:rStyle w:val="FootnoteReference"/>
        </w:rPr>
        <w:footnoteReference w:id="195"/>
      </w:r>
      <w:r w:rsidR="00F85F4B">
        <w:t xml:space="preserve"> A separate article prohibits parking of bicycles and mopeds</w:t>
      </w:r>
      <w:r>
        <w:t xml:space="preserve"> </w:t>
      </w:r>
      <w:r w:rsidR="00F85F4B">
        <w:t>in places where they may block an entrance or hinder the passage on a pavement or footpath.</w:t>
      </w:r>
      <w:r w:rsidR="00F85F4B">
        <w:rPr>
          <w:rStyle w:val="FootnoteReference"/>
        </w:rPr>
        <w:footnoteReference w:id="196"/>
      </w:r>
      <w:r w:rsidR="00781CD1">
        <w:t xml:space="preserve"> This ordinance allows local enforcement officers to act in cases where pavements or other pedestrian areas are blocked or when the passage is hampered.</w:t>
      </w:r>
    </w:p>
    <w:p w14:paraId="5A384215" w14:textId="77777777" w:rsidR="002C2A5A" w:rsidRDefault="002C2A5A" w:rsidP="00F9312C">
      <w:pPr>
        <w:spacing w:line="360" w:lineRule="auto"/>
      </w:pPr>
    </w:p>
    <w:p w14:paraId="77C4F2C1" w14:textId="51E93383" w:rsidR="00192E65" w:rsidRPr="004647A2" w:rsidRDefault="00192E65" w:rsidP="00F9312C">
      <w:pPr>
        <w:spacing w:line="360" w:lineRule="auto"/>
        <w:rPr>
          <w:b/>
          <w:bCs/>
          <w:szCs w:val="20"/>
        </w:rPr>
      </w:pPr>
      <w:r w:rsidRPr="004647A2">
        <w:rPr>
          <w:b/>
          <w:bCs/>
        </w:rPr>
        <w:t>Planning</w:t>
      </w:r>
    </w:p>
    <w:p w14:paraId="089E23FB" w14:textId="0DDA7E63" w:rsidR="006218C6" w:rsidRPr="006218C6" w:rsidRDefault="006218C6" w:rsidP="00F9312C">
      <w:pPr>
        <w:spacing w:line="360" w:lineRule="auto"/>
      </w:pPr>
      <w:r w:rsidRPr="006218C6">
        <w:t>In 2017, the local</w:t>
      </w:r>
      <w:r w:rsidR="00D1514B">
        <w:t xml:space="preserve"> planning document, the</w:t>
      </w:r>
      <w:r w:rsidRPr="006218C6">
        <w:t xml:space="preserve"> Environmental Vision</w:t>
      </w:r>
      <w:r w:rsidR="00D1514B">
        <w:t>,</w:t>
      </w:r>
      <w:r w:rsidRPr="006218C6">
        <w:t xml:space="preserve"> was adopted.</w:t>
      </w:r>
      <w:r w:rsidR="005B1107">
        <w:rPr>
          <w:rStyle w:val="FootnoteReference"/>
        </w:rPr>
        <w:footnoteReference w:id="197"/>
      </w:r>
      <w:r w:rsidRPr="006218C6">
        <w:t xml:space="preserve"> </w:t>
      </w:r>
      <w:r>
        <w:t xml:space="preserve">The policy document </w:t>
      </w:r>
      <w:r w:rsidR="00D0292A" w:rsidRPr="00D0292A">
        <w:t xml:space="preserve">stimulates the necessary and desired developments in Almere and guarantees the quality of the living environment. </w:t>
      </w:r>
      <w:r w:rsidR="00D0292A">
        <w:t xml:space="preserve">It </w:t>
      </w:r>
      <w:r>
        <w:t xml:space="preserve">offers a framework of spatial developments </w:t>
      </w:r>
      <w:r w:rsidR="00D0292A">
        <w:t>for the near future, until a new vision is developed</w:t>
      </w:r>
      <w:r>
        <w:t>. According to the document, the philosophy behind the environmental vision is based on two principles. Firstly, the vision offers room for spontaneous and organic developments in the city by giving space to plans, projects and initiatives that are developed everywhere in the city. Secondly, the city increases its adaptability by not relying on blueprints or established programs. Where persons with disabilities are concerned, the city aims at providing sufficient and adequate housing with the aim that people can stay at their own home</w:t>
      </w:r>
      <w:r w:rsidR="008C3870">
        <w:t>.</w:t>
      </w:r>
      <w:r w:rsidR="008C3870" w:rsidRPr="008C3870">
        <w:t xml:space="preserve"> </w:t>
      </w:r>
      <w:r w:rsidR="008C3870">
        <w:t>The needs of persons with disabilities can result in specific requirements in the ongoing urban development. With reference to older people, the document envisages measures to make public space accessible for the elderly.</w:t>
      </w:r>
      <w:r w:rsidR="00EB0EBE">
        <w:rPr>
          <w:rStyle w:val="FootnoteReference"/>
        </w:rPr>
        <w:footnoteReference w:id="198"/>
      </w:r>
      <w:r w:rsidR="005B1107">
        <w:t xml:space="preserve"> </w:t>
      </w:r>
      <w:r w:rsidR="008C3870">
        <w:t>According to the document, g</w:t>
      </w:r>
      <w:r w:rsidR="00EB0EBE" w:rsidRPr="00EB0EBE">
        <w:t>iv</w:t>
      </w:r>
      <w:r w:rsidR="00EB0EBE">
        <w:t>ing</w:t>
      </w:r>
      <w:r w:rsidR="00EB0EBE" w:rsidRPr="00EB0EBE">
        <w:t xml:space="preserve"> substance to </w:t>
      </w:r>
      <w:r w:rsidR="00EB0EBE">
        <w:t>an</w:t>
      </w:r>
      <w:r w:rsidR="00EB0EBE" w:rsidRPr="00EB0EBE">
        <w:t xml:space="preserve"> inclusive society in which health and accessibility </w:t>
      </w:r>
      <w:r w:rsidR="008C3870">
        <w:t>are</w:t>
      </w:r>
      <w:r w:rsidR="00EB0EBE" w:rsidRPr="00EB0EBE">
        <w:t xml:space="preserve"> important pillars.</w:t>
      </w:r>
      <w:r w:rsidR="00EB0EBE">
        <w:t xml:space="preserve"> </w:t>
      </w:r>
      <w:r w:rsidR="008C3870">
        <w:t>However, p</w:t>
      </w:r>
      <w:r w:rsidR="005B1107">
        <w:t xml:space="preserve">lans for mobility revolve around cars, public transport and cycling. Pedestrians and </w:t>
      </w:r>
      <w:r w:rsidR="008C3870">
        <w:t xml:space="preserve">specific </w:t>
      </w:r>
      <w:r w:rsidR="005B1107">
        <w:t xml:space="preserve">developments for accessibility are not referred </w:t>
      </w:r>
      <w:proofErr w:type="gramStart"/>
      <w:r w:rsidR="005B1107">
        <w:t>to</w:t>
      </w:r>
      <w:proofErr w:type="gramEnd"/>
      <w:r w:rsidR="005B1107">
        <w:t>.</w:t>
      </w:r>
      <w:r w:rsidR="00EB0EBE">
        <w:rPr>
          <w:rStyle w:val="FootnoteReference"/>
        </w:rPr>
        <w:footnoteReference w:id="199"/>
      </w:r>
      <w:r w:rsidR="005B1107">
        <w:t xml:space="preserve"> </w:t>
      </w:r>
      <w:r w:rsidR="00D1514B">
        <w:t>After the adoption of the Almere inclusion agenda, more specific attention for accessibility of public space has been created.</w:t>
      </w:r>
    </w:p>
    <w:p w14:paraId="4244C698" w14:textId="77777777" w:rsidR="0042147F" w:rsidRDefault="0042147F" w:rsidP="00F9312C">
      <w:pPr>
        <w:spacing w:line="360" w:lineRule="auto"/>
      </w:pPr>
    </w:p>
    <w:p w14:paraId="59A1DFE8" w14:textId="3641BBD5" w:rsidR="00192E65" w:rsidRPr="004647A2" w:rsidRDefault="00192E65" w:rsidP="00F9312C">
      <w:pPr>
        <w:spacing w:line="360" w:lineRule="auto"/>
        <w:rPr>
          <w:b/>
          <w:bCs/>
        </w:rPr>
      </w:pPr>
      <w:r w:rsidRPr="004647A2">
        <w:rPr>
          <w:b/>
          <w:bCs/>
        </w:rPr>
        <w:t>Civil Society Engagement</w:t>
      </w:r>
    </w:p>
    <w:p w14:paraId="729A7D5C" w14:textId="44500EBB" w:rsidR="00264D2D" w:rsidRPr="00B91D12" w:rsidRDefault="00B91D12" w:rsidP="00F9312C">
      <w:pPr>
        <w:pStyle w:val="ListParagraph"/>
        <w:spacing w:line="360" w:lineRule="auto"/>
        <w:ind w:left="0"/>
        <w:rPr>
          <w:rFonts w:cs="Arial"/>
          <w:sz w:val="25"/>
          <w:szCs w:val="25"/>
        </w:rPr>
      </w:pPr>
      <w:r w:rsidRPr="00B91D12">
        <w:rPr>
          <w:rFonts w:cs="Arial"/>
          <w:sz w:val="25"/>
          <w:szCs w:val="25"/>
        </w:rPr>
        <w:t xml:space="preserve">As described above, </w:t>
      </w:r>
      <w:r>
        <w:rPr>
          <w:rFonts w:cs="Arial"/>
          <w:sz w:val="25"/>
          <w:szCs w:val="25"/>
        </w:rPr>
        <w:t>in 2017</w:t>
      </w:r>
      <w:r w:rsidR="00193288">
        <w:rPr>
          <w:rFonts w:cs="Arial"/>
          <w:sz w:val="25"/>
          <w:szCs w:val="25"/>
        </w:rPr>
        <w:t>,</w:t>
      </w:r>
      <w:r>
        <w:rPr>
          <w:rFonts w:cs="Arial"/>
          <w:sz w:val="25"/>
          <w:szCs w:val="25"/>
        </w:rPr>
        <w:t xml:space="preserve"> </w:t>
      </w:r>
      <w:proofErr w:type="spellStart"/>
      <w:proofErr w:type="gramStart"/>
      <w:r w:rsidR="00CD7A1E">
        <w:rPr>
          <w:rFonts w:cs="Arial"/>
          <w:sz w:val="25"/>
          <w:szCs w:val="25"/>
        </w:rPr>
        <w:t>ViP</w:t>
      </w:r>
      <w:proofErr w:type="spellEnd"/>
      <w:proofErr w:type="gramEnd"/>
      <w:r w:rsidR="00CD7A1E">
        <w:rPr>
          <w:rFonts w:cs="Arial"/>
          <w:sz w:val="25"/>
          <w:szCs w:val="25"/>
        </w:rPr>
        <w:t xml:space="preserve">, </w:t>
      </w:r>
      <w:r w:rsidR="00BD422D">
        <w:rPr>
          <w:rFonts w:cs="Arial"/>
          <w:sz w:val="25"/>
          <w:szCs w:val="25"/>
        </w:rPr>
        <w:t>a working</w:t>
      </w:r>
      <w:r w:rsidRPr="00B91D12">
        <w:rPr>
          <w:rFonts w:cs="Arial"/>
          <w:sz w:val="25"/>
          <w:szCs w:val="25"/>
        </w:rPr>
        <w:t xml:space="preserve"> group of persons with disabilities developed the local inclusion agenda</w:t>
      </w:r>
      <w:r w:rsidR="00BD422D">
        <w:rPr>
          <w:rFonts w:cs="Arial"/>
          <w:sz w:val="25"/>
          <w:szCs w:val="25"/>
        </w:rPr>
        <w:t xml:space="preserve">, </w:t>
      </w:r>
      <w:r w:rsidR="00BD422D" w:rsidRPr="007D4FAF">
        <w:t xml:space="preserve">‘Foreseeing what it takes. </w:t>
      </w:r>
      <w:proofErr w:type="gramStart"/>
      <w:r w:rsidR="00BD422D" w:rsidRPr="007D4FAF">
        <w:t>Policy framework social domain 2019-2022’</w:t>
      </w:r>
      <w:r>
        <w:rPr>
          <w:rFonts w:cs="Arial"/>
          <w:sz w:val="25"/>
          <w:szCs w:val="25"/>
        </w:rPr>
        <w:t>.</w:t>
      </w:r>
      <w:proofErr w:type="gramEnd"/>
      <w:r w:rsidR="00BD422D">
        <w:rPr>
          <w:rStyle w:val="FootnoteReference"/>
          <w:rFonts w:cs="Arial"/>
          <w:szCs w:val="25"/>
        </w:rPr>
        <w:footnoteReference w:id="200"/>
      </w:r>
      <w:r w:rsidR="00BD422D">
        <w:rPr>
          <w:rFonts w:cs="Arial"/>
          <w:sz w:val="25"/>
          <w:szCs w:val="25"/>
        </w:rPr>
        <w:t xml:space="preserve"> The working group </w:t>
      </w:r>
      <w:r w:rsidR="00BD422D">
        <w:t>exists of persons with disabilities and their organisations, their relatives and a number of local public interest organisations.</w:t>
      </w:r>
      <w:r w:rsidR="00C13DF0">
        <w:rPr>
          <w:rStyle w:val="FootnoteReference"/>
        </w:rPr>
        <w:footnoteReference w:id="201"/>
      </w:r>
      <w:r w:rsidR="00BD422D">
        <w:t xml:space="preserve"> The development of the inclusion agenda was supported by Disabilities Studies in Nederland (</w:t>
      </w:r>
      <w:proofErr w:type="spellStart"/>
      <w:r w:rsidR="00BD422D">
        <w:t>DSiN</w:t>
      </w:r>
      <w:proofErr w:type="spellEnd"/>
      <w:r w:rsidR="00BD422D">
        <w:t>).</w:t>
      </w:r>
      <w:r w:rsidR="00BD422D">
        <w:rPr>
          <w:rStyle w:val="FootnoteReference"/>
        </w:rPr>
        <w:footnoteReference w:id="202"/>
      </w:r>
      <w:r>
        <w:rPr>
          <w:rFonts w:cs="Arial"/>
          <w:sz w:val="25"/>
          <w:szCs w:val="25"/>
        </w:rPr>
        <w:t xml:space="preserve"> The document </w:t>
      </w:r>
      <w:r w:rsidRPr="00B91D12">
        <w:rPr>
          <w:rFonts w:cs="Arial"/>
          <w:sz w:val="25"/>
          <w:szCs w:val="25"/>
        </w:rPr>
        <w:t xml:space="preserve">was adopted </w:t>
      </w:r>
      <w:r w:rsidR="00061358">
        <w:rPr>
          <w:rFonts w:cs="Arial"/>
          <w:sz w:val="25"/>
          <w:szCs w:val="25"/>
        </w:rPr>
        <w:t xml:space="preserve">by the municipal government </w:t>
      </w:r>
      <w:r w:rsidRPr="00B91D12">
        <w:rPr>
          <w:rFonts w:cs="Arial"/>
          <w:sz w:val="25"/>
          <w:szCs w:val="25"/>
        </w:rPr>
        <w:t xml:space="preserve">as </w:t>
      </w:r>
      <w:r w:rsidR="00061358">
        <w:rPr>
          <w:rFonts w:cs="Arial"/>
          <w:sz w:val="25"/>
          <w:szCs w:val="25"/>
        </w:rPr>
        <w:t>the official</w:t>
      </w:r>
      <w:r w:rsidRPr="00B91D12">
        <w:rPr>
          <w:rFonts w:cs="Arial"/>
          <w:sz w:val="25"/>
          <w:szCs w:val="25"/>
        </w:rPr>
        <w:t xml:space="preserve"> po</w:t>
      </w:r>
      <w:r>
        <w:rPr>
          <w:rFonts w:cs="Arial"/>
          <w:sz w:val="25"/>
          <w:szCs w:val="25"/>
        </w:rPr>
        <w:t>licy document</w:t>
      </w:r>
      <w:r w:rsidR="00061358">
        <w:rPr>
          <w:rFonts w:cs="Arial"/>
          <w:sz w:val="25"/>
          <w:szCs w:val="25"/>
        </w:rPr>
        <w:t xml:space="preserve"> on inclusion and the implementation of CRPD.</w:t>
      </w:r>
      <w:r>
        <w:rPr>
          <w:rFonts w:cs="Arial"/>
          <w:sz w:val="25"/>
          <w:szCs w:val="25"/>
        </w:rPr>
        <w:t xml:space="preserve">  </w:t>
      </w:r>
    </w:p>
    <w:p w14:paraId="3656AD43" w14:textId="77777777" w:rsidR="00264D2D" w:rsidRPr="00537B73" w:rsidRDefault="00264D2D" w:rsidP="00F9312C">
      <w:pPr>
        <w:spacing w:line="360" w:lineRule="auto"/>
      </w:pPr>
    </w:p>
    <w:p w14:paraId="3217A29F" w14:textId="50E8EC56" w:rsidR="00237704" w:rsidRPr="004647A2" w:rsidRDefault="00237704" w:rsidP="00F9312C">
      <w:pPr>
        <w:spacing w:line="360" w:lineRule="auto"/>
        <w:rPr>
          <w:b/>
          <w:bCs/>
        </w:rPr>
      </w:pPr>
      <w:r w:rsidRPr="004647A2">
        <w:rPr>
          <w:b/>
          <w:bCs/>
        </w:rPr>
        <w:t>Noteworthy Issues or Concerns</w:t>
      </w:r>
    </w:p>
    <w:p w14:paraId="2BB7C826" w14:textId="693728EB" w:rsidR="00D1514B" w:rsidRPr="00D1514B" w:rsidRDefault="00787AC3" w:rsidP="00F9312C">
      <w:pPr>
        <w:spacing w:line="360" w:lineRule="auto"/>
        <w:rPr>
          <w:bCs/>
        </w:rPr>
      </w:pPr>
      <w:r w:rsidRPr="00787AC3">
        <w:rPr>
          <w:bCs/>
        </w:rPr>
        <w:t xml:space="preserve">The city of Almere </w:t>
      </w:r>
      <w:r>
        <w:rPr>
          <w:bCs/>
        </w:rPr>
        <w:t xml:space="preserve">has </w:t>
      </w:r>
      <w:r w:rsidR="00D1514B">
        <w:rPr>
          <w:bCs/>
        </w:rPr>
        <w:t>a number of</w:t>
      </w:r>
      <w:r>
        <w:rPr>
          <w:bCs/>
        </w:rPr>
        <w:t xml:space="preserve"> policies regarding persons with disabilities. The city’s inclusion agenda, written in cooperation with a DPO, contains policy objectives and measures to improve the accessibility of public space. </w:t>
      </w:r>
      <w:r w:rsidR="0075730B">
        <w:rPr>
          <w:bCs/>
        </w:rPr>
        <w:t>It seems</w:t>
      </w:r>
      <w:r w:rsidR="00D1514B">
        <w:rPr>
          <w:bCs/>
        </w:rPr>
        <w:t>,</w:t>
      </w:r>
      <w:r w:rsidR="0075730B">
        <w:rPr>
          <w:bCs/>
        </w:rPr>
        <w:t xml:space="preserve"> however, that not all policy intentions have been translated into practical measures</w:t>
      </w:r>
      <w:r w:rsidR="00D1514B">
        <w:rPr>
          <w:bCs/>
        </w:rPr>
        <w:t xml:space="preserve"> yet</w:t>
      </w:r>
      <w:r w:rsidR="0075730B">
        <w:rPr>
          <w:bCs/>
        </w:rPr>
        <w:t>.</w:t>
      </w:r>
    </w:p>
    <w:p w14:paraId="0AF73708" w14:textId="77777777" w:rsidR="005F0C1F" w:rsidRDefault="005F0C1F" w:rsidP="00F9312C">
      <w:pPr>
        <w:spacing w:line="360" w:lineRule="auto"/>
      </w:pPr>
    </w:p>
    <w:p w14:paraId="4906DD43" w14:textId="77777777" w:rsidR="00E3152B" w:rsidRDefault="00E3152B" w:rsidP="00F9312C">
      <w:pPr>
        <w:spacing w:line="360" w:lineRule="auto"/>
      </w:pPr>
    </w:p>
    <w:p w14:paraId="27632563" w14:textId="77777777" w:rsidR="00192E65" w:rsidRPr="00113BF7" w:rsidRDefault="00192E65" w:rsidP="00F9312C">
      <w:pPr>
        <w:pStyle w:val="Heading1"/>
        <w:spacing w:line="360" w:lineRule="auto"/>
      </w:pPr>
      <w:r>
        <w:t>B</w:t>
      </w:r>
      <w:r w:rsidRPr="00113BF7">
        <w:t xml:space="preserve"> </w:t>
      </w:r>
      <w:r>
        <w:t xml:space="preserve">Laws that can be used </w:t>
      </w:r>
      <w:r w:rsidR="00237704">
        <w:t xml:space="preserve">only </w:t>
      </w:r>
      <w:r>
        <w:t>by or on behalf of pedestrians with specific c</w:t>
      </w:r>
      <w:r w:rsidRPr="00113BF7">
        <w:t>haracteristics</w:t>
      </w:r>
    </w:p>
    <w:p w14:paraId="219E1CD6" w14:textId="77777777" w:rsidR="00192E65" w:rsidRDefault="00192E65" w:rsidP="00F9312C">
      <w:pPr>
        <w:spacing w:line="360" w:lineRule="auto"/>
      </w:pPr>
    </w:p>
    <w:p w14:paraId="49C4F75D" w14:textId="77777777" w:rsidR="00192E65" w:rsidRPr="00D0533B" w:rsidRDefault="00192E65" w:rsidP="00F9312C">
      <w:pPr>
        <w:pStyle w:val="Heading2"/>
        <w:spacing w:line="360" w:lineRule="auto"/>
      </w:pPr>
      <w:r w:rsidRPr="00D0533B">
        <w:t>B1 Possible Discrimination Actions</w:t>
      </w:r>
    </w:p>
    <w:p w14:paraId="2452786A" w14:textId="75B74484" w:rsidR="00192E65" w:rsidRDefault="006D269E" w:rsidP="00F9312C">
      <w:pPr>
        <w:spacing w:line="360" w:lineRule="auto"/>
      </w:pPr>
      <w:r>
        <w:t xml:space="preserve">Non-discrimination laws in the Netherlands are not applicable to </w:t>
      </w:r>
      <w:r w:rsidR="002463E9">
        <w:t xml:space="preserve">issues relating to </w:t>
      </w:r>
      <w:r>
        <w:t>accessibility of pedestrian public space. Actions against inaccessible streets by or on behalf of pedestrian with specific characteristics cannot be based on the equal treatment acts or the criminal code.</w:t>
      </w:r>
      <w:r w:rsidR="002463E9">
        <w:t xml:space="preserve"> See chapter </w:t>
      </w:r>
      <w:r w:rsidR="002463E9" w:rsidRPr="00D0292A">
        <w:t>A4.1</w:t>
      </w:r>
      <w:r w:rsidR="00743301">
        <w:t xml:space="preserve"> </w:t>
      </w:r>
      <w:r w:rsidR="002463E9">
        <w:t>for more details.</w:t>
      </w:r>
    </w:p>
    <w:p w14:paraId="42C9A361" w14:textId="77777777" w:rsidR="00192E65" w:rsidRDefault="00192E65" w:rsidP="00F9312C">
      <w:pPr>
        <w:spacing w:line="360" w:lineRule="auto"/>
        <w:ind w:left="720"/>
      </w:pPr>
    </w:p>
    <w:p w14:paraId="5E50DC00" w14:textId="43336C93" w:rsidR="00192E65" w:rsidRPr="00D0533B" w:rsidRDefault="00192E65" w:rsidP="00F9312C">
      <w:pPr>
        <w:pStyle w:val="Heading2"/>
        <w:spacing w:line="360" w:lineRule="auto"/>
      </w:pPr>
      <w:r w:rsidRPr="00D0533B">
        <w:t>B2 Other Equality-Based Actions</w:t>
      </w:r>
    </w:p>
    <w:p w14:paraId="7E2FDEC8" w14:textId="57C873DD" w:rsidR="00192E65" w:rsidRDefault="007423EF" w:rsidP="00F9312C">
      <w:pPr>
        <w:spacing w:line="360" w:lineRule="auto"/>
        <w:rPr>
          <w:szCs w:val="24"/>
        </w:rPr>
      </w:pPr>
      <w:r>
        <w:t>Persons with disabilities can report complaints about equality or non-discrimination issues at a municipal anti-discrimination agency (</w:t>
      </w:r>
      <w:r w:rsidRPr="00D0292A">
        <w:t>see A4.1</w:t>
      </w:r>
      <w:r>
        <w:t>)</w:t>
      </w:r>
      <w:r w:rsidR="00677D32">
        <w:t>.</w:t>
      </w:r>
      <w:r w:rsidR="00677D32">
        <w:rPr>
          <w:rStyle w:val="FootnoteReference"/>
        </w:rPr>
        <w:footnoteReference w:id="203"/>
      </w:r>
      <w:r w:rsidR="00677D32">
        <w:t xml:space="preserve"> The agency will consider the complaint and may take action in support of the complainant. In cases of inaccessible pedestrian areas, the agency may contact the responsible authority and ask for a solution, such as the removal of the obstacle.</w:t>
      </w:r>
    </w:p>
    <w:p w14:paraId="1B58FFAA" w14:textId="77777777" w:rsidR="00CB7313" w:rsidRDefault="00CB7313" w:rsidP="00F9312C">
      <w:pPr>
        <w:spacing w:line="360" w:lineRule="auto"/>
      </w:pPr>
    </w:p>
    <w:p w14:paraId="6E37E6FC" w14:textId="20E81B25" w:rsidR="005F05E2" w:rsidRPr="00D0533B" w:rsidRDefault="005F05E2" w:rsidP="00F9312C">
      <w:pPr>
        <w:pStyle w:val="Heading2"/>
        <w:spacing w:line="360" w:lineRule="auto"/>
      </w:pPr>
      <w:r w:rsidRPr="00D0533B">
        <w:t xml:space="preserve">B4 </w:t>
      </w:r>
      <w:r w:rsidR="00237704" w:rsidRPr="00D0533B">
        <w:t>Noteworthy p</w:t>
      </w:r>
      <w:r w:rsidRPr="00D0533B">
        <w:t xml:space="preserve">roject-related </w:t>
      </w:r>
      <w:r w:rsidR="00237704" w:rsidRPr="00D0533B">
        <w:t>observations and concerns</w:t>
      </w:r>
    </w:p>
    <w:p w14:paraId="71A55412" w14:textId="2260C6CC" w:rsidR="00192E65" w:rsidRDefault="009462DF" w:rsidP="00F9312C">
      <w:pPr>
        <w:spacing w:line="360" w:lineRule="auto"/>
      </w:pPr>
      <w:r>
        <w:t>As observed, equal</w:t>
      </w:r>
      <w:r w:rsidR="00907595">
        <w:t xml:space="preserve"> treatment</w:t>
      </w:r>
      <w:r>
        <w:t xml:space="preserve"> legislation is not applicable in cases relating to inaccessible streets. With the introduction of the equality laws, the Netherlands have chosen to limit the scope of the law</w:t>
      </w:r>
      <w:r w:rsidR="00726FD3">
        <w:t xml:space="preserve"> to legal relations between (contracting) parties</w:t>
      </w:r>
      <w:r>
        <w:t>. As pointed out in chapter A4.1, t</w:t>
      </w:r>
      <w:r w:rsidRPr="00321374">
        <w:t>he government</w:t>
      </w:r>
      <w:r>
        <w:t xml:space="preserve"> claims that it</w:t>
      </w:r>
      <w:r w:rsidRPr="00321374">
        <w:t xml:space="preserve"> cannot </w:t>
      </w:r>
      <w:r>
        <w:t xml:space="preserve">discriminate. </w:t>
      </w:r>
      <w:r w:rsidR="00726FD3">
        <w:t>It</w:t>
      </w:r>
      <w:r>
        <w:t xml:space="preserve"> refers to the prohibition of discrimination and the equality principle enshrined in</w:t>
      </w:r>
      <w:r w:rsidR="00BC1033">
        <w:t xml:space="preserve"> article </w:t>
      </w:r>
      <w:r w:rsidRPr="00321374">
        <w:t>1 of the Constitution. Unilateral government actions</w:t>
      </w:r>
      <w:r>
        <w:t xml:space="preserve">, </w:t>
      </w:r>
      <w:r w:rsidR="00726FD3">
        <w:t>such as the decision to design a street in a certain manner</w:t>
      </w:r>
      <w:r>
        <w:t xml:space="preserve">, </w:t>
      </w:r>
      <w:r w:rsidRPr="00321374">
        <w:t xml:space="preserve">can be tested against the </w:t>
      </w:r>
      <w:r>
        <w:t xml:space="preserve">General Administrative Law Act </w:t>
      </w:r>
      <w:r w:rsidRPr="00321374">
        <w:t xml:space="preserve">or </w:t>
      </w:r>
      <w:r>
        <w:t xml:space="preserve">public </w:t>
      </w:r>
      <w:r w:rsidRPr="00D66E1F">
        <w:t>tort</w:t>
      </w:r>
      <w:r>
        <w:t xml:space="preserve"> connected with </w:t>
      </w:r>
      <w:r w:rsidR="00726FD3">
        <w:t xml:space="preserve">a </w:t>
      </w:r>
      <w:r>
        <w:t>breach of statutory duty</w:t>
      </w:r>
      <w:r w:rsidRPr="00321374">
        <w:t xml:space="preserve"> in the Civil Code</w:t>
      </w:r>
      <w:r w:rsidR="00726FD3">
        <w:t xml:space="preserve">. </w:t>
      </w:r>
    </w:p>
    <w:p w14:paraId="6E97208F" w14:textId="77777777" w:rsidR="005F05E2" w:rsidRDefault="005F05E2" w:rsidP="00F9312C">
      <w:pPr>
        <w:spacing w:line="360" w:lineRule="auto"/>
        <w:ind w:left="720"/>
      </w:pPr>
    </w:p>
    <w:p w14:paraId="36C90F0D" w14:textId="77777777" w:rsidR="00E3152B" w:rsidRDefault="00E3152B" w:rsidP="00F9312C">
      <w:pPr>
        <w:spacing w:line="360" w:lineRule="auto"/>
        <w:ind w:left="720"/>
      </w:pPr>
    </w:p>
    <w:p w14:paraId="5A533E5D" w14:textId="77777777" w:rsidR="00192E65" w:rsidRPr="00113BF7" w:rsidRDefault="00192E65" w:rsidP="00F9312C">
      <w:pPr>
        <w:pStyle w:val="Heading1"/>
        <w:spacing w:line="360" w:lineRule="auto"/>
      </w:pPr>
      <w:r>
        <w:t>C</w:t>
      </w:r>
      <w:r w:rsidRPr="00113BF7">
        <w:t xml:space="preserve"> Laws that can be used by pedestrians generally or by NGOs on </w:t>
      </w:r>
      <w:r>
        <w:t>behalf of pedestrians g</w:t>
      </w:r>
      <w:r w:rsidRPr="00113BF7">
        <w:t>enerally</w:t>
      </w:r>
    </w:p>
    <w:p w14:paraId="468C4B0E" w14:textId="77777777" w:rsidR="00192E65" w:rsidRDefault="00192E65" w:rsidP="00F9312C">
      <w:pPr>
        <w:spacing w:line="360" w:lineRule="auto"/>
      </w:pPr>
    </w:p>
    <w:p w14:paraId="0F2826B0" w14:textId="20FAFD7E" w:rsidR="00496E0A" w:rsidRPr="00D0533B" w:rsidRDefault="00496E0A" w:rsidP="00F9312C">
      <w:pPr>
        <w:pStyle w:val="Heading2"/>
        <w:spacing w:line="360" w:lineRule="auto"/>
      </w:pPr>
      <w:r w:rsidRPr="00D0533B">
        <w:t xml:space="preserve">C1 </w:t>
      </w:r>
      <w:r w:rsidR="00237704" w:rsidRPr="00D0533B">
        <w:t>Failing</w:t>
      </w:r>
      <w:r w:rsidRPr="00D0533B">
        <w:t xml:space="preserve"> to safeguard pedestrians from holes, roadworks, traffic flow and other hazards</w:t>
      </w:r>
    </w:p>
    <w:p w14:paraId="6BBEF256" w14:textId="48305DF7" w:rsidR="00B21DED" w:rsidRPr="005E1E4A" w:rsidRDefault="005E1E4A" w:rsidP="00F9312C">
      <w:pPr>
        <w:spacing w:line="360" w:lineRule="auto"/>
        <w:rPr>
          <w:i/>
          <w:iCs/>
        </w:rPr>
      </w:pPr>
      <w:r w:rsidRPr="005E1E4A">
        <w:rPr>
          <w:i/>
          <w:iCs/>
        </w:rPr>
        <w:t>Introduction</w:t>
      </w:r>
    </w:p>
    <w:p w14:paraId="5A355406" w14:textId="5D5E0A2C" w:rsidR="00162B49" w:rsidRDefault="00162B49" w:rsidP="00F9312C">
      <w:pPr>
        <w:spacing w:line="360" w:lineRule="auto"/>
      </w:pPr>
      <w:r>
        <w:t xml:space="preserve">In general, the owner or manager of a public road should take measures to prevent road users from damages. </w:t>
      </w:r>
      <w:r w:rsidR="006307CD" w:rsidRPr="006307CD">
        <w:t>According to th</w:t>
      </w:r>
      <w:r>
        <w:t>is</w:t>
      </w:r>
      <w:r w:rsidR="006307CD" w:rsidRPr="006307CD">
        <w:t xml:space="preserve"> </w:t>
      </w:r>
      <w:r>
        <w:t>precautionary principle</w:t>
      </w:r>
      <w:r w:rsidR="006307CD" w:rsidRPr="006307CD">
        <w:t>, the government</w:t>
      </w:r>
      <w:r w:rsidR="00094A1C">
        <w:t xml:space="preserve"> in its role of owner or manager of roads, including footpaths,</w:t>
      </w:r>
      <w:r w:rsidR="006307CD" w:rsidRPr="006307CD">
        <w:t xml:space="preserve"> has an obligation to take measures to prevent fatalities, injuries and </w:t>
      </w:r>
      <w:r w:rsidR="00094A1C">
        <w:t>other</w:t>
      </w:r>
      <w:r w:rsidR="006307CD" w:rsidRPr="006307CD">
        <w:t xml:space="preserve"> damage.</w:t>
      </w:r>
      <w:r w:rsidR="00042568">
        <w:t xml:space="preserve"> </w:t>
      </w:r>
      <w:r w:rsidR="00094A1C">
        <w:t>In that capacity, public bodies</w:t>
      </w:r>
      <w:r w:rsidR="004D3FB6" w:rsidRPr="004D3FB6">
        <w:t xml:space="preserve"> may not expose others to a greater risk than is reasonably justified under the circumstances.</w:t>
      </w:r>
      <w:r>
        <w:t xml:space="preserve"> Risks may be uncertain or may be known</w:t>
      </w:r>
      <w:r w:rsidRPr="00094A1C">
        <w:t xml:space="preserve">. In cases where an uncertain risk may arise, </w:t>
      </w:r>
      <w:r w:rsidR="00094A1C">
        <w:t xml:space="preserve">the </w:t>
      </w:r>
      <w:r w:rsidR="005F4F85" w:rsidRPr="00094A1C">
        <w:t>public body</w:t>
      </w:r>
      <w:r w:rsidR="004D3FB6" w:rsidRPr="00094A1C">
        <w:t xml:space="preserve"> should act with appropriate precaution</w:t>
      </w:r>
      <w:r w:rsidR="005F4F85" w:rsidRPr="00094A1C">
        <w:t>.</w:t>
      </w:r>
      <w:r w:rsidRPr="00094A1C">
        <w:t xml:space="preserve"> If it fails to do so, it may be liable for damages.</w:t>
      </w:r>
      <w:r w:rsidR="004D3FB6" w:rsidRPr="00094A1C">
        <w:t xml:space="preserve"> </w:t>
      </w:r>
      <w:r w:rsidR="00094A1C" w:rsidRPr="00094A1C">
        <w:t>W</w:t>
      </w:r>
      <w:r w:rsidRPr="00094A1C">
        <w:t>here a known risk is created, t</w:t>
      </w:r>
      <w:r w:rsidR="00872333" w:rsidRPr="00094A1C">
        <w:t xml:space="preserve">he </w:t>
      </w:r>
      <w:r w:rsidRPr="00094A1C">
        <w:t xml:space="preserve">public </w:t>
      </w:r>
      <w:r w:rsidR="00872333" w:rsidRPr="00094A1C">
        <w:t>body</w:t>
      </w:r>
      <w:r w:rsidR="004D3FB6" w:rsidRPr="00094A1C">
        <w:t xml:space="preserve"> should exercise care</w:t>
      </w:r>
      <w:r w:rsidR="00872333" w:rsidRPr="00094A1C">
        <w:t xml:space="preserve">, such as putting up warning signs or carry out repair or other works to redress the </w:t>
      </w:r>
      <w:r w:rsidRPr="00094A1C">
        <w:t xml:space="preserve">dangerous </w:t>
      </w:r>
      <w:r w:rsidR="00872333" w:rsidRPr="00094A1C">
        <w:t>situation. Finally, it</w:t>
      </w:r>
      <w:r w:rsidR="004D3FB6" w:rsidRPr="00094A1C">
        <w:t xml:space="preserve"> should perform the required aftercare if a risk has already materialized. This concerns the care that can be expected from a reasonably acting person in similar circumstances. </w:t>
      </w:r>
      <w:r w:rsidR="00094A1C" w:rsidRPr="00094A1C">
        <w:t xml:space="preserve">It requires the </w:t>
      </w:r>
      <w:r w:rsidR="00094A1C">
        <w:t xml:space="preserve">public </w:t>
      </w:r>
      <w:r w:rsidR="00094A1C" w:rsidRPr="00094A1C">
        <w:t>body to</w:t>
      </w:r>
      <w:r w:rsidR="004D3FB6" w:rsidRPr="00094A1C">
        <w:t xml:space="preserve"> prevent</w:t>
      </w:r>
      <w:r w:rsidR="00094A1C" w:rsidRPr="00094A1C">
        <w:t xml:space="preserve"> </w:t>
      </w:r>
      <w:r w:rsidR="00183CA0">
        <w:t xml:space="preserve">further </w:t>
      </w:r>
      <w:r w:rsidR="004D3FB6" w:rsidRPr="00094A1C">
        <w:t>damage.</w:t>
      </w:r>
      <w:r w:rsidR="00B7788C" w:rsidRPr="00094A1C">
        <w:rPr>
          <w:rStyle w:val="FootnoteReference"/>
        </w:rPr>
        <w:footnoteReference w:id="204"/>
      </w:r>
      <w:r w:rsidR="002128AB" w:rsidRPr="00094A1C">
        <w:t xml:space="preserve"> </w:t>
      </w:r>
    </w:p>
    <w:p w14:paraId="5422BBFE" w14:textId="4F86FF5A" w:rsidR="005D4042" w:rsidRDefault="005D4042" w:rsidP="00F9312C">
      <w:pPr>
        <w:spacing w:line="360" w:lineRule="auto"/>
      </w:pPr>
      <w:r>
        <w:t>Anyone who finds that a certain hazard or risk prevents them from using the pavement or footpath in the way it is meant to be used, may enter into legal proceedings to redress the situation</w:t>
      </w:r>
      <w:r w:rsidR="00183CA0">
        <w:t xml:space="preserve"> and demand the responsible authority to remove the hazard</w:t>
      </w:r>
      <w:r>
        <w:t>. Pedestrians have this opportunity in case they have an interest for themselves.</w:t>
      </w:r>
    </w:p>
    <w:p w14:paraId="0EAA6D79" w14:textId="64F6D3CE" w:rsidR="00F3766D" w:rsidRDefault="00F3766D" w:rsidP="00F9312C">
      <w:pPr>
        <w:spacing w:line="360" w:lineRule="auto"/>
      </w:pPr>
    </w:p>
    <w:p w14:paraId="6C286598" w14:textId="0560D17D" w:rsidR="00450ADC" w:rsidRPr="00450ADC" w:rsidRDefault="00450ADC" w:rsidP="00F9312C">
      <w:pPr>
        <w:spacing w:line="360" w:lineRule="auto"/>
        <w:rPr>
          <w:i/>
          <w:iCs/>
        </w:rPr>
      </w:pPr>
      <w:r w:rsidRPr="00450ADC">
        <w:rPr>
          <w:i/>
          <w:iCs/>
        </w:rPr>
        <w:t>Legal standing for NGOs</w:t>
      </w:r>
    </w:p>
    <w:p w14:paraId="6A4F0030" w14:textId="56D2C07D" w:rsidR="001E07BE" w:rsidRDefault="005D4042" w:rsidP="00F9312C">
      <w:pPr>
        <w:spacing w:line="360" w:lineRule="auto"/>
      </w:pPr>
      <w:r>
        <w:t xml:space="preserve">Under Dutch civil law, NGOs have a legal standing if they bring forward the interests of a group of persons they represent. </w:t>
      </w:r>
      <w:r w:rsidR="00FD6C08">
        <w:t xml:space="preserve">Article 3:305a Civil Code grants legal standing for collective action. </w:t>
      </w:r>
    </w:p>
    <w:p w14:paraId="06321ACF" w14:textId="7ACA3803" w:rsidR="005D4042" w:rsidRPr="00183CA0" w:rsidRDefault="00183CA0" w:rsidP="00F9312C">
      <w:pPr>
        <w:spacing w:line="360" w:lineRule="auto"/>
      </w:pPr>
      <w:r>
        <w:t>Any</w:t>
      </w:r>
      <w:r w:rsidR="001E07BE" w:rsidRPr="001E07BE">
        <w:t xml:space="preserve"> </w:t>
      </w:r>
      <w:r>
        <w:t>organisation</w:t>
      </w:r>
      <w:r w:rsidR="001E07BE" w:rsidRPr="001E07BE">
        <w:t xml:space="preserve"> that institutes collective action </w:t>
      </w:r>
      <w:r w:rsidR="00FD6C08">
        <w:t xml:space="preserve">should </w:t>
      </w:r>
      <w:r w:rsidR="001E07BE" w:rsidRPr="001E07BE">
        <w:t>conduct the proceedings in its own name and not as a legal representative of or on behalf of others. An interest group must meet three requirements in order to be able to institute collective action</w:t>
      </w:r>
      <w:r w:rsidR="00FD6C08">
        <w:t>:</w:t>
      </w:r>
      <w:r w:rsidR="001E07BE" w:rsidRPr="001E07BE">
        <w:t xml:space="preserve"> </w:t>
      </w:r>
      <w:r w:rsidR="00FD6C08">
        <w:t>i</w:t>
      </w:r>
      <w:r w:rsidR="001E07BE" w:rsidRPr="001E07BE">
        <w:t>t must be a foundation or an association with full legal capacity</w:t>
      </w:r>
      <w:r w:rsidR="00FD6C08">
        <w:t>; it</w:t>
      </w:r>
      <w:r w:rsidR="001E07BE" w:rsidRPr="001E07BE">
        <w:t xml:space="preserve"> must have an adequate statutory purpose description</w:t>
      </w:r>
      <w:r w:rsidR="00FD6C08">
        <w:t xml:space="preserve"> and t</w:t>
      </w:r>
      <w:r w:rsidR="001E07BE" w:rsidRPr="001E07BE">
        <w:t xml:space="preserve">he interests for which the interest group stands up must also be similar in order to lend themselves </w:t>
      </w:r>
      <w:r w:rsidR="00FD6C08">
        <w:t>for collective action</w:t>
      </w:r>
      <w:r w:rsidR="001E07BE" w:rsidRPr="001E07BE">
        <w:t>.</w:t>
      </w:r>
      <w:r w:rsidR="00FD6C08">
        <w:t xml:space="preserve"> I</w:t>
      </w:r>
      <w:r w:rsidR="00FD6C08" w:rsidRPr="00FD6C08">
        <w:t>t is not necessary to represent the interests of a clearly defined group</w:t>
      </w:r>
      <w:r w:rsidR="00C67C89">
        <w:t>.</w:t>
      </w:r>
      <w:r w:rsidR="00C67C89">
        <w:rPr>
          <w:rStyle w:val="FootnoteReference"/>
        </w:rPr>
        <w:footnoteReference w:id="205"/>
      </w:r>
      <w:r w:rsidR="005D4042">
        <w:t xml:space="preserve"> </w:t>
      </w:r>
      <w:r w:rsidR="00FD6C08">
        <w:t>An interest group is not admissible, if in the given circumstances has insufficiently attempted to reach an agreement with the defendant.</w:t>
      </w:r>
    </w:p>
    <w:p w14:paraId="5C409984" w14:textId="77777777" w:rsidR="00162B49" w:rsidRDefault="00162B49" w:rsidP="00F9312C">
      <w:pPr>
        <w:spacing w:line="360" w:lineRule="auto"/>
        <w:rPr>
          <w:i/>
          <w:iCs/>
        </w:rPr>
      </w:pPr>
    </w:p>
    <w:p w14:paraId="44444DDC" w14:textId="4BDFB713" w:rsidR="00450ADC" w:rsidRPr="00450ADC" w:rsidRDefault="00450ADC" w:rsidP="00F9312C">
      <w:pPr>
        <w:spacing w:line="360" w:lineRule="auto"/>
        <w:rPr>
          <w:i/>
          <w:iCs/>
        </w:rPr>
      </w:pPr>
      <w:r w:rsidRPr="00450ADC">
        <w:rPr>
          <w:i/>
          <w:iCs/>
        </w:rPr>
        <w:t>Prevention and damages</w:t>
      </w:r>
    </w:p>
    <w:p w14:paraId="536E2214" w14:textId="6E51695F" w:rsidR="00450ADC" w:rsidRDefault="00450ADC" w:rsidP="00F9312C">
      <w:pPr>
        <w:spacing w:line="360" w:lineRule="auto"/>
      </w:pPr>
      <w:r>
        <w:t>Two situations may be discerned: provisions to address the prevention of hazards and provisions for the redress and compensation in cases where damages were sustained.</w:t>
      </w:r>
    </w:p>
    <w:p w14:paraId="431E4264" w14:textId="4A225218" w:rsidR="00450ADC" w:rsidRDefault="00450ADC" w:rsidP="00F9312C">
      <w:pPr>
        <w:spacing w:line="360" w:lineRule="auto"/>
      </w:pPr>
      <w:r>
        <w:t>For both situations, the</w:t>
      </w:r>
      <w:r w:rsidR="00740231">
        <w:t xml:space="preserve"> Dutch</w:t>
      </w:r>
      <w:r>
        <w:t xml:space="preserve"> Civil Code is the applicable law for pedestrians who want to redress hazardous situations.</w:t>
      </w:r>
    </w:p>
    <w:p w14:paraId="7AE5CA18" w14:textId="77777777" w:rsidR="00450ADC" w:rsidRDefault="00450ADC" w:rsidP="00F9312C">
      <w:pPr>
        <w:spacing w:line="360" w:lineRule="auto"/>
      </w:pPr>
      <w:r>
        <w:t xml:space="preserve">Legal developments in preventive action have been slow and have not delivered a large body of literature or case law. </w:t>
      </w:r>
    </w:p>
    <w:p w14:paraId="5C86FDC4" w14:textId="75D9C031" w:rsidR="00450ADC" w:rsidRDefault="00450ADC" w:rsidP="00F9312C">
      <w:pPr>
        <w:spacing w:line="360" w:lineRule="auto"/>
      </w:pPr>
      <w:r>
        <w:t xml:space="preserve">In cases where damage was sustained, the Civil Code addresses the rights and obligations relating to compensation of damages under the tort provisions. There is a large and </w:t>
      </w:r>
      <w:proofErr w:type="gramStart"/>
      <w:r>
        <w:t>long standing</w:t>
      </w:r>
      <w:proofErr w:type="gramEnd"/>
      <w:r>
        <w:t xml:space="preserve"> body of case law relating to tort. For the purposes of this report, the legal theory and the most relevant cases will be </w:t>
      </w:r>
      <w:r w:rsidR="004647A2">
        <w:t xml:space="preserve">briefly </w:t>
      </w:r>
      <w:r>
        <w:t>described.</w:t>
      </w:r>
    </w:p>
    <w:p w14:paraId="608B19EA" w14:textId="77777777" w:rsidR="00450ADC" w:rsidRPr="00450ADC" w:rsidRDefault="00450ADC" w:rsidP="00F9312C">
      <w:pPr>
        <w:spacing w:line="360" w:lineRule="auto"/>
      </w:pPr>
    </w:p>
    <w:p w14:paraId="1DDF8D69" w14:textId="0C457AF7" w:rsidR="00EC74AF" w:rsidRPr="00FB08EF" w:rsidRDefault="00300557" w:rsidP="00F9312C">
      <w:pPr>
        <w:spacing w:line="360" w:lineRule="auto"/>
        <w:rPr>
          <w:i/>
          <w:iCs/>
          <w:szCs w:val="24"/>
        </w:rPr>
      </w:pPr>
      <w:r w:rsidRPr="00FB08EF">
        <w:rPr>
          <w:i/>
          <w:iCs/>
          <w:szCs w:val="24"/>
        </w:rPr>
        <w:t>Prevention</w:t>
      </w:r>
    </w:p>
    <w:p w14:paraId="4A93DB17" w14:textId="340C96D2" w:rsidR="001D29C3" w:rsidRPr="00FB08EF" w:rsidRDefault="00300557" w:rsidP="00F9312C">
      <w:pPr>
        <w:spacing w:line="360" w:lineRule="auto"/>
        <w:rPr>
          <w:szCs w:val="24"/>
        </w:rPr>
      </w:pPr>
      <w:r w:rsidRPr="00FB08EF">
        <w:rPr>
          <w:szCs w:val="24"/>
        </w:rPr>
        <w:t>A claim for damage prevention can be effected through</w:t>
      </w:r>
      <w:r w:rsidR="00BC1033">
        <w:rPr>
          <w:szCs w:val="24"/>
        </w:rPr>
        <w:t xml:space="preserve"> article </w:t>
      </w:r>
      <w:r w:rsidRPr="00FB08EF">
        <w:rPr>
          <w:szCs w:val="24"/>
        </w:rPr>
        <w:t>3:296 Civil Code. This</w:t>
      </w:r>
      <w:r w:rsidR="001D29C3" w:rsidRPr="00FB08EF">
        <w:rPr>
          <w:szCs w:val="24"/>
        </w:rPr>
        <w:t xml:space="preserve"> article</w:t>
      </w:r>
      <w:r w:rsidRPr="00FB08EF">
        <w:rPr>
          <w:szCs w:val="24"/>
        </w:rPr>
        <w:t xml:space="preserve"> stipulates that a person who is obliged to give, do or omit to give something to another, is sentenced to that end by the court, at the request of the entitled person, unless by law, by the nature of the obligation or by a legal act otherwise follows. Article 3:296 of the Dutch Civil Code therefore </w:t>
      </w:r>
      <w:r w:rsidR="00FB08EF">
        <w:rPr>
          <w:szCs w:val="24"/>
        </w:rPr>
        <w:t xml:space="preserve">could </w:t>
      </w:r>
      <w:r w:rsidRPr="00FB08EF">
        <w:rPr>
          <w:szCs w:val="24"/>
        </w:rPr>
        <w:t xml:space="preserve">provide the legal basis for </w:t>
      </w:r>
      <w:r w:rsidR="00FB08EF">
        <w:rPr>
          <w:szCs w:val="24"/>
        </w:rPr>
        <w:t>the obligation</w:t>
      </w:r>
      <w:r w:rsidRPr="00FB08EF">
        <w:rPr>
          <w:szCs w:val="24"/>
        </w:rPr>
        <w:t xml:space="preserve"> to prevent damage.</w:t>
      </w:r>
    </w:p>
    <w:p w14:paraId="5B33F366" w14:textId="254C14D9" w:rsidR="000747B3" w:rsidRPr="00FB08EF" w:rsidRDefault="001D29C3" w:rsidP="00F9312C">
      <w:pPr>
        <w:spacing w:line="360" w:lineRule="auto"/>
        <w:rPr>
          <w:szCs w:val="24"/>
        </w:rPr>
      </w:pPr>
      <w:r w:rsidRPr="00FB08EF">
        <w:rPr>
          <w:szCs w:val="24"/>
        </w:rPr>
        <w:t xml:space="preserve">An example is the case of serious nuisance from pile driving in the city of Eindhoven. With a permit of the municipality, a building company undertook works of pile driving for the construction of a new apartment building. The heavy sounds of the work caused nuisance for </w:t>
      </w:r>
      <w:r w:rsidR="00FB08EF">
        <w:rPr>
          <w:szCs w:val="24"/>
        </w:rPr>
        <w:t>neighbouring</w:t>
      </w:r>
      <w:r w:rsidRPr="00FB08EF">
        <w:rPr>
          <w:szCs w:val="24"/>
        </w:rPr>
        <w:t xml:space="preserve"> houses</w:t>
      </w:r>
      <w:r w:rsidR="00FB08EF">
        <w:rPr>
          <w:szCs w:val="24"/>
        </w:rPr>
        <w:t>.</w:t>
      </w:r>
      <w:r w:rsidRPr="00FB08EF">
        <w:rPr>
          <w:szCs w:val="24"/>
        </w:rPr>
        <w:t xml:space="preserve"> </w:t>
      </w:r>
      <w:r w:rsidR="00FB08EF">
        <w:rPr>
          <w:szCs w:val="24"/>
        </w:rPr>
        <w:t xml:space="preserve">A </w:t>
      </w:r>
      <w:r w:rsidRPr="00FB08EF">
        <w:rPr>
          <w:szCs w:val="24"/>
        </w:rPr>
        <w:t xml:space="preserve">number of </w:t>
      </w:r>
      <w:r w:rsidR="00FB08EF">
        <w:rPr>
          <w:szCs w:val="24"/>
        </w:rPr>
        <w:t>residents of the area</w:t>
      </w:r>
      <w:r w:rsidRPr="00FB08EF">
        <w:rPr>
          <w:szCs w:val="24"/>
        </w:rPr>
        <w:t xml:space="preserve"> submitted a civil claim at the district court for a preliminary injunction </w:t>
      </w:r>
      <w:r w:rsidR="000747B3" w:rsidRPr="00FB08EF">
        <w:rPr>
          <w:szCs w:val="24"/>
        </w:rPr>
        <w:t xml:space="preserve">for the builder </w:t>
      </w:r>
      <w:r w:rsidRPr="00FB08EF">
        <w:rPr>
          <w:szCs w:val="24"/>
        </w:rPr>
        <w:t xml:space="preserve">to stop the work, until a more silent way to carry out the work </w:t>
      </w:r>
      <w:r w:rsidR="00FB08EF">
        <w:rPr>
          <w:szCs w:val="24"/>
        </w:rPr>
        <w:t>w</w:t>
      </w:r>
      <w:r w:rsidRPr="00FB08EF">
        <w:rPr>
          <w:szCs w:val="24"/>
        </w:rPr>
        <w:t xml:space="preserve">as found. They based their claim on article 3:396 Civil Code. The court found that the disturbance might be classified as tort. However, </w:t>
      </w:r>
      <w:r w:rsidR="00FB08EF">
        <w:rPr>
          <w:szCs w:val="24"/>
        </w:rPr>
        <w:t>it</w:t>
      </w:r>
      <w:r w:rsidRPr="00FB08EF">
        <w:rPr>
          <w:szCs w:val="24"/>
        </w:rPr>
        <w:t xml:space="preserve"> declined to order a prohibition of the works, because of to the presence of compelling social interest in terms of housing construction and </w:t>
      </w:r>
      <w:r w:rsidR="00FB08EF">
        <w:rPr>
          <w:szCs w:val="24"/>
        </w:rPr>
        <w:t xml:space="preserve">that </w:t>
      </w:r>
      <w:r w:rsidRPr="00FB08EF">
        <w:rPr>
          <w:szCs w:val="24"/>
        </w:rPr>
        <w:t>measures</w:t>
      </w:r>
      <w:r w:rsidR="00FB08EF">
        <w:rPr>
          <w:szCs w:val="24"/>
        </w:rPr>
        <w:t xml:space="preserve"> had been taken</w:t>
      </w:r>
      <w:r w:rsidRPr="00FB08EF">
        <w:rPr>
          <w:szCs w:val="24"/>
        </w:rPr>
        <w:t xml:space="preserve"> to limit</w:t>
      </w:r>
      <w:r w:rsidR="00FB08EF">
        <w:rPr>
          <w:szCs w:val="24"/>
        </w:rPr>
        <w:t xml:space="preserve"> the</w:t>
      </w:r>
      <w:r w:rsidRPr="00FB08EF">
        <w:rPr>
          <w:szCs w:val="24"/>
        </w:rPr>
        <w:t xml:space="preserve"> nuisance as much as possible.</w:t>
      </w:r>
      <w:r w:rsidRPr="00FB08EF">
        <w:rPr>
          <w:rStyle w:val="FootnoteReference"/>
          <w:sz w:val="24"/>
          <w:szCs w:val="24"/>
        </w:rPr>
        <w:footnoteReference w:id="206"/>
      </w:r>
    </w:p>
    <w:p w14:paraId="469C5D8C" w14:textId="213970B0" w:rsidR="001D29C3" w:rsidRPr="00FB08EF" w:rsidRDefault="000747B3" w:rsidP="00F9312C">
      <w:pPr>
        <w:spacing w:line="360" w:lineRule="auto"/>
        <w:rPr>
          <w:szCs w:val="24"/>
        </w:rPr>
      </w:pPr>
      <w:r w:rsidRPr="00FB08EF">
        <w:rPr>
          <w:szCs w:val="24"/>
        </w:rPr>
        <w:t>The obligation based on</w:t>
      </w:r>
      <w:r w:rsidR="00BC1033">
        <w:rPr>
          <w:szCs w:val="24"/>
        </w:rPr>
        <w:t xml:space="preserve"> article </w:t>
      </w:r>
      <w:r w:rsidRPr="00FB08EF">
        <w:rPr>
          <w:szCs w:val="24"/>
        </w:rPr>
        <w:t xml:space="preserve">3:296 Civil Code, to prevent a situation </w:t>
      </w:r>
      <w:r w:rsidR="00FB08EF" w:rsidRPr="00FB08EF">
        <w:rPr>
          <w:szCs w:val="24"/>
        </w:rPr>
        <w:t>from</w:t>
      </w:r>
      <w:r w:rsidRPr="00FB08EF">
        <w:rPr>
          <w:szCs w:val="24"/>
        </w:rPr>
        <w:t xml:space="preserve"> becom</w:t>
      </w:r>
      <w:r w:rsidR="00FB08EF" w:rsidRPr="00FB08EF">
        <w:rPr>
          <w:szCs w:val="24"/>
        </w:rPr>
        <w:t>ing</w:t>
      </w:r>
      <w:r w:rsidRPr="00FB08EF">
        <w:rPr>
          <w:szCs w:val="24"/>
        </w:rPr>
        <w:t xml:space="preserve"> hazardous, does not include the introduction of new legislation by the State.</w:t>
      </w:r>
      <w:r w:rsidRPr="00FB08EF">
        <w:rPr>
          <w:rStyle w:val="FootnoteReference"/>
          <w:sz w:val="24"/>
          <w:szCs w:val="24"/>
        </w:rPr>
        <w:footnoteReference w:id="207"/>
      </w:r>
    </w:p>
    <w:p w14:paraId="6E4A158F" w14:textId="49499D8E" w:rsidR="00300557" w:rsidRDefault="00FB08EF" w:rsidP="00F9312C">
      <w:pPr>
        <w:spacing w:line="360" w:lineRule="auto"/>
        <w:rPr>
          <w:szCs w:val="24"/>
        </w:rPr>
      </w:pPr>
      <w:r w:rsidRPr="00FB08EF">
        <w:rPr>
          <w:szCs w:val="24"/>
        </w:rPr>
        <w:t>So far, no case law is known in which individuals or NGOs have invoked this article to prevent hazardous situations in relation to pedestrians.</w:t>
      </w:r>
      <w:r w:rsidR="00E038F8">
        <w:rPr>
          <w:szCs w:val="24"/>
        </w:rPr>
        <w:t xml:space="preserve"> This may be due to the fact that a civil procedure is lengthy and costly. </w:t>
      </w:r>
      <w:proofErr w:type="gramStart"/>
      <w:r w:rsidR="00E038F8">
        <w:rPr>
          <w:szCs w:val="24"/>
        </w:rPr>
        <w:t xml:space="preserve">Lengthy </w:t>
      </w:r>
      <w:r w:rsidR="00D04BE0">
        <w:rPr>
          <w:szCs w:val="24"/>
        </w:rPr>
        <w:t>in the sense that a civil case generally lasts around 60 weeks.</w:t>
      </w:r>
      <w:proofErr w:type="gramEnd"/>
      <w:r w:rsidR="00D04BE0">
        <w:rPr>
          <w:rStyle w:val="FootnoteReference"/>
          <w:szCs w:val="24"/>
        </w:rPr>
        <w:footnoteReference w:id="208"/>
      </w:r>
      <w:r w:rsidR="00E038F8">
        <w:rPr>
          <w:szCs w:val="24"/>
        </w:rPr>
        <w:t xml:space="preserve"> </w:t>
      </w:r>
      <w:proofErr w:type="gramStart"/>
      <w:r w:rsidR="00D04BE0">
        <w:rPr>
          <w:szCs w:val="24"/>
        </w:rPr>
        <w:t>Costly, in the sense that often there is mandatory legal representation by an advocate.</w:t>
      </w:r>
      <w:proofErr w:type="gramEnd"/>
      <w:r w:rsidR="00D04BE0">
        <w:rPr>
          <w:szCs w:val="24"/>
        </w:rPr>
        <w:t xml:space="preserve"> </w:t>
      </w:r>
      <w:r w:rsidR="00E038F8">
        <w:rPr>
          <w:szCs w:val="24"/>
        </w:rPr>
        <w:t>For persons with a low income,</w:t>
      </w:r>
      <w:r w:rsidR="00D04BE0">
        <w:rPr>
          <w:rStyle w:val="FootnoteReference"/>
          <w:szCs w:val="24"/>
        </w:rPr>
        <w:footnoteReference w:id="209"/>
      </w:r>
      <w:r w:rsidR="00E038F8">
        <w:rPr>
          <w:szCs w:val="24"/>
        </w:rPr>
        <w:t xml:space="preserve"> </w:t>
      </w:r>
      <w:r w:rsidR="00D04BE0">
        <w:rPr>
          <w:szCs w:val="24"/>
        </w:rPr>
        <w:t>a</w:t>
      </w:r>
      <w:r w:rsidR="00E038F8">
        <w:rPr>
          <w:szCs w:val="24"/>
        </w:rPr>
        <w:t xml:space="preserve"> legal aid scheme </w:t>
      </w:r>
      <w:r w:rsidR="00950504">
        <w:rPr>
          <w:szCs w:val="24"/>
        </w:rPr>
        <w:t>exists. T</w:t>
      </w:r>
      <w:r w:rsidR="00D04BE0">
        <w:rPr>
          <w:szCs w:val="24"/>
        </w:rPr>
        <w:t>h</w:t>
      </w:r>
      <w:r w:rsidR="00950504">
        <w:rPr>
          <w:szCs w:val="24"/>
        </w:rPr>
        <w:t xml:space="preserve">ose eligible for the scheme are required to pay a contribution between </w:t>
      </w:r>
      <w:r w:rsidR="004647A2">
        <w:rPr>
          <w:szCs w:val="24"/>
        </w:rPr>
        <w:t>20</w:t>
      </w:r>
      <w:r w:rsidR="00950504">
        <w:rPr>
          <w:szCs w:val="24"/>
        </w:rPr>
        <w:t>3 € and 8</w:t>
      </w:r>
      <w:r w:rsidR="004647A2">
        <w:rPr>
          <w:szCs w:val="24"/>
        </w:rPr>
        <w:t>53</w:t>
      </w:r>
      <w:r w:rsidR="00950504">
        <w:rPr>
          <w:szCs w:val="24"/>
        </w:rPr>
        <w:t xml:space="preserve"> € per case to engage a lawyer.</w:t>
      </w:r>
      <w:r w:rsidR="00950504">
        <w:rPr>
          <w:rStyle w:val="FootnoteReference"/>
          <w:szCs w:val="24"/>
        </w:rPr>
        <w:footnoteReference w:id="210"/>
      </w:r>
    </w:p>
    <w:p w14:paraId="00CF0806" w14:textId="77777777" w:rsidR="00E038F8" w:rsidRDefault="00E038F8" w:rsidP="00F9312C">
      <w:pPr>
        <w:spacing w:line="360" w:lineRule="auto"/>
      </w:pPr>
    </w:p>
    <w:p w14:paraId="75607612" w14:textId="50C642D3" w:rsidR="00EC74AF" w:rsidRPr="00EC74AF" w:rsidRDefault="00EC74AF" w:rsidP="00F9312C">
      <w:pPr>
        <w:spacing w:line="360" w:lineRule="auto"/>
        <w:rPr>
          <w:i/>
          <w:iCs/>
        </w:rPr>
      </w:pPr>
      <w:r w:rsidRPr="00EC74AF">
        <w:rPr>
          <w:i/>
          <w:iCs/>
        </w:rPr>
        <w:t>Damages</w:t>
      </w:r>
    </w:p>
    <w:p w14:paraId="6732A9BF" w14:textId="34CF1B5C" w:rsidR="00B21DED" w:rsidRDefault="005E1E4A" w:rsidP="00F9312C">
      <w:pPr>
        <w:spacing w:line="360" w:lineRule="auto"/>
      </w:pPr>
      <w:r>
        <w:t xml:space="preserve">In cases of </w:t>
      </w:r>
      <w:r w:rsidR="008D1476">
        <w:t>safeguarding pedestrians fr</w:t>
      </w:r>
      <w:r w:rsidR="005C6F37">
        <w:t>o</w:t>
      </w:r>
      <w:r w:rsidR="008D1476">
        <w:t xml:space="preserve">m obstacles, damaged roads and other hazards, the provisions of the Civil Code are important sources of law. The main two provisions are the  liability of the proprietor of a road or building, </w:t>
      </w:r>
      <w:r w:rsidR="00FB08EF">
        <w:t xml:space="preserve">Book 6 </w:t>
      </w:r>
      <w:r w:rsidR="008D1476">
        <w:t>article 174 Civil Code</w:t>
      </w:r>
      <w:r w:rsidR="005F4F85">
        <w:t xml:space="preserve"> and the</w:t>
      </w:r>
      <w:r w:rsidR="005F4F85" w:rsidRPr="005F4F85">
        <w:t xml:space="preserve"> </w:t>
      </w:r>
      <w:r w:rsidR="005F4F85">
        <w:t xml:space="preserve">general tort provision, </w:t>
      </w:r>
      <w:r w:rsidR="00FB08EF">
        <w:t xml:space="preserve">Book 6 </w:t>
      </w:r>
      <w:r w:rsidR="005F4F85">
        <w:t>article 162 Civil Code.</w:t>
      </w:r>
    </w:p>
    <w:p w14:paraId="5F7D7003" w14:textId="77777777" w:rsidR="00B21DED" w:rsidRDefault="00B21DED" w:rsidP="00F9312C">
      <w:pPr>
        <w:spacing w:line="360" w:lineRule="auto"/>
        <w:ind w:left="720"/>
      </w:pPr>
    </w:p>
    <w:p w14:paraId="2CD0AD5C" w14:textId="07F20ECF" w:rsidR="00496E0A" w:rsidRPr="00F9312C" w:rsidRDefault="00496E0A" w:rsidP="00F9312C">
      <w:pPr>
        <w:pStyle w:val="Heading3"/>
        <w:spacing w:line="360" w:lineRule="auto"/>
        <w:rPr>
          <w:b/>
          <w:bCs w:val="0"/>
        </w:rPr>
      </w:pPr>
      <w:r w:rsidRPr="00F9312C">
        <w:rPr>
          <w:b/>
          <w:bCs w:val="0"/>
        </w:rPr>
        <w:t xml:space="preserve">C1.1 </w:t>
      </w:r>
      <w:r w:rsidR="00094A1C" w:rsidRPr="00F9312C">
        <w:rPr>
          <w:b/>
          <w:bCs w:val="0"/>
        </w:rPr>
        <w:t>Civil Code, Book 6 article 174.</w:t>
      </w:r>
    </w:p>
    <w:p w14:paraId="581DD2A7" w14:textId="77777777" w:rsidR="00094A1C" w:rsidRDefault="00094A1C" w:rsidP="00F9312C">
      <w:pPr>
        <w:pStyle w:val="ListParagraph"/>
        <w:spacing w:line="360" w:lineRule="auto"/>
        <w:ind w:left="1800"/>
      </w:pPr>
    </w:p>
    <w:p w14:paraId="5C975ED0" w14:textId="6B3EFA5B" w:rsidR="00496E0A" w:rsidRPr="004647A2" w:rsidRDefault="001F023C" w:rsidP="00F9312C">
      <w:pPr>
        <w:spacing w:line="360" w:lineRule="auto"/>
        <w:rPr>
          <w:b/>
          <w:bCs/>
        </w:rPr>
      </w:pPr>
      <w:r>
        <w:rPr>
          <w:b/>
          <w:bCs/>
        </w:rPr>
        <w:t>(</w:t>
      </w:r>
      <w:proofErr w:type="gramStart"/>
      <w:r>
        <w:rPr>
          <w:b/>
          <w:bCs/>
        </w:rPr>
        <w:t>a</w:t>
      </w:r>
      <w:proofErr w:type="gramEnd"/>
      <w:r>
        <w:rPr>
          <w:b/>
          <w:bCs/>
        </w:rPr>
        <w:t>) Description and Examples</w:t>
      </w:r>
    </w:p>
    <w:p w14:paraId="60DFA2B2" w14:textId="6B9D6622" w:rsidR="003A4541" w:rsidRDefault="004647A2" w:rsidP="00F9312C">
      <w:pPr>
        <w:spacing w:line="360" w:lineRule="auto"/>
      </w:pPr>
      <w:r>
        <w:t>The section of the Civil Code codifies the l</w:t>
      </w:r>
      <w:r w:rsidR="005A5C9C">
        <w:t>iability for damages as a result of failure to prevent use</w:t>
      </w:r>
      <w:r w:rsidR="00F8717B">
        <w:t>r</w:t>
      </w:r>
      <w:r w:rsidR="005A5C9C">
        <w:t>s from danger. The full text</w:t>
      </w:r>
      <w:r>
        <w:t xml:space="preserve"> of article 6:174 Civil Code</w:t>
      </w:r>
      <w:r w:rsidR="005A5C9C">
        <w:t xml:space="preserve"> reads: </w:t>
      </w:r>
      <w:r w:rsidR="005A5C9C" w:rsidRPr="00F8717B">
        <w:rPr>
          <w:i/>
          <w:iCs/>
        </w:rPr>
        <w:t xml:space="preserve">The owner of a </w:t>
      </w:r>
      <w:r w:rsidR="00F8717B" w:rsidRPr="00F8717B">
        <w:rPr>
          <w:i/>
          <w:iCs/>
        </w:rPr>
        <w:t>premises</w:t>
      </w:r>
      <w:r w:rsidR="005A5C9C" w:rsidRPr="00F8717B">
        <w:rPr>
          <w:i/>
          <w:iCs/>
        </w:rPr>
        <w:t xml:space="preserve"> that does not meet the requirements that may be </w:t>
      </w:r>
      <w:r w:rsidR="00276067">
        <w:rPr>
          <w:i/>
          <w:iCs/>
        </w:rPr>
        <w:t>expected</w:t>
      </w:r>
      <w:r w:rsidR="005A5C9C" w:rsidRPr="00F8717B">
        <w:rPr>
          <w:i/>
          <w:iCs/>
        </w:rPr>
        <w:t xml:space="preserve"> </w:t>
      </w:r>
      <w:r w:rsidR="00276067">
        <w:rPr>
          <w:i/>
          <w:iCs/>
        </w:rPr>
        <w:t>from</w:t>
      </w:r>
      <w:r w:rsidR="005A5C9C" w:rsidRPr="00F8717B">
        <w:rPr>
          <w:i/>
          <w:iCs/>
        </w:rPr>
        <w:t xml:space="preserve"> it in the given circumstances, and thereby poses a danger to persons or property, is liable, when this danger arises, unless liability pursuant to the previous section would have been missing had he known this danger at the time of its creation.</w:t>
      </w:r>
      <w:r w:rsidR="00F8717B">
        <w:rPr>
          <w:i/>
          <w:iCs/>
        </w:rPr>
        <w:t xml:space="preserve"> </w:t>
      </w:r>
      <w:r w:rsidR="00F8717B">
        <w:t xml:space="preserve">In these cases, a risk liability exists for the </w:t>
      </w:r>
      <w:r w:rsidR="009A769D">
        <w:t>proprietor</w:t>
      </w:r>
      <w:r w:rsidR="00F8717B">
        <w:t xml:space="preserve"> of a street or pedestrian area.</w:t>
      </w:r>
      <w:r w:rsidR="003B7A4B">
        <w:t xml:space="preserve"> Culpability does not need to be established.</w:t>
      </w:r>
    </w:p>
    <w:p w14:paraId="62CBB5C7" w14:textId="77777777" w:rsidR="003A4541" w:rsidRDefault="003A4541" w:rsidP="00F9312C">
      <w:pPr>
        <w:spacing w:line="360" w:lineRule="auto"/>
      </w:pPr>
    </w:p>
    <w:p w14:paraId="4806B293" w14:textId="61309B6E" w:rsidR="008A5E93" w:rsidRDefault="003A4541" w:rsidP="00F9312C">
      <w:pPr>
        <w:spacing w:line="360" w:lineRule="auto"/>
      </w:pPr>
      <w:r>
        <w:t>The liability of a public body based on article 6:174 Civil Code has been interpreted by the Supreme Court of the Netherlands</w:t>
      </w:r>
      <w:r w:rsidR="00187598">
        <w:t xml:space="preserve"> (SC) in several cases</w:t>
      </w:r>
      <w:r>
        <w:t xml:space="preserve">. </w:t>
      </w:r>
      <w:r w:rsidR="00187598">
        <w:t>From the reasoning of t</w:t>
      </w:r>
      <w:r>
        <w:t>he SC</w:t>
      </w:r>
      <w:r w:rsidR="00187598">
        <w:t xml:space="preserve"> in these cases, it can be concluded</w:t>
      </w:r>
      <w:r>
        <w:t xml:space="preserve"> </w:t>
      </w:r>
      <w:r w:rsidRPr="003A4541">
        <w:t xml:space="preserve">that </w:t>
      </w:r>
      <w:r w:rsidR="00187598">
        <w:t>as a</w:t>
      </w:r>
      <w:r w:rsidRPr="003A4541">
        <w:t xml:space="preserve"> general</w:t>
      </w:r>
      <w:r w:rsidR="00187598">
        <w:t xml:space="preserve"> principle,</w:t>
      </w:r>
      <w:r w:rsidRPr="003A4541">
        <w:t xml:space="preserve"> everyone should be attentive and careful to avoid accidents. However, some situations are so dangerous that certain safety measures must be taken to prevent that danger from being realized. If such measures are not taken in such a situation, this may </w:t>
      </w:r>
      <w:r w:rsidR="00030F62">
        <w:t>go</w:t>
      </w:r>
      <w:r w:rsidR="00030F62" w:rsidRPr="00030F62">
        <w:t xml:space="preserve"> against the care that is appropriate in society with regard to another person or good, </w:t>
      </w:r>
      <w:r w:rsidRPr="003A4541">
        <w:t>and therefore unlawful.</w:t>
      </w:r>
      <w:r w:rsidR="00030F62">
        <w:rPr>
          <w:rStyle w:val="FootnoteReference"/>
        </w:rPr>
        <w:footnoteReference w:id="211"/>
      </w:r>
      <w:r w:rsidRPr="003A4541">
        <w:t xml:space="preserve"> Whether in a specific case there is a conflict with </w:t>
      </w:r>
      <w:r w:rsidR="00030F62">
        <w:t xml:space="preserve">this </w:t>
      </w:r>
      <w:r w:rsidRPr="003A4541">
        <w:t xml:space="preserve">social </w:t>
      </w:r>
      <w:r w:rsidR="00187598" w:rsidRPr="003A4541">
        <w:t>re</w:t>
      </w:r>
      <w:r w:rsidR="00187598">
        <w:t>sponsibility</w:t>
      </w:r>
      <w:r w:rsidR="00187598" w:rsidRPr="003A4541">
        <w:t xml:space="preserve"> </w:t>
      </w:r>
      <w:r w:rsidRPr="003A4541">
        <w:t xml:space="preserve">depends on the circumstances of the case. This could include the following </w:t>
      </w:r>
      <w:r w:rsidR="00364E36">
        <w:t>questions</w:t>
      </w:r>
      <w:r w:rsidRPr="003A4541">
        <w:t xml:space="preserve">: how likely is it that a person will not observe the required alertness and prudence, how likely is this non-observance to cause an accident, and what is the expected severity of the accident? </w:t>
      </w:r>
      <w:r w:rsidR="00364E36">
        <w:t xml:space="preserve">And what are the </w:t>
      </w:r>
      <w:r w:rsidRPr="003A4541">
        <w:t>consequences of such an accident and, finally, how inconvenient it is to take appropriate safety measures</w:t>
      </w:r>
      <w:r w:rsidR="00364E36">
        <w:t>?</w:t>
      </w:r>
    </w:p>
    <w:p w14:paraId="31608EF6" w14:textId="77777777" w:rsidR="00F3766D" w:rsidRDefault="00F3766D" w:rsidP="00F9312C">
      <w:pPr>
        <w:spacing w:line="360" w:lineRule="auto"/>
      </w:pPr>
    </w:p>
    <w:p w14:paraId="63F0F4E6" w14:textId="126C1CBE" w:rsidR="00F3766D" w:rsidRDefault="00F3766D" w:rsidP="00F9312C">
      <w:pPr>
        <w:spacing w:line="360" w:lineRule="auto"/>
      </w:pPr>
      <w:r>
        <w:t>A</w:t>
      </w:r>
      <w:r w:rsidRPr="00F3766D">
        <w:t xml:space="preserve"> generally accepted doctrine </w:t>
      </w:r>
      <w:r>
        <w:t xml:space="preserve">is </w:t>
      </w:r>
      <w:r w:rsidRPr="00F3766D">
        <w:t>the obligation to limit damage</w:t>
      </w:r>
      <w:r>
        <w:t>. This</w:t>
      </w:r>
      <w:r w:rsidRPr="00F3766D">
        <w:t xml:space="preserve"> requires that an injured party who suffers damage from another person must not sit still, but</w:t>
      </w:r>
      <w:r w:rsidR="00BC1033">
        <w:t xml:space="preserve"> has to</w:t>
      </w:r>
      <w:r w:rsidRPr="00F3766D">
        <w:t xml:space="preserve"> limit the damage as much as possible. If the injured party does not do this, he will not be fully compensated for his damage. This is </w:t>
      </w:r>
      <w:r w:rsidR="00BC1033">
        <w:t>the content of</w:t>
      </w:r>
      <w:r w:rsidRPr="00F3766D">
        <w:t xml:space="preserve"> the Civil Code in </w:t>
      </w:r>
      <w:r w:rsidR="00BC1033">
        <w:t>a</w:t>
      </w:r>
      <w:r w:rsidRPr="00F3766D">
        <w:t>rticle 6:101</w:t>
      </w:r>
      <w:r>
        <w:t>.</w:t>
      </w:r>
      <w:r>
        <w:rPr>
          <w:rStyle w:val="FootnoteReference"/>
        </w:rPr>
        <w:footnoteReference w:id="212"/>
      </w:r>
    </w:p>
    <w:p w14:paraId="2228C9D6" w14:textId="77777777" w:rsidR="00F3766D" w:rsidRDefault="00F3766D" w:rsidP="00F9312C">
      <w:pPr>
        <w:spacing w:line="360" w:lineRule="auto"/>
      </w:pPr>
    </w:p>
    <w:p w14:paraId="6F582C44" w14:textId="7A2ECF65" w:rsidR="008A5E93" w:rsidRDefault="00187598" w:rsidP="00F9312C">
      <w:pPr>
        <w:spacing w:line="360" w:lineRule="auto"/>
      </w:pPr>
      <w:r>
        <w:t xml:space="preserve">The Dutch Supreme Court </w:t>
      </w:r>
      <w:r w:rsidR="00124841">
        <w:t>has adjudicated a number of cases relating to liability of public bodies for damages as a result of negligence in design or maintenance. These judgments illustrate the criteria described above. Two specific cases are presented here.</w:t>
      </w:r>
    </w:p>
    <w:p w14:paraId="35C2669A" w14:textId="43E88603" w:rsidR="008A5E93" w:rsidRPr="00183CA0" w:rsidRDefault="008A5E93" w:rsidP="00F9312C">
      <w:pPr>
        <w:spacing w:line="360" w:lineRule="auto"/>
      </w:pPr>
    </w:p>
    <w:p w14:paraId="478FA180" w14:textId="7F1410EA" w:rsidR="00124841" w:rsidRDefault="00124841" w:rsidP="00F9312C">
      <w:pPr>
        <w:spacing w:line="360" w:lineRule="auto"/>
      </w:pPr>
      <w:r>
        <w:t>Case 1: L</w:t>
      </w:r>
      <w:r w:rsidR="008A5E93">
        <w:t>iability of a Water Board for damages</w:t>
      </w:r>
      <w:r>
        <w:t xml:space="preserve"> (</w:t>
      </w:r>
      <w:r w:rsidRPr="00F3766D">
        <w:rPr>
          <w:i/>
          <w:iCs/>
        </w:rPr>
        <w:t xml:space="preserve">Peat Dike </w:t>
      </w:r>
      <w:proofErr w:type="spellStart"/>
      <w:r w:rsidRPr="00F3766D">
        <w:rPr>
          <w:i/>
          <w:iCs/>
        </w:rPr>
        <w:t>Wilnis</w:t>
      </w:r>
      <w:proofErr w:type="spellEnd"/>
      <w:r>
        <w:t>)</w:t>
      </w:r>
      <w:r w:rsidR="005C6F37">
        <w:t>.</w:t>
      </w:r>
      <w:r w:rsidR="008A5E93">
        <w:t xml:space="preserve"> </w:t>
      </w:r>
    </w:p>
    <w:p w14:paraId="4D0BF4CB" w14:textId="1DEC7B69" w:rsidR="008A5E93" w:rsidRDefault="005C6F37" w:rsidP="00F9312C">
      <w:pPr>
        <w:spacing w:line="360" w:lineRule="auto"/>
      </w:pPr>
      <w:r>
        <w:t>A</w:t>
      </w:r>
      <w:r w:rsidR="008A5E93">
        <w:t xml:space="preserve">s a result of </w:t>
      </w:r>
      <w:r>
        <w:t xml:space="preserve">the </w:t>
      </w:r>
      <w:r w:rsidR="008A5E93">
        <w:t xml:space="preserve">shifting of a large </w:t>
      </w:r>
      <w:r w:rsidR="00124841">
        <w:t xml:space="preserve">canal </w:t>
      </w:r>
      <w:r w:rsidR="008A5E93">
        <w:t>quay,</w:t>
      </w:r>
      <w:r w:rsidR="008A5E93" w:rsidRPr="008A5E93">
        <w:t xml:space="preserve"> </w:t>
      </w:r>
      <w:r w:rsidR="008A5E93">
        <w:t>a</w:t>
      </w:r>
      <w:r w:rsidR="008A5E93" w:rsidRPr="008A5E93">
        <w:t xml:space="preserve"> regional flood defen</w:t>
      </w:r>
      <w:r w:rsidR="008A5E93">
        <w:t>c</w:t>
      </w:r>
      <w:r w:rsidR="008A5E93" w:rsidRPr="008A5E93">
        <w:t>e</w:t>
      </w:r>
      <w:r>
        <w:t xml:space="preserve"> broke and a vast area of land was flooded</w:t>
      </w:r>
      <w:r w:rsidR="008A5E93" w:rsidRPr="008A5E93">
        <w:t>.</w:t>
      </w:r>
      <w:r>
        <w:t xml:space="preserve"> Houses and private property were damaged and the municipality</w:t>
      </w:r>
      <w:r w:rsidR="00124841">
        <w:t xml:space="preserve"> of </w:t>
      </w:r>
      <w:proofErr w:type="spellStart"/>
      <w:r w:rsidR="00124841">
        <w:t>Wilnis</w:t>
      </w:r>
      <w:proofErr w:type="spellEnd"/>
      <w:r>
        <w:t xml:space="preserve"> incurred a large amount of costs for the repair of the damaged </w:t>
      </w:r>
      <w:r w:rsidR="00124841">
        <w:t>houses, roads and agricultural fields</w:t>
      </w:r>
      <w:r>
        <w:t xml:space="preserve">. </w:t>
      </w:r>
      <w:r w:rsidR="00F3766D">
        <w:t>The municipality</w:t>
      </w:r>
      <w:r>
        <w:t xml:space="preserve"> tried to claim the damages from the </w:t>
      </w:r>
      <w:r w:rsidR="00124841">
        <w:t>W</w:t>
      </w:r>
      <w:r>
        <w:t xml:space="preserve">ater </w:t>
      </w:r>
      <w:r w:rsidR="00124841">
        <w:t>B</w:t>
      </w:r>
      <w:r>
        <w:t xml:space="preserve">oard, stating that the </w:t>
      </w:r>
      <w:r w:rsidRPr="005C6F37">
        <w:t>damage occurred as a result of overdue maintenance</w:t>
      </w:r>
      <w:r>
        <w:t xml:space="preserve">. The court procedure led to </w:t>
      </w:r>
      <w:r w:rsidR="00124841">
        <w:t xml:space="preserve">a judgment of </w:t>
      </w:r>
      <w:r>
        <w:t xml:space="preserve">the Supreme Court. </w:t>
      </w:r>
    </w:p>
    <w:p w14:paraId="5490481B" w14:textId="458385FB" w:rsidR="00851CA4" w:rsidRDefault="00851CA4" w:rsidP="00F9312C">
      <w:pPr>
        <w:spacing w:line="360" w:lineRule="auto"/>
      </w:pPr>
      <w:r>
        <w:t>The SC attributed the following criteria to the question about liability of a public body:</w:t>
      </w:r>
    </w:p>
    <w:p w14:paraId="61B7C89F" w14:textId="57D60F9C" w:rsidR="00851CA4" w:rsidRDefault="005F4F85" w:rsidP="00F9312C">
      <w:pPr>
        <w:spacing w:line="360" w:lineRule="auto"/>
      </w:pPr>
      <w:r>
        <w:t>Para 4.4.3</w:t>
      </w:r>
      <w:r w:rsidR="00094A1C">
        <w:t xml:space="preserve"> </w:t>
      </w:r>
      <w:r>
        <w:t>“</w:t>
      </w:r>
      <w:r w:rsidR="00851CA4" w:rsidRPr="00851CA4">
        <w:t xml:space="preserve">the question of whether the condition is defective depends on various circumstances, including the nature of the </w:t>
      </w:r>
      <w:r w:rsidR="00187598">
        <w:t>construction</w:t>
      </w:r>
      <w:r w:rsidR="00851CA4" w:rsidRPr="00851CA4">
        <w:t xml:space="preserve"> (for example, a building or work that is open to the public or a closed house or work on enclosed grounds), the function of the </w:t>
      </w:r>
      <w:r w:rsidR="00187598">
        <w:t>construction</w:t>
      </w:r>
      <w:r w:rsidR="00851CA4" w:rsidRPr="00851CA4">
        <w:t xml:space="preserve">, the physical condition of the </w:t>
      </w:r>
      <w:r w:rsidR="00187598">
        <w:t>construction</w:t>
      </w:r>
      <w:r w:rsidR="00187598" w:rsidRPr="00851CA4">
        <w:t xml:space="preserve"> </w:t>
      </w:r>
      <w:r w:rsidR="00851CA4" w:rsidRPr="00851CA4">
        <w:t xml:space="preserve">at the time of the realization of the danger and the expected use of the </w:t>
      </w:r>
      <w:r w:rsidR="00187598">
        <w:t>construction</w:t>
      </w:r>
      <w:r w:rsidR="00187598" w:rsidRPr="00851CA4">
        <w:t xml:space="preserve"> </w:t>
      </w:r>
      <w:r w:rsidR="00851CA4" w:rsidRPr="00851CA4">
        <w:t xml:space="preserve">by third parties. Furthermore, the magnitude of the probability of realizing the danger associated with the </w:t>
      </w:r>
      <w:r w:rsidR="00187598">
        <w:t>construction</w:t>
      </w:r>
      <w:r w:rsidR="00187598" w:rsidRPr="00851CA4">
        <w:t xml:space="preserve"> </w:t>
      </w:r>
      <w:r w:rsidR="00851CA4" w:rsidRPr="00851CA4">
        <w:t xml:space="preserve">should be taken into account, as well as the possibility and objection of security measures to be taken. In the event that liability rests with a </w:t>
      </w:r>
      <w:r w:rsidR="00851CA4">
        <w:t>public</w:t>
      </w:r>
      <w:r w:rsidR="00851CA4" w:rsidRPr="00851CA4">
        <w:t xml:space="preserve"> body, this can also be attributed to the freedom of policy and the available financial resources.</w:t>
      </w:r>
      <w:r>
        <w:t>”</w:t>
      </w:r>
      <w:r w:rsidR="00364E36" w:rsidRPr="00364E36">
        <w:rPr>
          <w:rStyle w:val="FootnoteReference"/>
        </w:rPr>
        <w:t xml:space="preserve"> </w:t>
      </w:r>
      <w:r w:rsidR="00364E36">
        <w:rPr>
          <w:rStyle w:val="FootnoteReference"/>
        </w:rPr>
        <w:footnoteReference w:id="213"/>
      </w:r>
    </w:p>
    <w:p w14:paraId="3B313F97" w14:textId="6B61602A" w:rsidR="00142E42" w:rsidRDefault="00142E42" w:rsidP="00F9312C">
      <w:pPr>
        <w:spacing w:line="360" w:lineRule="auto"/>
      </w:pPr>
    </w:p>
    <w:p w14:paraId="02200F94" w14:textId="64E07CE3" w:rsidR="00142E42" w:rsidRPr="00142E42" w:rsidRDefault="00124841" w:rsidP="00F9312C">
      <w:pPr>
        <w:spacing w:line="360" w:lineRule="auto"/>
        <w:rPr>
          <w:rFonts w:ascii="Times New Roman" w:eastAsia="Times New Roman" w:hAnsi="Times New Roman"/>
          <w:sz w:val="36"/>
          <w:lang w:eastAsia="nl-NL"/>
        </w:rPr>
      </w:pPr>
      <w:r>
        <w:t>Case 2: Liability of a municipality for a fall</w:t>
      </w:r>
      <w:r w:rsidR="00BC1033">
        <w:t>en</w:t>
      </w:r>
      <w:r>
        <w:t xml:space="preserve"> cyclist.</w:t>
      </w:r>
    </w:p>
    <w:p w14:paraId="3EF24295" w14:textId="77F9BD8C" w:rsidR="00142E42" w:rsidRDefault="00142E42" w:rsidP="00F9312C">
      <w:pPr>
        <w:spacing w:line="360" w:lineRule="auto"/>
      </w:pPr>
      <w:r>
        <w:t xml:space="preserve">A cyclist is overtaken by a lorry on a small road. He needs to veer to the roadside </w:t>
      </w:r>
      <w:r w:rsidR="005F4F85">
        <w:t xml:space="preserve">on the right </w:t>
      </w:r>
      <w:r>
        <w:t xml:space="preserve">to let the lorry pass. </w:t>
      </w:r>
      <w:r w:rsidR="005F4F85">
        <w:t>T</w:t>
      </w:r>
      <w:r w:rsidRPr="00142E42">
        <w:t xml:space="preserve">he front wheel of the </w:t>
      </w:r>
      <w:r>
        <w:t>bicycle</w:t>
      </w:r>
      <w:r w:rsidRPr="00142E42">
        <w:t xml:space="preserve"> g</w:t>
      </w:r>
      <w:r>
        <w:t>ets</w:t>
      </w:r>
      <w:r w:rsidRPr="00142E42">
        <w:t xml:space="preserve"> into </w:t>
      </w:r>
      <w:r w:rsidR="004C0A85">
        <w:t>a</w:t>
      </w:r>
      <w:r w:rsidRPr="00142E42">
        <w:t xml:space="preserve"> gap between </w:t>
      </w:r>
      <w:r w:rsidR="005F4F85">
        <w:t xml:space="preserve">the road and </w:t>
      </w:r>
      <w:r w:rsidRPr="00142E42">
        <w:t>the grass pavers</w:t>
      </w:r>
      <w:r w:rsidR="005F4F85">
        <w:t xml:space="preserve">, which </w:t>
      </w:r>
      <w:r w:rsidR="00851CA4">
        <w:t>has a width of 3 to 6 cm and a depth of 7 to</w:t>
      </w:r>
      <w:r w:rsidR="005F4F85">
        <w:t xml:space="preserve"> </w:t>
      </w:r>
      <w:r w:rsidR="00851CA4">
        <w:t xml:space="preserve">8 cm over a length of </w:t>
      </w:r>
      <w:r w:rsidR="005F49E7">
        <w:t>hundreds of</w:t>
      </w:r>
      <w:r w:rsidR="00851CA4">
        <w:t xml:space="preserve"> meters.</w:t>
      </w:r>
      <w:r w:rsidRPr="00142E42">
        <w:t xml:space="preserve"> </w:t>
      </w:r>
      <w:r w:rsidR="00851CA4">
        <w:t>T</w:t>
      </w:r>
      <w:r w:rsidRPr="00142E42">
        <w:t xml:space="preserve">he cyclist </w:t>
      </w:r>
      <w:r>
        <w:t xml:space="preserve">loses his balance and </w:t>
      </w:r>
      <w:r w:rsidRPr="00142E42">
        <w:t>f</w:t>
      </w:r>
      <w:r>
        <w:t>a</w:t>
      </w:r>
      <w:r w:rsidRPr="00142E42">
        <w:t>ll</w:t>
      </w:r>
      <w:r>
        <w:t>s</w:t>
      </w:r>
      <w:r w:rsidRPr="00142E42">
        <w:t xml:space="preserve"> on the road, just in front of the right-hand front wheels of the trailer</w:t>
      </w:r>
      <w:r>
        <w:t>. As a result</w:t>
      </w:r>
      <w:r w:rsidR="004C0A85">
        <w:t>,</w:t>
      </w:r>
      <w:r>
        <w:t xml:space="preserve"> he sustain</w:t>
      </w:r>
      <w:r w:rsidR="005F49E7">
        <w:t>s</w:t>
      </w:r>
      <w:r>
        <w:t xml:space="preserve"> injuries and incurs medical</w:t>
      </w:r>
      <w:r w:rsidR="005F49E7">
        <w:t xml:space="preserve"> c</w:t>
      </w:r>
      <w:r>
        <w:t xml:space="preserve">osts. </w:t>
      </w:r>
      <w:r w:rsidR="005F49E7">
        <w:t>In the appeal</w:t>
      </w:r>
      <w:r w:rsidR="004C0A85">
        <w:t xml:space="preserve"> in cassation</w:t>
      </w:r>
      <w:r w:rsidR="005F49E7">
        <w:t xml:space="preserve"> procedure, t</w:t>
      </w:r>
      <w:r>
        <w:t xml:space="preserve">he </w:t>
      </w:r>
      <w:r w:rsidR="00187598">
        <w:t xml:space="preserve">Supreme Court </w:t>
      </w:r>
      <w:r w:rsidR="005F49E7">
        <w:t>considers the liability of a municipality for the gap in the road surface and</w:t>
      </w:r>
      <w:r>
        <w:t xml:space="preserve"> </w:t>
      </w:r>
      <w:r w:rsidR="00851CA4">
        <w:t xml:space="preserve">refers to the criteria it developed in </w:t>
      </w:r>
      <w:r w:rsidR="005F4F85">
        <w:t xml:space="preserve">the </w:t>
      </w:r>
      <w:r w:rsidR="005F4F85" w:rsidRPr="005F49E7">
        <w:rPr>
          <w:i/>
          <w:iCs/>
        </w:rPr>
        <w:t xml:space="preserve">Peat Dike </w:t>
      </w:r>
      <w:proofErr w:type="spellStart"/>
      <w:r w:rsidR="005F4F85" w:rsidRPr="005F49E7">
        <w:rPr>
          <w:i/>
          <w:iCs/>
        </w:rPr>
        <w:t>Wilnis</w:t>
      </w:r>
      <w:proofErr w:type="spellEnd"/>
      <w:r w:rsidR="005F4F85">
        <w:t xml:space="preserve"> judgment.</w:t>
      </w:r>
      <w:r w:rsidR="00124841">
        <w:rPr>
          <w:rStyle w:val="FootnoteReference"/>
        </w:rPr>
        <w:footnoteReference w:id="214"/>
      </w:r>
      <w:r w:rsidR="005F49E7">
        <w:t xml:space="preserve"> The </w:t>
      </w:r>
      <w:r w:rsidR="00187598">
        <w:t xml:space="preserve">SC </w:t>
      </w:r>
      <w:r w:rsidR="004C0A85">
        <w:t>considered</w:t>
      </w:r>
      <w:r w:rsidR="005F49E7">
        <w:t xml:space="preserve"> that the municipality should have investigated whether the </w:t>
      </w:r>
      <w:r w:rsidR="005F49E7" w:rsidRPr="005F49E7">
        <w:t>roadside offer</w:t>
      </w:r>
      <w:r w:rsidR="005F49E7">
        <w:t>s</w:t>
      </w:r>
      <w:r w:rsidR="005F49E7" w:rsidRPr="005F49E7">
        <w:t xml:space="preserve"> a safe option for diversion</w:t>
      </w:r>
      <w:r w:rsidR="005F49E7">
        <w:t xml:space="preserve"> for road users. </w:t>
      </w:r>
      <w:r w:rsidR="001C7F15">
        <w:t>The municipality’s general refer</w:t>
      </w:r>
      <w:r w:rsidR="005F49E7">
        <w:t>ence</w:t>
      </w:r>
      <w:r w:rsidR="001C7F15">
        <w:t xml:space="preserve"> </w:t>
      </w:r>
      <w:r w:rsidR="005F49E7">
        <w:t xml:space="preserve">to </w:t>
      </w:r>
      <w:r w:rsidR="001C7F15">
        <w:t xml:space="preserve">a </w:t>
      </w:r>
      <w:r w:rsidR="005F49E7">
        <w:t xml:space="preserve">lack of </w:t>
      </w:r>
      <w:r w:rsidR="001C7F15">
        <w:t xml:space="preserve">resources to carry out overall road inspection and maintenance was rejected on the grounds that it lacked specificity. </w:t>
      </w:r>
      <w:r w:rsidR="004C0A85">
        <w:t xml:space="preserve">The SC refers the case to a court of appeal to adjudicate the amount of damages. </w:t>
      </w:r>
    </w:p>
    <w:p w14:paraId="326F20DE" w14:textId="43FD815A" w:rsidR="005A5C9C" w:rsidRDefault="00F8717B" w:rsidP="00F9312C">
      <w:pPr>
        <w:spacing w:line="360" w:lineRule="auto"/>
        <w:ind w:left="720"/>
      </w:pPr>
      <w:r>
        <w:t xml:space="preserve"> </w:t>
      </w:r>
    </w:p>
    <w:p w14:paraId="384E51BE" w14:textId="77777777" w:rsidR="003B7A4B" w:rsidRPr="00F8717B" w:rsidRDefault="003B7A4B" w:rsidP="00F9312C">
      <w:pPr>
        <w:spacing w:line="360" w:lineRule="auto"/>
        <w:ind w:left="720"/>
      </w:pPr>
    </w:p>
    <w:p w14:paraId="5AD5044C" w14:textId="2EEB2EB4" w:rsidR="00F8717B" w:rsidRPr="00BC1033" w:rsidRDefault="001F023C" w:rsidP="00F9312C">
      <w:pPr>
        <w:spacing w:line="360" w:lineRule="auto"/>
        <w:rPr>
          <w:b/>
          <w:bCs/>
        </w:rPr>
      </w:pPr>
      <w:r>
        <w:rPr>
          <w:b/>
          <w:bCs/>
        </w:rPr>
        <w:t>(b) Remedies, Sanctions or Other Outcomes</w:t>
      </w:r>
    </w:p>
    <w:p w14:paraId="0E5A38FB" w14:textId="1C6BFD57" w:rsidR="003B7A4B" w:rsidRPr="00F3766D" w:rsidRDefault="00F3766D" w:rsidP="00F9312C">
      <w:pPr>
        <w:spacing w:line="360" w:lineRule="auto"/>
      </w:pPr>
      <w:r w:rsidRPr="00F3766D">
        <w:t>The sanctions in civil liab</w:t>
      </w:r>
      <w:r>
        <w:t>i</w:t>
      </w:r>
      <w:r w:rsidRPr="00F3766D">
        <w:t>lity cas</w:t>
      </w:r>
      <w:r>
        <w:t xml:space="preserve">es consist of a compensation </w:t>
      </w:r>
      <w:r w:rsidR="00431F47">
        <w:t>for</w:t>
      </w:r>
      <w:r>
        <w:t xml:space="preserve"> the damages.</w:t>
      </w:r>
    </w:p>
    <w:p w14:paraId="155F7227" w14:textId="3648BE8A" w:rsidR="00F8717B" w:rsidRPr="00F3766D" w:rsidRDefault="00F8717B" w:rsidP="00F9312C">
      <w:pPr>
        <w:spacing w:line="360" w:lineRule="auto"/>
        <w:ind w:left="720"/>
      </w:pPr>
      <w:r w:rsidRPr="00F3766D">
        <w:t xml:space="preserve"> </w:t>
      </w:r>
    </w:p>
    <w:p w14:paraId="1A670574" w14:textId="42A55CDA" w:rsidR="00496E0A" w:rsidRPr="00BC1033" w:rsidRDefault="001F023C" w:rsidP="00F9312C">
      <w:pPr>
        <w:spacing w:line="360" w:lineRule="auto"/>
        <w:rPr>
          <w:b/>
          <w:bCs/>
        </w:rPr>
      </w:pPr>
      <w:r>
        <w:rPr>
          <w:b/>
          <w:bCs/>
        </w:rPr>
        <w:t>(c) Enforcement</w:t>
      </w:r>
    </w:p>
    <w:p w14:paraId="4B5E34F1" w14:textId="1D5A5137" w:rsidR="00796333" w:rsidRDefault="009A769D" w:rsidP="00F9312C">
      <w:pPr>
        <w:spacing w:line="360" w:lineRule="auto"/>
      </w:pPr>
      <w:r>
        <w:t xml:space="preserve">When a pedestrian suffers damages as a result of street design, maintenance of management that does not meet the requirements, he has the opportunity to hold the proprietor of the street liable for the damages. </w:t>
      </w:r>
      <w:r w:rsidR="00796333">
        <w:t xml:space="preserve">The person who has suffered damages can start legal proceedings at a civil court. </w:t>
      </w:r>
    </w:p>
    <w:p w14:paraId="7B2F3CEE" w14:textId="77777777" w:rsidR="001E64B7" w:rsidRPr="001E64B7" w:rsidRDefault="001E64B7" w:rsidP="00F9312C">
      <w:pPr>
        <w:spacing w:line="360" w:lineRule="auto"/>
        <w:ind w:left="720"/>
      </w:pPr>
    </w:p>
    <w:p w14:paraId="7D48E138" w14:textId="77777777" w:rsidR="00496E0A" w:rsidRPr="009A769D" w:rsidRDefault="00496E0A" w:rsidP="00F9312C">
      <w:pPr>
        <w:spacing w:line="360" w:lineRule="auto"/>
        <w:ind w:left="1440"/>
      </w:pPr>
    </w:p>
    <w:p w14:paraId="6FF51661" w14:textId="3325BFAE" w:rsidR="00496E0A" w:rsidRPr="00F9312C" w:rsidRDefault="00496E0A" w:rsidP="00F9312C">
      <w:pPr>
        <w:pStyle w:val="Heading3"/>
        <w:spacing w:line="360" w:lineRule="auto"/>
        <w:rPr>
          <w:b/>
          <w:bCs w:val="0"/>
          <w:lang w:val="fr-FR"/>
        </w:rPr>
      </w:pPr>
      <w:r w:rsidRPr="00F9312C">
        <w:rPr>
          <w:b/>
          <w:bCs w:val="0"/>
          <w:lang w:val="fr-FR"/>
        </w:rPr>
        <w:t xml:space="preserve">C1.2 </w:t>
      </w:r>
      <w:r w:rsidR="00276067" w:rsidRPr="00F9312C">
        <w:rPr>
          <w:b/>
          <w:bCs w:val="0"/>
          <w:lang w:val="fr-FR"/>
        </w:rPr>
        <w:t xml:space="preserve">Civil Code article 6:162 </w:t>
      </w:r>
    </w:p>
    <w:p w14:paraId="63D4FCA0" w14:textId="77777777" w:rsidR="003B7A4B" w:rsidRPr="009E4499" w:rsidRDefault="00276067" w:rsidP="00F9312C">
      <w:pPr>
        <w:spacing w:line="360" w:lineRule="auto"/>
        <w:rPr>
          <w:i/>
          <w:iCs/>
          <w:lang w:val="fr-FR"/>
        </w:rPr>
      </w:pPr>
      <w:r w:rsidRPr="009E4499">
        <w:rPr>
          <w:i/>
          <w:iCs/>
          <w:lang w:val="fr-FR"/>
        </w:rPr>
        <w:t xml:space="preserve">General tort provision. </w:t>
      </w:r>
    </w:p>
    <w:p w14:paraId="18B098C7" w14:textId="77777777" w:rsidR="003B7A4B" w:rsidRPr="009E4499" w:rsidRDefault="003B7A4B" w:rsidP="00F9312C">
      <w:pPr>
        <w:spacing w:line="360" w:lineRule="auto"/>
        <w:ind w:left="720"/>
        <w:rPr>
          <w:lang w:val="fr-FR"/>
        </w:rPr>
      </w:pPr>
    </w:p>
    <w:p w14:paraId="38F60D6F" w14:textId="43CD4B75" w:rsidR="009C2211" w:rsidRDefault="001B69DB" w:rsidP="00F9312C">
      <w:pPr>
        <w:spacing w:line="360" w:lineRule="auto"/>
      </w:pPr>
      <w:r w:rsidRPr="001B69DB">
        <w:t>In accordance with the C</w:t>
      </w:r>
      <w:r>
        <w:t xml:space="preserve">ivil Code, </w:t>
      </w:r>
      <w:r w:rsidR="00FB08EF">
        <w:t>every</w:t>
      </w:r>
      <w:r>
        <w:t xml:space="preserve"> person owes a general duty of care against other persons in societal relations. If this care is not a</w:t>
      </w:r>
      <w:r w:rsidR="003B7A4B">
        <w:t>p</w:t>
      </w:r>
      <w:r>
        <w:t>plied, and a person sustains damage as a result of this negligence, the perpetrator is liable for the damages. This duty of care applies to public bodies</w:t>
      </w:r>
      <w:r w:rsidR="003B7A4B">
        <w:t>, analogous to the duty for private persons. The Civil Code or any other statute does not differentiate between private and public duty bearers. As a result, case law interpretation of the civil code applies to public bodies as well.</w:t>
      </w:r>
    </w:p>
    <w:p w14:paraId="35D49A87" w14:textId="77777777" w:rsidR="00FB08EF" w:rsidRPr="00FB08EF" w:rsidRDefault="00FB08EF" w:rsidP="00F9312C">
      <w:pPr>
        <w:spacing w:line="360" w:lineRule="auto"/>
      </w:pPr>
    </w:p>
    <w:p w14:paraId="0FE6AEF5" w14:textId="2031B817" w:rsidR="009C2211" w:rsidRPr="009C2211" w:rsidRDefault="00B11BDE" w:rsidP="00F9312C">
      <w:pPr>
        <w:spacing w:line="360" w:lineRule="auto"/>
      </w:pPr>
      <w:r w:rsidRPr="009E4499">
        <w:rPr>
          <w:rStyle w:val="text1"/>
          <w:lang w:val="fr-FR"/>
        </w:rPr>
        <w:t xml:space="preserve">Article </w:t>
      </w:r>
      <w:r w:rsidR="009C2211" w:rsidRPr="009E4499">
        <w:rPr>
          <w:rStyle w:val="text1"/>
          <w:lang w:val="fr-FR"/>
        </w:rPr>
        <w:t>6:162</w:t>
      </w:r>
      <w:r w:rsidRPr="009E4499">
        <w:rPr>
          <w:rStyle w:val="text1"/>
          <w:lang w:val="fr-FR"/>
        </w:rPr>
        <w:t xml:space="preserve"> </w:t>
      </w:r>
      <w:r w:rsidR="00C75BA9" w:rsidRPr="009E4499">
        <w:rPr>
          <w:rStyle w:val="text1"/>
          <w:lang w:val="fr-FR"/>
        </w:rPr>
        <w:t>C</w:t>
      </w:r>
      <w:r w:rsidRPr="009E4499">
        <w:rPr>
          <w:rStyle w:val="text1"/>
          <w:lang w:val="fr-FR"/>
        </w:rPr>
        <w:t xml:space="preserve">ivil </w:t>
      </w:r>
      <w:r w:rsidR="00C75BA9" w:rsidRPr="009E4499">
        <w:rPr>
          <w:rStyle w:val="text1"/>
          <w:lang w:val="fr-FR"/>
        </w:rPr>
        <w:t>C</w:t>
      </w:r>
      <w:r w:rsidRPr="009E4499">
        <w:rPr>
          <w:rStyle w:val="text1"/>
          <w:lang w:val="fr-FR"/>
        </w:rPr>
        <w:t>ode</w:t>
      </w:r>
      <w:r w:rsidR="00C75BA9" w:rsidRPr="009E4499">
        <w:rPr>
          <w:rStyle w:val="text1"/>
          <w:lang w:val="fr-FR"/>
        </w:rPr>
        <w:t>,</w:t>
      </w:r>
      <w:r w:rsidR="009C2211" w:rsidRPr="009E4499">
        <w:rPr>
          <w:rStyle w:val="text1"/>
          <w:lang w:val="fr-FR"/>
        </w:rPr>
        <w:t xml:space="preserve"> Tort</w:t>
      </w:r>
      <w:r w:rsidR="00C75BA9" w:rsidRPr="009E4499">
        <w:rPr>
          <w:rStyle w:val="text1"/>
          <w:lang w:val="fr-FR"/>
        </w:rPr>
        <w:t xml:space="preserve">, </w:t>
      </w:r>
      <w:proofErr w:type="spellStart"/>
      <w:r w:rsidR="00C75BA9" w:rsidRPr="009E4499">
        <w:rPr>
          <w:rStyle w:val="text1"/>
          <w:lang w:val="fr-FR"/>
        </w:rPr>
        <w:t>reads</w:t>
      </w:r>
      <w:proofErr w:type="spellEnd"/>
      <w:r w:rsidR="00C75BA9" w:rsidRPr="009E4499">
        <w:rPr>
          <w:rStyle w:val="text1"/>
          <w:lang w:val="fr-FR"/>
        </w:rPr>
        <w:t>:</w:t>
      </w:r>
      <w:r w:rsidR="009C2211" w:rsidRPr="009E4499">
        <w:rPr>
          <w:lang w:val="fr-FR"/>
        </w:rPr>
        <w:br/>
      </w:r>
      <w:r w:rsidR="009C2211" w:rsidRPr="009E4499">
        <w:rPr>
          <w:rStyle w:val="text1"/>
          <w:i/>
          <w:iCs/>
          <w:lang w:val="fr-FR"/>
        </w:rPr>
        <w:t xml:space="preserve">1. </w:t>
      </w:r>
      <w:r w:rsidR="009C2211" w:rsidRPr="00C75BA9">
        <w:rPr>
          <w:i/>
          <w:iCs/>
        </w:rPr>
        <w:t xml:space="preserve">He who commits a tortious act against another person that can be attributed to him, must compensate the damage that this other person has suffered as a result thereof. </w:t>
      </w:r>
      <w:r w:rsidR="009C2211" w:rsidRPr="00C75BA9">
        <w:rPr>
          <w:i/>
          <w:iCs/>
        </w:rPr>
        <w:br/>
      </w:r>
      <w:r w:rsidR="009C2211" w:rsidRPr="00C75BA9">
        <w:rPr>
          <w:rStyle w:val="text1"/>
          <w:i/>
          <w:iCs/>
        </w:rPr>
        <w:t xml:space="preserve">2. </w:t>
      </w:r>
      <w:r w:rsidR="009C2211" w:rsidRPr="00C75BA9">
        <w:rPr>
          <w:i/>
          <w:iCs/>
        </w:rPr>
        <w:t xml:space="preserve">A tortious act is regarded </w:t>
      </w:r>
      <w:r w:rsidR="003B7A4B" w:rsidRPr="00C75BA9">
        <w:rPr>
          <w:i/>
          <w:iCs/>
        </w:rPr>
        <w:t xml:space="preserve">to be </w:t>
      </w:r>
      <w:r w:rsidR="009C2211" w:rsidRPr="00C75BA9">
        <w:rPr>
          <w:i/>
          <w:iCs/>
        </w:rPr>
        <w:t>a violation of someone else’s right and an act or omission in violation of a duty imposed by law or of what according to unwritten law has to be regarded as proper social conduct, always as far as there is no justification for this behaviour.</w:t>
      </w:r>
      <w:r w:rsidR="009C2211" w:rsidRPr="00C75BA9">
        <w:rPr>
          <w:i/>
          <w:iCs/>
        </w:rPr>
        <w:br/>
      </w:r>
      <w:r w:rsidR="009C2211" w:rsidRPr="00C75BA9">
        <w:rPr>
          <w:rStyle w:val="text1"/>
          <w:i/>
          <w:iCs/>
        </w:rPr>
        <w:t xml:space="preserve">3. </w:t>
      </w:r>
      <w:r w:rsidR="009C2211" w:rsidRPr="00C75BA9">
        <w:rPr>
          <w:i/>
          <w:iCs/>
        </w:rPr>
        <w:t>A tortious act can be attributed to the perpetrator if it results from his fault or from a cause for which he is accountable by virtue of law or generally accepted principles.</w:t>
      </w:r>
    </w:p>
    <w:p w14:paraId="6F1B07C2" w14:textId="77777777" w:rsidR="00BC1033" w:rsidRDefault="00BC1033" w:rsidP="00F9312C">
      <w:pPr>
        <w:spacing w:line="360" w:lineRule="auto"/>
      </w:pPr>
    </w:p>
    <w:p w14:paraId="54A68ECD" w14:textId="7B05906A" w:rsidR="00D813B6" w:rsidRDefault="00D813B6" w:rsidP="00F9312C">
      <w:pPr>
        <w:spacing w:line="360" w:lineRule="auto"/>
      </w:pPr>
      <w:r>
        <w:t xml:space="preserve">In the landmark </w:t>
      </w:r>
      <w:r w:rsidRPr="00ED329F">
        <w:rPr>
          <w:i/>
          <w:iCs/>
        </w:rPr>
        <w:t>Basement Latch</w:t>
      </w:r>
      <w:r>
        <w:t xml:space="preserve"> </w:t>
      </w:r>
      <w:r w:rsidR="006126FA">
        <w:t>(‘</w:t>
      </w:r>
      <w:proofErr w:type="spellStart"/>
      <w:r w:rsidR="006126FA">
        <w:t>Kelderluik</w:t>
      </w:r>
      <w:proofErr w:type="spellEnd"/>
      <w:r w:rsidR="006126FA">
        <w:t xml:space="preserve">’) </w:t>
      </w:r>
      <w:r>
        <w:t>case from 1965, t</w:t>
      </w:r>
      <w:r w:rsidRPr="001B69DB">
        <w:t>he Supreme Court formulate</w:t>
      </w:r>
      <w:r>
        <w:t>d criteria to determine whether there is tort and a liability for damages for a private company.</w:t>
      </w:r>
      <w:r>
        <w:rPr>
          <w:rStyle w:val="FootnoteReference"/>
        </w:rPr>
        <w:footnoteReference w:id="215"/>
      </w:r>
      <w:r>
        <w:t xml:space="preserve"> The case concerned a </w:t>
      </w:r>
      <w:proofErr w:type="gramStart"/>
      <w:r>
        <w:t>delivery man</w:t>
      </w:r>
      <w:proofErr w:type="gramEnd"/>
      <w:r>
        <w:t xml:space="preserve"> who delivered crates of fizzy drinks to a bar in Amsterdam. The entrance to the stock basement was through a latch in the floor, which was located on the way to the bar’s toilets. While leaving to collect used bottles in the bar, the </w:t>
      </w:r>
      <w:proofErr w:type="gramStart"/>
      <w:r>
        <w:t>delivery man</w:t>
      </w:r>
      <w:proofErr w:type="gramEnd"/>
      <w:r>
        <w:t xml:space="preserve"> left the latch open. A customer, on his way to the toilet, fell through the open latch into the basement and sustained injuries. He sued the </w:t>
      </w:r>
      <w:proofErr w:type="gramStart"/>
      <w:r>
        <w:t>delivery man</w:t>
      </w:r>
      <w:proofErr w:type="gramEnd"/>
      <w:r>
        <w:t xml:space="preserve"> and the delivery company. The procedure ended at the Supreme Court. The court formulated four criteria to establish tort: </w:t>
      </w:r>
    </w:p>
    <w:p w14:paraId="602A5FB5" w14:textId="46FBC91C" w:rsidR="00D813B6" w:rsidRDefault="00D813B6" w:rsidP="00F9312C">
      <w:pPr>
        <w:spacing w:line="360" w:lineRule="auto"/>
      </w:pPr>
      <w:r w:rsidRPr="008510AD">
        <w:t xml:space="preserve">How likely is it that someone is so inattentive and careless that the potential danger is not noticed? </w:t>
      </w:r>
      <w:r>
        <w:t>What is the chance that accidents will result from this? How serious can the consequences be? How difficult is it to take adequate security measures? In the considerations of the case, the company was found to have acted negligent and was partly liable for the damages. T</w:t>
      </w:r>
      <w:r w:rsidRPr="00D813B6">
        <w:t>he customer</w:t>
      </w:r>
      <w:r>
        <w:t xml:space="preserve"> himself</w:t>
      </w:r>
      <w:r w:rsidRPr="00D813B6">
        <w:t xml:space="preserve"> was liable for contributory negligence. </w:t>
      </w:r>
      <w:r>
        <w:t>T</w:t>
      </w:r>
      <w:r w:rsidRPr="00D813B6">
        <w:t>he damages for the delivery company were reduced to 50%.</w:t>
      </w:r>
    </w:p>
    <w:p w14:paraId="445F2132" w14:textId="7E12B05F" w:rsidR="006126FA" w:rsidRPr="00D813B6" w:rsidRDefault="006126FA" w:rsidP="00F9312C">
      <w:pPr>
        <w:spacing w:line="360" w:lineRule="auto"/>
        <w:rPr>
          <w:rFonts w:cs="Arial"/>
        </w:rPr>
      </w:pPr>
      <w:r>
        <w:rPr>
          <w:rFonts w:cs="Arial"/>
        </w:rPr>
        <w:t xml:space="preserve">The considerations of the Supreme Court are still valid and count as guidelines for lower courts. </w:t>
      </w:r>
    </w:p>
    <w:p w14:paraId="696E1937" w14:textId="1D9B0C0F" w:rsidR="00ED329F" w:rsidRPr="00054DF1" w:rsidRDefault="001B69DB" w:rsidP="00F9312C">
      <w:pPr>
        <w:pStyle w:val="NormalWeb"/>
        <w:spacing w:line="360" w:lineRule="auto"/>
        <w:rPr>
          <w:rFonts w:ascii="Arial" w:hAnsi="Arial" w:cs="Arial"/>
          <w:lang w:val="en-GB"/>
        </w:rPr>
      </w:pPr>
      <w:r w:rsidRPr="00054DF1">
        <w:rPr>
          <w:rFonts w:ascii="Arial" w:hAnsi="Arial" w:cs="Arial"/>
          <w:lang w:val="en-GB"/>
        </w:rPr>
        <w:t>A public authority owe</w:t>
      </w:r>
      <w:r w:rsidR="00ED329F" w:rsidRPr="00054DF1">
        <w:rPr>
          <w:rFonts w:ascii="Arial" w:hAnsi="Arial" w:cs="Arial"/>
          <w:lang w:val="en-GB"/>
        </w:rPr>
        <w:t>s</w:t>
      </w:r>
      <w:r w:rsidRPr="00054DF1">
        <w:rPr>
          <w:rFonts w:ascii="Arial" w:hAnsi="Arial" w:cs="Arial"/>
          <w:lang w:val="en-GB"/>
        </w:rPr>
        <w:t xml:space="preserve"> a general duty of care to pedestrians, road users and the community at large</w:t>
      </w:r>
      <w:r w:rsidR="00ED329F" w:rsidRPr="00054DF1">
        <w:rPr>
          <w:rFonts w:ascii="Arial" w:hAnsi="Arial" w:cs="Arial"/>
          <w:lang w:val="en-GB"/>
        </w:rPr>
        <w:t xml:space="preserve">. The duty </w:t>
      </w:r>
      <w:r w:rsidRPr="00054DF1">
        <w:rPr>
          <w:rFonts w:ascii="Arial" w:hAnsi="Arial" w:cs="Arial"/>
          <w:lang w:val="en-GB"/>
        </w:rPr>
        <w:t>arises in the same way it does for private individuals</w:t>
      </w:r>
      <w:r w:rsidR="00ED329F" w:rsidRPr="00054DF1">
        <w:rPr>
          <w:rFonts w:ascii="Arial" w:hAnsi="Arial" w:cs="Arial"/>
          <w:lang w:val="en-GB"/>
        </w:rPr>
        <w:t>,</w:t>
      </w:r>
      <w:r w:rsidRPr="00054DF1">
        <w:rPr>
          <w:rFonts w:ascii="Arial" w:hAnsi="Arial" w:cs="Arial"/>
          <w:lang w:val="en-GB"/>
        </w:rPr>
        <w:t xml:space="preserve"> through the incremental, analogical approach, rather than statute. But if they do not owe </w:t>
      </w:r>
      <w:r w:rsidR="00ED329F" w:rsidRPr="00054DF1">
        <w:rPr>
          <w:rFonts w:ascii="Arial" w:hAnsi="Arial" w:cs="Arial"/>
          <w:lang w:val="en-GB"/>
        </w:rPr>
        <w:t xml:space="preserve">a particular </w:t>
      </w:r>
      <w:r w:rsidRPr="00054DF1">
        <w:rPr>
          <w:rFonts w:ascii="Arial" w:hAnsi="Arial" w:cs="Arial"/>
          <w:lang w:val="en-GB"/>
        </w:rPr>
        <w:t>duty of care to the claimant, then their failure to take reasonable care and safeguard pedestrians cannot give rise to liability in negligence.</w:t>
      </w:r>
      <w:r w:rsidR="00ED329F" w:rsidRPr="00054DF1">
        <w:rPr>
          <w:rFonts w:ascii="Arial" w:hAnsi="Arial" w:cs="Arial"/>
          <w:lang w:val="en-GB"/>
        </w:rPr>
        <w:t xml:space="preserve"> </w:t>
      </w:r>
    </w:p>
    <w:p w14:paraId="5F414355" w14:textId="0AD51688" w:rsidR="004E7D3F" w:rsidRDefault="00ED329F" w:rsidP="00F9312C">
      <w:pPr>
        <w:pStyle w:val="NormalWeb"/>
        <w:spacing w:line="360" w:lineRule="auto"/>
        <w:rPr>
          <w:rFonts w:ascii="Arial" w:hAnsi="Arial" w:cs="Arial"/>
          <w:lang w:val="en-GB"/>
        </w:rPr>
      </w:pPr>
      <w:r w:rsidRPr="00054DF1">
        <w:rPr>
          <w:rFonts w:ascii="Arial" w:hAnsi="Arial" w:cs="Arial"/>
          <w:lang w:val="en-GB"/>
        </w:rPr>
        <w:t xml:space="preserve">The body responsible for a site that is accessible to the public has a duty of warning to the public if there is an unobservable and unknown danger to the public that the authority is aware </w:t>
      </w:r>
      <w:proofErr w:type="gramStart"/>
      <w:r w:rsidRPr="00054DF1">
        <w:rPr>
          <w:rFonts w:ascii="Arial" w:hAnsi="Arial" w:cs="Arial"/>
          <w:lang w:val="en-GB"/>
        </w:rPr>
        <w:t>of</w:t>
      </w:r>
      <w:proofErr w:type="gramEnd"/>
      <w:r w:rsidR="00AD63F7">
        <w:rPr>
          <w:rFonts w:ascii="Arial" w:hAnsi="Arial" w:cs="Arial"/>
          <w:lang w:val="en-GB"/>
        </w:rPr>
        <w:t xml:space="preserve">. However, </w:t>
      </w:r>
      <w:r w:rsidR="00AD63F7" w:rsidRPr="00AD63F7">
        <w:rPr>
          <w:rFonts w:ascii="Arial" w:hAnsi="Arial" w:cs="Arial"/>
          <w:lang w:val="en-GB"/>
        </w:rPr>
        <w:t>it is only in the light of the circumstances of the case that it can be assessed whether and to what extent it may be required to take into account the possibility that vigilance and prudence will not be exercised and</w:t>
      </w:r>
      <w:r w:rsidR="00AD63F7">
        <w:rPr>
          <w:rFonts w:ascii="Arial" w:hAnsi="Arial" w:cs="Arial"/>
          <w:lang w:val="en-GB"/>
        </w:rPr>
        <w:t xml:space="preserve"> to</w:t>
      </w:r>
      <w:r w:rsidR="00AD63F7" w:rsidRPr="00AD63F7">
        <w:rPr>
          <w:rFonts w:ascii="Arial" w:hAnsi="Arial" w:cs="Arial"/>
          <w:lang w:val="en-GB"/>
        </w:rPr>
        <w:t xml:space="preserve"> take certain security measures to that end</w:t>
      </w:r>
      <w:r w:rsidRPr="00054DF1">
        <w:rPr>
          <w:rFonts w:ascii="Arial" w:hAnsi="Arial" w:cs="Arial"/>
          <w:lang w:val="en-GB"/>
        </w:rPr>
        <w:t>.</w:t>
      </w:r>
      <w:r w:rsidR="00D813B6">
        <w:rPr>
          <w:rStyle w:val="FootnoteReference"/>
          <w:rFonts w:cs="Arial"/>
          <w:lang w:val="en-GB"/>
        </w:rPr>
        <w:footnoteReference w:id="216"/>
      </w:r>
      <w:r w:rsidR="00D813B6">
        <w:rPr>
          <w:rFonts w:ascii="Arial" w:hAnsi="Arial" w:cs="Arial"/>
          <w:lang w:val="en-GB"/>
        </w:rPr>
        <w:t xml:space="preserve"> </w:t>
      </w:r>
    </w:p>
    <w:p w14:paraId="28687CF4" w14:textId="09B548CD" w:rsidR="00496E0A" w:rsidRDefault="00D813B6" w:rsidP="00F9312C">
      <w:pPr>
        <w:pStyle w:val="NormalWeb"/>
        <w:spacing w:line="360" w:lineRule="auto"/>
        <w:rPr>
          <w:rFonts w:ascii="Arial" w:hAnsi="Arial" w:cs="Arial"/>
          <w:lang w:val="en-GB"/>
        </w:rPr>
      </w:pPr>
      <w:r>
        <w:rPr>
          <w:rFonts w:ascii="Arial" w:hAnsi="Arial" w:cs="Arial"/>
          <w:lang w:val="en-GB"/>
        </w:rPr>
        <w:t>A case to illustrate th</w:t>
      </w:r>
      <w:r w:rsidR="004E7D3F">
        <w:rPr>
          <w:rFonts w:ascii="Arial" w:hAnsi="Arial" w:cs="Arial"/>
          <w:lang w:val="en-GB"/>
        </w:rPr>
        <w:t xml:space="preserve">is </w:t>
      </w:r>
      <w:r>
        <w:rPr>
          <w:rFonts w:ascii="Arial" w:hAnsi="Arial" w:cs="Arial"/>
          <w:lang w:val="en-GB"/>
        </w:rPr>
        <w:t>is the ‘Jet</w:t>
      </w:r>
      <w:r w:rsidR="00740231">
        <w:rPr>
          <w:rFonts w:ascii="Arial" w:hAnsi="Arial" w:cs="Arial"/>
          <w:lang w:val="en-GB"/>
        </w:rPr>
        <w:t xml:space="preserve"> </w:t>
      </w:r>
      <w:r>
        <w:rPr>
          <w:rFonts w:ascii="Arial" w:hAnsi="Arial" w:cs="Arial"/>
          <w:lang w:val="en-GB"/>
        </w:rPr>
        <w:t>blast’ case.</w:t>
      </w:r>
      <w:r w:rsidR="00AD63F7">
        <w:rPr>
          <w:rStyle w:val="FootnoteReference"/>
          <w:rFonts w:cs="Arial"/>
          <w:lang w:val="en-GB"/>
        </w:rPr>
        <w:footnoteReference w:id="217"/>
      </w:r>
      <w:r>
        <w:rPr>
          <w:rFonts w:ascii="Arial" w:hAnsi="Arial" w:cs="Arial"/>
          <w:lang w:val="en-GB"/>
        </w:rPr>
        <w:t xml:space="preserve"> </w:t>
      </w:r>
      <w:r w:rsidR="00360AF8">
        <w:rPr>
          <w:rFonts w:ascii="Arial" w:hAnsi="Arial" w:cs="Arial"/>
          <w:lang w:val="en-GB"/>
        </w:rPr>
        <w:t xml:space="preserve">The runway of airport of the Dutch Caribbean island of </w:t>
      </w:r>
      <w:proofErr w:type="spellStart"/>
      <w:r w:rsidR="00360AF8">
        <w:rPr>
          <w:rFonts w:ascii="Arial" w:hAnsi="Arial" w:cs="Arial"/>
          <w:lang w:val="en-GB"/>
        </w:rPr>
        <w:t>Sint</w:t>
      </w:r>
      <w:proofErr w:type="spellEnd"/>
      <w:r w:rsidR="00360AF8">
        <w:rPr>
          <w:rFonts w:ascii="Arial" w:hAnsi="Arial" w:cs="Arial"/>
          <w:lang w:val="en-GB"/>
        </w:rPr>
        <w:t xml:space="preserve"> Maarten lies </w:t>
      </w:r>
      <w:r w:rsidR="004E7D3F">
        <w:rPr>
          <w:rFonts w:ascii="Arial" w:hAnsi="Arial" w:cs="Arial"/>
          <w:lang w:val="en-GB"/>
        </w:rPr>
        <w:t>right next to</w:t>
      </w:r>
      <w:r w:rsidR="00360AF8">
        <w:rPr>
          <w:rFonts w:ascii="Arial" w:hAnsi="Arial" w:cs="Arial"/>
          <w:lang w:val="en-GB"/>
        </w:rPr>
        <w:t xml:space="preserve"> a small beach. The beach is known among tourists, some of whom stand at the beach during the </w:t>
      </w:r>
      <w:r w:rsidR="00740231">
        <w:rPr>
          <w:rFonts w:ascii="Arial" w:hAnsi="Arial" w:cs="Arial"/>
          <w:lang w:val="en-GB"/>
        </w:rPr>
        <w:t>take-off</w:t>
      </w:r>
      <w:r w:rsidR="00360AF8">
        <w:rPr>
          <w:rFonts w:ascii="Arial" w:hAnsi="Arial" w:cs="Arial"/>
          <w:lang w:val="en-GB"/>
        </w:rPr>
        <w:t xml:space="preserve"> of an aircraft, which passes over at 10 meters. The </w:t>
      </w:r>
      <w:r w:rsidR="00AD63F7">
        <w:rPr>
          <w:rFonts w:ascii="Arial" w:hAnsi="Arial" w:cs="Arial"/>
          <w:lang w:val="en-GB"/>
        </w:rPr>
        <w:t xml:space="preserve">powerful </w:t>
      </w:r>
      <w:r w:rsidR="00740231">
        <w:rPr>
          <w:rFonts w:ascii="Arial" w:hAnsi="Arial" w:cs="Arial"/>
          <w:lang w:val="en-GB"/>
        </w:rPr>
        <w:t>jet blast</w:t>
      </w:r>
      <w:r w:rsidR="00360AF8">
        <w:rPr>
          <w:rFonts w:ascii="Arial" w:hAnsi="Arial" w:cs="Arial"/>
          <w:lang w:val="en-GB"/>
        </w:rPr>
        <w:t xml:space="preserve"> </w:t>
      </w:r>
      <w:r w:rsidR="00AD63F7">
        <w:rPr>
          <w:rFonts w:ascii="Arial" w:hAnsi="Arial" w:cs="Arial"/>
          <w:lang w:val="en-GB"/>
        </w:rPr>
        <w:t xml:space="preserve">the aircraft produces, </w:t>
      </w:r>
      <w:r w:rsidR="00360AF8">
        <w:rPr>
          <w:rFonts w:ascii="Arial" w:hAnsi="Arial" w:cs="Arial"/>
          <w:lang w:val="en-GB"/>
        </w:rPr>
        <w:t xml:space="preserve">causes excitement and danger. A tourist </w:t>
      </w:r>
      <w:r w:rsidR="00AD63F7">
        <w:rPr>
          <w:rFonts w:ascii="Arial" w:hAnsi="Arial" w:cs="Arial"/>
          <w:lang w:val="en-GB"/>
        </w:rPr>
        <w:t xml:space="preserve">who is standing </w:t>
      </w:r>
      <w:r w:rsidR="00360AF8">
        <w:rPr>
          <w:rFonts w:ascii="Arial" w:hAnsi="Arial" w:cs="Arial"/>
          <w:lang w:val="en-GB"/>
        </w:rPr>
        <w:t>on the</w:t>
      </w:r>
      <w:r w:rsidR="004E7D3F">
        <w:rPr>
          <w:rFonts w:ascii="Arial" w:hAnsi="Arial" w:cs="Arial"/>
          <w:lang w:val="en-GB"/>
        </w:rPr>
        <w:t xml:space="preserve"> road between the airport and the</w:t>
      </w:r>
      <w:r w:rsidR="00360AF8">
        <w:rPr>
          <w:rFonts w:ascii="Arial" w:hAnsi="Arial" w:cs="Arial"/>
          <w:lang w:val="en-GB"/>
        </w:rPr>
        <w:t xml:space="preserve"> beach is propelled in the air by the jet</w:t>
      </w:r>
      <w:r w:rsidR="00740231">
        <w:rPr>
          <w:rFonts w:ascii="Arial" w:hAnsi="Arial" w:cs="Arial"/>
          <w:lang w:val="en-GB"/>
        </w:rPr>
        <w:t xml:space="preserve"> </w:t>
      </w:r>
      <w:r w:rsidR="00360AF8">
        <w:rPr>
          <w:rFonts w:ascii="Arial" w:hAnsi="Arial" w:cs="Arial"/>
          <w:lang w:val="en-GB"/>
        </w:rPr>
        <w:t xml:space="preserve">blast and is thrown on </w:t>
      </w:r>
      <w:r w:rsidR="004E7D3F">
        <w:rPr>
          <w:rFonts w:ascii="Arial" w:hAnsi="Arial" w:cs="Arial"/>
          <w:lang w:val="en-GB"/>
        </w:rPr>
        <w:t xml:space="preserve">some </w:t>
      </w:r>
      <w:r w:rsidR="00360AF8">
        <w:rPr>
          <w:rFonts w:ascii="Arial" w:hAnsi="Arial" w:cs="Arial"/>
          <w:lang w:val="en-GB"/>
        </w:rPr>
        <w:t>rocks off the beach. She sustains injuries and sues the airport authorit</w:t>
      </w:r>
      <w:r w:rsidR="00740231">
        <w:rPr>
          <w:rFonts w:ascii="Arial" w:hAnsi="Arial" w:cs="Arial"/>
          <w:lang w:val="en-GB"/>
        </w:rPr>
        <w:t>y</w:t>
      </w:r>
      <w:r w:rsidR="004E7D3F">
        <w:rPr>
          <w:rFonts w:ascii="Arial" w:hAnsi="Arial" w:cs="Arial"/>
          <w:lang w:val="en-GB"/>
        </w:rPr>
        <w:t>, a private company,</w:t>
      </w:r>
      <w:r w:rsidR="00360AF8">
        <w:rPr>
          <w:rFonts w:ascii="Arial" w:hAnsi="Arial" w:cs="Arial"/>
          <w:lang w:val="en-GB"/>
        </w:rPr>
        <w:t xml:space="preserve"> for damages. According to the airport authorit</w:t>
      </w:r>
      <w:r w:rsidR="00740231">
        <w:rPr>
          <w:rFonts w:ascii="Arial" w:hAnsi="Arial" w:cs="Arial"/>
          <w:lang w:val="en-GB"/>
        </w:rPr>
        <w:t>y</w:t>
      </w:r>
      <w:r w:rsidR="00360AF8">
        <w:rPr>
          <w:rFonts w:ascii="Arial" w:hAnsi="Arial" w:cs="Arial"/>
          <w:lang w:val="en-GB"/>
        </w:rPr>
        <w:t xml:space="preserve">, the beach is not part of the airport and therefore it cannot take responsibility for the behaviour of visitors. </w:t>
      </w:r>
      <w:r w:rsidR="004E7D3F">
        <w:rPr>
          <w:rFonts w:ascii="Arial" w:hAnsi="Arial" w:cs="Arial"/>
          <w:lang w:val="en-GB"/>
        </w:rPr>
        <w:t>Besides, t</w:t>
      </w:r>
      <w:r w:rsidR="004E7D3F" w:rsidRPr="004E7D3F">
        <w:rPr>
          <w:rFonts w:ascii="Arial" w:hAnsi="Arial" w:cs="Arial"/>
          <w:lang w:val="en-GB"/>
        </w:rPr>
        <w:t xml:space="preserve">he fence that forms the boundary between the grounds of the airport and </w:t>
      </w:r>
      <w:r w:rsidR="004E7D3F">
        <w:rPr>
          <w:rFonts w:ascii="Arial" w:hAnsi="Arial" w:cs="Arial"/>
          <w:lang w:val="en-GB"/>
        </w:rPr>
        <w:t>the</w:t>
      </w:r>
      <w:r w:rsidR="004E7D3F" w:rsidRPr="004E7D3F">
        <w:rPr>
          <w:rFonts w:ascii="Arial" w:hAnsi="Arial" w:cs="Arial"/>
          <w:lang w:val="en-GB"/>
        </w:rPr>
        <w:t xml:space="preserve"> Beach has been provided with at least one sign with the drawing of an airplane taking off and in addition the text "</w:t>
      </w:r>
      <w:r w:rsidR="00AD63F7">
        <w:rPr>
          <w:rFonts w:ascii="Arial" w:hAnsi="Arial" w:cs="Arial"/>
          <w:lang w:val="en-GB"/>
        </w:rPr>
        <w:t>W</w:t>
      </w:r>
      <w:r w:rsidR="004E7D3F" w:rsidRPr="004E7D3F">
        <w:rPr>
          <w:rFonts w:ascii="Arial" w:hAnsi="Arial" w:cs="Arial"/>
          <w:lang w:val="en-GB"/>
        </w:rPr>
        <w:t xml:space="preserve">arning!" </w:t>
      </w:r>
      <w:r w:rsidR="004E7D3F">
        <w:rPr>
          <w:rFonts w:ascii="Arial" w:hAnsi="Arial" w:cs="Arial"/>
          <w:lang w:val="en-GB"/>
        </w:rPr>
        <w:t>i</w:t>
      </w:r>
      <w:r w:rsidR="004E7D3F" w:rsidRPr="004E7D3F">
        <w:rPr>
          <w:rFonts w:ascii="Arial" w:hAnsi="Arial" w:cs="Arial"/>
          <w:lang w:val="en-GB"/>
        </w:rPr>
        <w:t>n capital letters</w:t>
      </w:r>
      <w:r w:rsidR="004E7D3F">
        <w:rPr>
          <w:rFonts w:ascii="Arial" w:hAnsi="Arial" w:cs="Arial"/>
          <w:lang w:val="en-GB"/>
        </w:rPr>
        <w:t>,</w:t>
      </w:r>
      <w:r w:rsidR="004E7D3F" w:rsidRPr="004E7D3F">
        <w:rPr>
          <w:rFonts w:ascii="Arial" w:hAnsi="Arial" w:cs="Arial"/>
          <w:lang w:val="en-GB"/>
        </w:rPr>
        <w:t xml:space="preserve"> with the caption "</w:t>
      </w:r>
      <w:r w:rsidR="00AD63F7">
        <w:rPr>
          <w:rFonts w:ascii="Arial" w:hAnsi="Arial" w:cs="Arial"/>
          <w:lang w:val="en-GB"/>
        </w:rPr>
        <w:t>L</w:t>
      </w:r>
      <w:r w:rsidR="004E7D3F" w:rsidRPr="004E7D3F">
        <w:rPr>
          <w:rFonts w:ascii="Arial" w:hAnsi="Arial" w:cs="Arial"/>
          <w:lang w:val="en-GB"/>
        </w:rPr>
        <w:t>ow flying and departing aircraft blast can cause physical injury"</w:t>
      </w:r>
      <w:r w:rsidR="004E7D3F">
        <w:rPr>
          <w:rFonts w:ascii="Arial" w:hAnsi="Arial" w:cs="Arial"/>
          <w:lang w:val="en-GB"/>
        </w:rPr>
        <w:t>.</w:t>
      </w:r>
      <w:r w:rsidR="00360AF8">
        <w:rPr>
          <w:rFonts w:ascii="Arial" w:hAnsi="Arial" w:cs="Arial"/>
          <w:lang w:val="en-GB"/>
        </w:rPr>
        <w:t xml:space="preserve"> </w:t>
      </w:r>
      <w:r w:rsidR="004E7D3F">
        <w:rPr>
          <w:rFonts w:ascii="Arial" w:hAnsi="Arial" w:cs="Arial"/>
          <w:lang w:val="en-GB"/>
        </w:rPr>
        <w:t>The</w:t>
      </w:r>
      <w:r w:rsidR="00360AF8">
        <w:rPr>
          <w:rFonts w:ascii="Arial" w:hAnsi="Arial" w:cs="Arial"/>
          <w:lang w:val="en-GB"/>
        </w:rPr>
        <w:t xml:space="preserve"> airport </w:t>
      </w:r>
      <w:r w:rsidR="004E7D3F" w:rsidRPr="004E7D3F">
        <w:rPr>
          <w:rFonts w:ascii="Arial" w:hAnsi="Arial" w:cs="Arial"/>
          <w:lang w:val="en-GB"/>
        </w:rPr>
        <w:t xml:space="preserve">argued that by placing warning signs and </w:t>
      </w:r>
      <w:r w:rsidR="00740231">
        <w:rPr>
          <w:rFonts w:ascii="Arial" w:hAnsi="Arial" w:cs="Arial"/>
          <w:lang w:val="en-GB"/>
        </w:rPr>
        <w:t>putting up</w:t>
      </w:r>
      <w:r w:rsidR="004E7D3F" w:rsidRPr="004E7D3F">
        <w:rPr>
          <w:rFonts w:ascii="Arial" w:hAnsi="Arial" w:cs="Arial"/>
          <w:lang w:val="en-GB"/>
        </w:rPr>
        <w:t xml:space="preserve"> a fence that prevents people from entering the runway, </w:t>
      </w:r>
      <w:r w:rsidR="00AD63F7">
        <w:rPr>
          <w:rFonts w:ascii="Arial" w:hAnsi="Arial" w:cs="Arial"/>
          <w:lang w:val="en-GB"/>
        </w:rPr>
        <w:t>it</w:t>
      </w:r>
      <w:r w:rsidR="004E7D3F" w:rsidRPr="004E7D3F">
        <w:rPr>
          <w:rFonts w:ascii="Arial" w:hAnsi="Arial" w:cs="Arial"/>
          <w:lang w:val="en-GB"/>
        </w:rPr>
        <w:t xml:space="preserve"> did what </w:t>
      </w:r>
      <w:r w:rsidR="00AD63F7">
        <w:rPr>
          <w:rFonts w:ascii="Arial" w:hAnsi="Arial" w:cs="Arial"/>
          <w:lang w:val="en-GB"/>
        </w:rPr>
        <w:t>it</w:t>
      </w:r>
      <w:r w:rsidR="004E7D3F" w:rsidRPr="004E7D3F">
        <w:rPr>
          <w:rFonts w:ascii="Arial" w:hAnsi="Arial" w:cs="Arial"/>
          <w:lang w:val="en-GB"/>
        </w:rPr>
        <w:t xml:space="preserve"> c</w:t>
      </w:r>
      <w:r w:rsidR="004E7D3F">
        <w:rPr>
          <w:rFonts w:ascii="Arial" w:hAnsi="Arial" w:cs="Arial"/>
          <w:lang w:val="en-GB"/>
        </w:rPr>
        <w:t>ould</w:t>
      </w:r>
      <w:r w:rsidR="004E7D3F" w:rsidRPr="004E7D3F">
        <w:rPr>
          <w:rFonts w:ascii="Arial" w:hAnsi="Arial" w:cs="Arial"/>
          <w:lang w:val="en-GB"/>
        </w:rPr>
        <w:t xml:space="preserve"> do in this regard.</w:t>
      </w:r>
      <w:r w:rsidR="00360AF8">
        <w:rPr>
          <w:rFonts w:ascii="Arial" w:hAnsi="Arial" w:cs="Arial"/>
          <w:lang w:val="en-GB"/>
        </w:rPr>
        <w:t xml:space="preserve"> </w:t>
      </w:r>
      <w:r w:rsidR="004E7D3F">
        <w:rPr>
          <w:rFonts w:ascii="Arial" w:hAnsi="Arial" w:cs="Arial"/>
          <w:lang w:val="en-GB"/>
        </w:rPr>
        <w:t xml:space="preserve">In appeal in cassation, the </w:t>
      </w:r>
      <w:r w:rsidR="00740231">
        <w:rPr>
          <w:rFonts w:ascii="Arial" w:hAnsi="Arial" w:cs="Arial"/>
          <w:lang w:val="en-GB"/>
        </w:rPr>
        <w:t xml:space="preserve">Dutch </w:t>
      </w:r>
      <w:r w:rsidR="004E7D3F">
        <w:rPr>
          <w:rFonts w:ascii="Arial" w:hAnsi="Arial" w:cs="Arial"/>
          <w:lang w:val="en-GB"/>
        </w:rPr>
        <w:t>Supreme Court</w:t>
      </w:r>
      <w:r w:rsidR="00740231">
        <w:rPr>
          <w:rStyle w:val="FootnoteReference"/>
          <w:rFonts w:cs="Arial"/>
          <w:lang w:val="en-GB"/>
        </w:rPr>
        <w:footnoteReference w:id="218"/>
      </w:r>
      <w:r w:rsidR="004E7D3F">
        <w:rPr>
          <w:rFonts w:ascii="Arial" w:hAnsi="Arial" w:cs="Arial"/>
          <w:lang w:val="en-GB"/>
        </w:rPr>
        <w:t xml:space="preserve"> considers </w:t>
      </w:r>
      <w:r w:rsidR="004E7D3F" w:rsidRPr="004E7D3F">
        <w:rPr>
          <w:rFonts w:ascii="Arial" w:hAnsi="Arial" w:cs="Arial"/>
          <w:lang w:val="en-GB"/>
        </w:rPr>
        <w:t>that ‘</w:t>
      </w:r>
      <w:r w:rsidR="004E7D3F">
        <w:rPr>
          <w:rFonts w:ascii="Arial" w:hAnsi="Arial" w:cs="Arial"/>
          <w:lang w:val="en-GB"/>
        </w:rPr>
        <w:t>f</w:t>
      </w:r>
      <w:r w:rsidR="004E7D3F" w:rsidRPr="004E7D3F">
        <w:rPr>
          <w:rFonts w:ascii="Arial" w:hAnsi="Arial" w:cs="Arial"/>
          <w:lang w:val="en-GB"/>
        </w:rPr>
        <w:t>or the answer to the question if a warning can be regarded as an adequate measure to protect against a particular hazard, is decisive if it can be expected that this warning will lead to an act or omission that avoids this hazard.’</w:t>
      </w:r>
      <w:r w:rsidR="004E7D3F">
        <w:rPr>
          <w:rFonts w:ascii="Arial" w:hAnsi="Arial" w:cs="Arial"/>
          <w:lang w:val="en-GB"/>
        </w:rPr>
        <w:t xml:space="preserve"> It refers the case back to the appeal court for a new decision with these considerations as a guideline.</w:t>
      </w:r>
    </w:p>
    <w:p w14:paraId="3873B775" w14:textId="5EDC52D6" w:rsidR="00AD63F7" w:rsidRDefault="00AD63F7" w:rsidP="00F9312C">
      <w:pPr>
        <w:pStyle w:val="NormalWeb"/>
        <w:spacing w:line="360" w:lineRule="auto"/>
        <w:rPr>
          <w:rFonts w:ascii="Arial" w:hAnsi="Arial" w:cs="Arial"/>
          <w:lang w:val="en-GB"/>
        </w:rPr>
      </w:pPr>
      <w:r>
        <w:rPr>
          <w:rFonts w:ascii="Arial" w:hAnsi="Arial" w:cs="Arial"/>
          <w:lang w:val="en-GB"/>
        </w:rPr>
        <w:t xml:space="preserve">In conclusion, it can be said that a public authority is required to assess </w:t>
      </w:r>
      <w:r w:rsidR="006717EF">
        <w:rPr>
          <w:rFonts w:ascii="Arial" w:hAnsi="Arial" w:cs="Arial"/>
          <w:lang w:val="en-GB"/>
        </w:rPr>
        <w:t>a certain situation that may be hazardous, and take adequate measures to prevent accidents or damage. In cases that not enough measures are taken, such as redressing the situation or adequately warn the public for impending danger, the public authority is liable for damages and compensation on the basis of tort.</w:t>
      </w:r>
    </w:p>
    <w:p w14:paraId="765B8C9E" w14:textId="2888701F" w:rsidR="000663A5" w:rsidRPr="00BC1033" w:rsidRDefault="001F023C" w:rsidP="00F9312C">
      <w:pPr>
        <w:spacing w:line="360" w:lineRule="auto"/>
        <w:rPr>
          <w:b/>
          <w:bCs/>
        </w:rPr>
      </w:pPr>
      <w:r>
        <w:rPr>
          <w:b/>
          <w:bCs/>
        </w:rPr>
        <w:t>(b) Remedies, Sanctions or Other Outcomes</w:t>
      </w:r>
    </w:p>
    <w:p w14:paraId="312E82C9" w14:textId="73F34E69" w:rsidR="000663A5" w:rsidRPr="00F3766D" w:rsidRDefault="000663A5" w:rsidP="00F9312C">
      <w:pPr>
        <w:spacing w:line="360" w:lineRule="auto"/>
      </w:pPr>
      <w:r w:rsidRPr="00F3766D">
        <w:t xml:space="preserve">The sanctions in </w:t>
      </w:r>
      <w:r>
        <w:t>tort</w:t>
      </w:r>
      <w:r w:rsidRPr="00F3766D">
        <w:t xml:space="preserve"> cas</w:t>
      </w:r>
      <w:r>
        <w:t>es consist of a compensation for the damages.</w:t>
      </w:r>
    </w:p>
    <w:p w14:paraId="605C1662" w14:textId="77777777" w:rsidR="000663A5" w:rsidRPr="00F3766D" w:rsidRDefault="000663A5" w:rsidP="00F9312C">
      <w:pPr>
        <w:spacing w:line="360" w:lineRule="auto"/>
        <w:ind w:left="720"/>
      </w:pPr>
      <w:r w:rsidRPr="00F3766D">
        <w:t xml:space="preserve"> </w:t>
      </w:r>
    </w:p>
    <w:p w14:paraId="5315B5F9" w14:textId="5F91681A" w:rsidR="000663A5" w:rsidRDefault="001F023C" w:rsidP="00F9312C">
      <w:pPr>
        <w:spacing w:line="360" w:lineRule="auto"/>
        <w:rPr>
          <w:b/>
          <w:bCs/>
        </w:rPr>
      </w:pPr>
      <w:r>
        <w:rPr>
          <w:b/>
          <w:bCs/>
        </w:rPr>
        <w:t>(c) Enforcement</w:t>
      </w:r>
    </w:p>
    <w:p w14:paraId="4562B236" w14:textId="02F2F45E" w:rsidR="000663A5" w:rsidRDefault="000663A5" w:rsidP="00F9312C">
      <w:pPr>
        <w:spacing w:line="360" w:lineRule="auto"/>
      </w:pPr>
      <w:r w:rsidRPr="000663A5">
        <w:t>The person who has suffered damages can start legal proceedings at a civil court.</w:t>
      </w:r>
    </w:p>
    <w:p w14:paraId="3D9564A2" w14:textId="77777777" w:rsidR="000663A5" w:rsidRPr="000663A5" w:rsidRDefault="000663A5" w:rsidP="00F9312C">
      <w:pPr>
        <w:spacing w:line="360" w:lineRule="auto"/>
      </w:pPr>
    </w:p>
    <w:p w14:paraId="4B8E5DE7" w14:textId="77777777" w:rsidR="00192E65" w:rsidRPr="006126FA" w:rsidRDefault="00192E65" w:rsidP="00F9312C">
      <w:pPr>
        <w:pStyle w:val="Heading2"/>
        <w:spacing w:line="360" w:lineRule="auto"/>
      </w:pPr>
      <w:r w:rsidRPr="006126FA">
        <w:t>C</w:t>
      </w:r>
      <w:r w:rsidR="00496E0A" w:rsidRPr="006126FA">
        <w:t>2</w:t>
      </w:r>
      <w:r w:rsidRPr="006126FA">
        <w:t xml:space="preserve"> </w:t>
      </w:r>
      <w:r w:rsidR="00496E0A" w:rsidRPr="006126FA">
        <w:t>I</w:t>
      </w:r>
      <w:r w:rsidRPr="006126FA">
        <w:t>naccessible or unsafe design of streets or street features</w:t>
      </w:r>
    </w:p>
    <w:p w14:paraId="0D11DD32" w14:textId="5F7F4AF7" w:rsidR="007F3088" w:rsidRDefault="007F3088" w:rsidP="00F9312C">
      <w:pPr>
        <w:spacing w:line="360" w:lineRule="auto"/>
      </w:pPr>
    </w:p>
    <w:p w14:paraId="3BDE203C" w14:textId="77777777" w:rsidR="006126FA" w:rsidRPr="00F9312C" w:rsidRDefault="006126FA" w:rsidP="00F9312C">
      <w:pPr>
        <w:pStyle w:val="Heading3"/>
        <w:spacing w:line="360" w:lineRule="auto"/>
        <w:rPr>
          <w:b/>
          <w:bCs w:val="0"/>
        </w:rPr>
      </w:pPr>
      <w:r w:rsidRPr="00F9312C">
        <w:rPr>
          <w:b/>
          <w:bCs w:val="0"/>
        </w:rPr>
        <w:t xml:space="preserve">C2.1 Spatial Planning Act </w:t>
      </w:r>
    </w:p>
    <w:p w14:paraId="10FF6321" w14:textId="77777777" w:rsidR="006126FA" w:rsidRDefault="006126FA" w:rsidP="00F9312C">
      <w:pPr>
        <w:spacing w:line="360" w:lineRule="auto"/>
      </w:pPr>
    </w:p>
    <w:p w14:paraId="57EE5869" w14:textId="4C9F9068" w:rsidR="008F6BD3" w:rsidRPr="00BC1033" w:rsidRDefault="001F023C" w:rsidP="00F9312C">
      <w:pPr>
        <w:spacing w:line="360" w:lineRule="auto"/>
        <w:rPr>
          <w:b/>
          <w:bCs/>
        </w:rPr>
      </w:pPr>
      <w:r>
        <w:rPr>
          <w:b/>
          <w:bCs/>
        </w:rPr>
        <w:t>(</w:t>
      </w:r>
      <w:proofErr w:type="gramStart"/>
      <w:r>
        <w:rPr>
          <w:b/>
          <w:bCs/>
        </w:rPr>
        <w:t>a</w:t>
      </w:r>
      <w:proofErr w:type="gramEnd"/>
      <w:r>
        <w:rPr>
          <w:b/>
          <w:bCs/>
        </w:rPr>
        <w:t>) Description and Examples</w:t>
      </w:r>
    </w:p>
    <w:p w14:paraId="1C163D80" w14:textId="216F4BAB" w:rsidR="008A5CD8" w:rsidRDefault="0040617D" w:rsidP="00F9312C">
      <w:pPr>
        <w:spacing w:line="360" w:lineRule="auto"/>
      </w:pPr>
      <w:r>
        <w:t>Also see chapter A</w:t>
      </w:r>
      <w:r w:rsidR="000663A5">
        <w:t>4</w:t>
      </w:r>
      <w:r>
        <w:t>.3</w:t>
      </w:r>
      <w:r w:rsidR="00AD63F7">
        <w:t>.</w:t>
      </w:r>
      <w:r>
        <w:t xml:space="preserve"> </w:t>
      </w:r>
    </w:p>
    <w:p w14:paraId="120C03B0" w14:textId="1B7D6405" w:rsidR="00E23AD0" w:rsidRDefault="009809F9" w:rsidP="00F9312C">
      <w:pPr>
        <w:spacing w:line="360" w:lineRule="auto"/>
      </w:pPr>
      <w:r>
        <w:t>A</w:t>
      </w:r>
      <w:r w:rsidR="00FA525F">
        <w:t xml:space="preserve"> local</w:t>
      </w:r>
      <w:r w:rsidR="00CC4E1B">
        <w:t xml:space="preserve"> </w:t>
      </w:r>
      <w:r w:rsidR="00072F9C">
        <w:t xml:space="preserve">land-use or </w:t>
      </w:r>
      <w:r w:rsidR="00CC4E1B" w:rsidRPr="000663A5">
        <w:t>zoning plan</w:t>
      </w:r>
      <w:r w:rsidR="00FA525F">
        <w:t xml:space="preserve"> </w:t>
      </w:r>
      <w:r w:rsidR="00CC4E1B">
        <w:t>(</w:t>
      </w:r>
      <w:r w:rsidR="00FA525F">
        <w:t>‘</w:t>
      </w:r>
      <w:proofErr w:type="spellStart"/>
      <w:r w:rsidR="00FA525F" w:rsidRPr="009809F9">
        <w:rPr>
          <w:i/>
          <w:iCs/>
        </w:rPr>
        <w:t>bestemmingsplan</w:t>
      </w:r>
      <w:proofErr w:type="spellEnd"/>
      <w:r w:rsidR="00FA525F">
        <w:t>’</w:t>
      </w:r>
      <w:r w:rsidR="00CC4E1B">
        <w:t>)</w:t>
      </w:r>
      <w:r w:rsidR="00FA525F">
        <w:t xml:space="preserve"> determines the destination of a certain area, including streets. On the basis of the destination (</w:t>
      </w:r>
      <w:r w:rsidR="00861A44">
        <w:t xml:space="preserve">e.g. </w:t>
      </w:r>
      <w:r w:rsidR="00FA525F">
        <w:t>hous</w:t>
      </w:r>
      <w:r w:rsidR="00861A44">
        <w:t>ing</w:t>
      </w:r>
      <w:r w:rsidR="00FA525F">
        <w:t>, industr</w:t>
      </w:r>
      <w:r w:rsidR="00861A44">
        <w:t>y</w:t>
      </w:r>
      <w:r w:rsidR="00FA525F">
        <w:t>, recreation o</w:t>
      </w:r>
      <w:r w:rsidR="00861A44">
        <w:t>r traffic</w:t>
      </w:r>
      <w:r w:rsidR="00FA525F">
        <w:t xml:space="preserve">), the design is being made. </w:t>
      </w:r>
      <w:r w:rsidR="00861A44">
        <w:t>T</w:t>
      </w:r>
      <w:r w:rsidR="00FA525F">
        <w:t xml:space="preserve">he municipality </w:t>
      </w:r>
      <w:r w:rsidR="001A4E16">
        <w:t>adopts</w:t>
      </w:r>
      <w:r w:rsidR="00861A44">
        <w:t xml:space="preserve"> the </w:t>
      </w:r>
      <w:r w:rsidR="00CC4E1B">
        <w:t xml:space="preserve">zoning plan. </w:t>
      </w:r>
      <w:r w:rsidR="00861A44">
        <w:t xml:space="preserve"> </w:t>
      </w:r>
    </w:p>
    <w:p w14:paraId="3C88B9FA" w14:textId="119498C3" w:rsidR="00CC4E1B" w:rsidRDefault="00CC4E1B" w:rsidP="00F9312C">
      <w:pPr>
        <w:spacing w:line="360" w:lineRule="auto"/>
      </w:pPr>
      <w:r>
        <w:t>The underlying law, the Spatial Planning Act, addresses the procedure for the coming into force of the zoning plan.</w:t>
      </w:r>
      <w:r w:rsidR="007B301A">
        <w:rPr>
          <w:rStyle w:val="FootnoteReference"/>
        </w:rPr>
        <w:footnoteReference w:id="219"/>
      </w:r>
      <w:r>
        <w:t xml:space="preserve"> The municipality publishes a </w:t>
      </w:r>
      <w:proofErr w:type="gramStart"/>
      <w:r>
        <w:t>draft zoning</w:t>
      </w:r>
      <w:proofErr w:type="gramEnd"/>
      <w:r>
        <w:t xml:space="preserve"> plan. </w:t>
      </w:r>
      <w:r w:rsidR="009152B4">
        <w:t>Within six weeks after publication, a</w:t>
      </w:r>
      <w:r>
        <w:t xml:space="preserve">ny interested party, who </w:t>
      </w:r>
      <w:r w:rsidR="00B6329D">
        <w:t>want</w:t>
      </w:r>
      <w:r w:rsidR="00BE4EC2">
        <w:t>s</w:t>
      </w:r>
      <w:r w:rsidR="00B6329D">
        <w:t xml:space="preserve"> to</w:t>
      </w:r>
      <w:r>
        <w:t xml:space="preserve"> object to </w:t>
      </w:r>
      <w:r w:rsidR="009152B4">
        <w:t>the plan, may submit their view</w:t>
      </w:r>
      <w:r w:rsidR="00B6329D">
        <w:t xml:space="preserve"> to the municipal council.</w:t>
      </w:r>
      <w:r w:rsidR="009152B4">
        <w:t xml:space="preserve"> </w:t>
      </w:r>
      <w:r w:rsidR="009809F9">
        <w:t>Within 12 weeks, the municipal council is required to a</w:t>
      </w:r>
      <w:r w:rsidR="00B6329D">
        <w:t xml:space="preserve">dopt the </w:t>
      </w:r>
      <w:r w:rsidR="009809F9">
        <w:t xml:space="preserve">final version of the zoning </w:t>
      </w:r>
      <w:r w:rsidR="00B6329D">
        <w:t>plan</w:t>
      </w:r>
      <w:r w:rsidR="009809F9">
        <w:t>. Th</w:t>
      </w:r>
      <w:r w:rsidR="003A558B">
        <w:t>is</w:t>
      </w:r>
      <w:r w:rsidR="009809F9">
        <w:t xml:space="preserve"> decision to adopt the plan is </w:t>
      </w:r>
      <w:r w:rsidR="00B6329D">
        <w:t>an appealable decision</w:t>
      </w:r>
      <w:r w:rsidR="009809F9">
        <w:t>.</w:t>
      </w:r>
      <w:r w:rsidR="00B6329D">
        <w:t xml:space="preserve"> </w:t>
      </w:r>
      <w:r w:rsidR="009809F9">
        <w:t>A</w:t>
      </w:r>
      <w:r w:rsidR="00B6329D">
        <w:t xml:space="preserve">nyone who does not agree with the decision, </w:t>
      </w:r>
      <w:r w:rsidR="003A558B">
        <w:t xml:space="preserve">for example on grounds that the design does not take accessibility into account, </w:t>
      </w:r>
      <w:r w:rsidR="00B6329D">
        <w:t xml:space="preserve">can file an appeal at the </w:t>
      </w:r>
      <w:r w:rsidR="009809F9">
        <w:t>A</w:t>
      </w:r>
      <w:r w:rsidR="00B6329D">
        <w:t xml:space="preserve">dministrative </w:t>
      </w:r>
      <w:r w:rsidR="009809F9">
        <w:t>Jurisdiction Division</w:t>
      </w:r>
      <w:r w:rsidR="00B6329D">
        <w:t xml:space="preserve"> of the</w:t>
      </w:r>
      <w:r w:rsidR="00BE4EC2">
        <w:t xml:space="preserve"> </w:t>
      </w:r>
      <w:r w:rsidR="009809F9">
        <w:t>C</w:t>
      </w:r>
      <w:r w:rsidR="00B6329D">
        <w:t xml:space="preserve">ouncil of </w:t>
      </w:r>
      <w:r w:rsidR="009809F9">
        <w:t>S</w:t>
      </w:r>
      <w:r w:rsidR="00B6329D">
        <w:t>tate.</w:t>
      </w:r>
      <w:r w:rsidR="009809F9">
        <w:rPr>
          <w:rStyle w:val="FootnoteReference"/>
        </w:rPr>
        <w:footnoteReference w:id="220"/>
      </w:r>
      <w:r w:rsidR="00B6329D">
        <w:t xml:space="preserve"> </w:t>
      </w:r>
      <w:r w:rsidR="00BE4EC2">
        <w:t xml:space="preserve">A prerequisite is that </w:t>
      </w:r>
      <w:r w:rsidR="00CF6D53">
        <w:t xml:space="preserve">appeals </w:t>
      </w:r>
      <w:r w:rsidR="003C23C7">
        <w:t xml:space="preserve">are only admissible </w:t>
      </w:r>
      <w:r w:rsidR="00CF6D53">
        <w:t xml:space="preserve">from </w:t>
      </w:r>
      <w:r w:rsidR="00BE4EC2">
        <w:t>parties who had submitted their view in the initial phase</w:t>
      </w:r>
      <w:r w:rsidR="00CF6D53">
        <w:t>.</w:t>
      </w:r>
    </w:p>
    <w:p w14:paraId="2C44B9AD" w14:textId="7C8C8B7A" w:rsidR="0099624E" w:rsidRDefault="00CF6D53" w:rsidP="00F9312C">
      <w:pPr>
        <w:spacing w:line="360" w:lineRule="auto"/>
      </w:pPr>
      <w:r>
        <w:t>With the coming into force of the zoning plan, the next phase is the designing and construction of streets and public spaces.</w:t>
      </w:r>
      <w:r w:rsidR="00AC1956">
        <w:t xml:space="preserve"> This is a highly technical exercise</w:t>
      </w:r>
      <w:r w:rsidR="00AC15CB">
        <w:t xml:space="preserve"> </w:t>
      </w:r>
      <w:r w:rsidR="00AC1956">
        <w:t xml:space="preserve">and comprises </w:t>
      </w:r>
      <w:r w:rsidR="00A96DA6">
        <w:t xml:space="preserve">guidelines on </w:t>
      </w:r>
      <w:r w:rsidR="00AC1956">
        <w:t xml:space="preserve">kerb heights, angles of corners, street and pavement width, types of </w:t>
      </w:r>
      <w:r w:rsidR="00A96DA6">
        <w:t xml:space="preserve">parking space et cetera. </w:t>
      </w:r>
      <w:r w:rsidR="00AC15CB">
        <w:t>For this purpose, many municipalities follow the guidelines developed by the consulting platform CROW.</w:t>
      </w:r>
      <w:r w:rsidR="0095789D">
        <w:rPr>
          <w:rStyle w:val="FootnoteReference"/>
        </w:rPr>
        <w:footnoteReference w:id="221"/>
      </w:r>
      <w:r w:rsidR="003C23C7">
        <w:t xml:space="preserve"> The document that contains the actual design is a</w:t>
      </w:r>
      <w:r w:rsidR="004A0617">
        <w:t>n administrative</w:t>
      </w:r>
      <w:r w:rsidR="003C23C7">
        <w:t xml:space="preserve"> decision of the municipality, </w:t>
      </w:r>
      <w:r w:rsidR="004A0617">
        <w:t xml:space="preserve">and it can therefore </w:t>
      </w:r>
      <w:r w:rsidR="003C23C7">
        <w:t>be appealed.</w:t>
      </w:r>
    </w:p>
    <w:p w14:paraId="61CBADB0" w14:textId="233211BF" w:rsidR="00CF6D53" w:rsidRDefault="003F6AAC" w:rsidP="00F9312C">
      <w:pPr>
        <w:spacing w:line="360" w:lineRule="auto"/>
      </w:pPr>
      <w:r>
        <w:t xml:space="preserve">Municipalities have a wide margin of appreciation to </w:t>
      </w:r>
      <w:r w:rsidR="00AC15CB">
        <w:t>set rule</w:t>
      </w:r>
      <w:r w:rsidR="0073516A">
        <w:t>s</w:t>
      </w:r>
      <w:r w:rsidR="00AC15CB">
        <w:t xml:space="preserve"> and regulations for</w:t>
      </w:r>
      <w:r>
        <w:t xml:space="preserve"> design and construction</w:t>
      </w:r>
      <w:r w:rsidR="00AC15CB">
        <w:t xml:space="preserve"> and to develop procedures</w:t>
      </w:r>
      <w:r>
        <w:t>.</w:t>
      </w:r>
      <w:r w:rsidR="00AC15CB">
        <w:t xml:space="preserve"> In the context of this report, an overview of all 400+ municipal regulations cannot be given. </w:t>
      </w:r>
      <w:r w:rsidR="00AC1956">
        <w:t>Therefore, two examples</w:t>
      </w:r>
      <w:r w:rsidR="00AC15CB">
        <w:t xml:space="preserve"> will be </w:t>
      </w:r>
      <w:r w:rsidR="00072F9C">
        <w:t xml:space="preserve">briefly </w:t>
      </w:r>
      <w:r w:rsidR="00AC15CB">
        <w:t>discussed below</w:t>
      </w:r>
      <w:r w:rsidR="00AC1956">
        <w:t>: Utrecht and Almere</w:t>
      </w:r>
      <w:r w:rsidR="00AC15CB">
        <w:t>.</w:t>
      </w:r>
    </w:p>
    <w:p w14:paraId="1873B591" w14:textId="2A092C4E" w:rsidR="00CC4E1B" w:rsidRDefault="00CC4E1B" w:rsidP="00F9312C">
      <w:pPr>
        <w:spacing w:line="360" w:lineRule="auto"/>
      </w:pPr>
    </w:p>
    <w:p w14:paraId="2370A572" w14:textId="77777777" w:rsidR="00FA525F" w:rsidRPr="00FA525F" w:rsidRDefault="00FA525F" w:rsidP="00F9312C">
      <w:pPr>
        <w:spacing w:line="360" w:lineRule="auto"/>
        <w:rPr>
          <w:i/>
          <w:iCs/>
        </w:rPr>
      </w:pPr>
      <w:r w:rsidRPr="00FA525F">
        <w:rPr>
          <w:i/>
          <w:iCs/>
        </w:rPr>
        <w:t>Municipal building ordinance</w:t>
      </w:r>
      <w:r>
        <w:rPr>
          <w:i/>
          <w:iCs/>
        </w:rPr>
        <w:t xml:space="preserve"> Utrecht</w:t>
      </w:r>
    </w:p>
    <w:p w14:paraId="4B364A49" w14:textId="704E4CB4" w:rsidR="00247D5F" w:rsidRDefault="00B91BE7" w:rsidP="00F9312C">
      <w:pPr>
        <w:spacing w:line="360" w:lineRule="auto"/>
      </w:pPr>
      <w:r>
        <w:t>The local municipal building ordinance has no sections referring to accessibility. It contains a section relating to the duties during construction, which allows the municipality to set rules to prevent risks to the environment. This may be used to prevent blocking streets and pavements during construction works. It is not known if this provision is used for that purpose.</w:t>
      </w:r>
      <w:r>
        <w:rPr>
          <w:rStyle w:val="FootnoteReference"/>
        </w:rPr>
        <w:footnoteReference w:id="222"/>
      </w:r>
      <w:r>
        <w:t xml:space="preserve"> </w:t>
      </w:r>
      <w:r w:rsidR="00A96DA6">
        <w:t xml:space="preserve">The municipality applies the Handbook Footpaths for </w:t>
      </w:r>
      <w:proofErr w:type="gramStart"/>
      <w:r w:rsidR="00A96DA6">
        <w:t>Everyone</w:t>
      </w:r>
      <w:proofErr w:type="gramEnd"/>
      <w:r w:rsidR="00A96DA6">
        <w:t xml:space="preserve"> (see chapter A6.1) for the design of pavements and pedestrian areas.</w:t>
      </w:r>
    </w:p>
    <w:p w14:paraId="3E75F6FD" w14:textId="77777777" w:rsidR="00FA525F" w:rsidRDefault="00FA525F" w:rsidP="00F9312C">
      <w:pPr>
        <w:spacing w:line="360" w:lineRule="auto"/>
      </w:pPr>
    </w:p>
    <w:p w14:paraId="4E911BE7" w14:textId="54FE928D" w:rsidR="00FA525F" w:rsidRDefault="0040617D" w:rsidP="00F9312C">
      <w:pPr>
        <w:spacing w:line="360" w:lineRule="auto"/>
        <w:rPr>
          <w:i/>
          <w:iCs/>
        </w:rPr>
      </w:pPr>
      <w:r w:rsidRPr="00FA525F">
        <w:rPr>
          <w:i/>
          <w:iCs/>
        </w:rPr>
        <w:t>Municipal building ordinance</w:t>
      </w:r>
      <w:r>
        <w:rPr>
          <w:i/>
          <w:iCs/>
        </w:rPr>
        <w:t xml:space="preserve"> Almere</w:t>
      </w:r>
    </w:p>
    <w:p w14:paraId="4548FDA5" w14:textId="44A228D9" w:rsidR="0040617D" w:rsidRPr="0040617D" w:rsidRDefault="0040617D" w:rsidP="00F9312C">
      <w:pPr>
        <w:spacing w:line="360" w:lineRule="auto"/>
      </w:pPr>
      <w:r>
        <w:t>The</w:t>
      </w:r>
      <w:r w:rsidR="00B91BE7">
        <w:t xml:space="preserve"> Almere</w:t>
      </w:r>
      <w:r>
        <w:t xml:space="preserve"> municipal building ordinance contains no sections relating to accessibility of buildings or access paths or the prevention of blocking streets.</w:t>
      </w:r>
      <w:r w:rsidR="00B91BE7">
        <w:rPr>
          <w:rStyle w:val="FootnoteReference"/>
        </w:rPr>
        <w:footnoteReference w:id="223"/>
      </w:r>
    </w:p>
    <w:p w14:paraId="007E8928" w14:textId="77777777" w:rsidR="00FA525F" w:rsidRDefault="00FA525F" w:rsidP="00F9312C">
      <w:pPr>
        <w:spacing w:line="360" w:lineRule="auto"/>
      </w:pPr>
    </w:p>
    <w:p w14:paraId="381A9516" w14:textId="509F0F69" w:rsidR="00192E65" w:rsidRPr="00BC1033" w:rsidRDefault="001F023C" w:rsidP="00F9312C">
      <w:pPr>
        <w:spacing w:line="360" w:lineRule="auto"/>
        <w:rPr>
          <w:b/>
          <w:bCs/>
        </w:rPr>
      </w:pPr>
      <w:r>
        <w:rPr>
          <w:b/>
          <w:bCs/>
        </w:rPr>
        <w:t>(b) Remedies, Sanctions or Other Outcomes</w:t>
      </w:r>
    </w:p>
    <w:p w14:paraId="4EFDC1F7" w14:textId="0F96FE47" w:rsidR="006717EF" w:rsidRDefault="006717EF" w:rsidP="00F9312C">
      <w:pPr>
        <w:spacing w:line="360" w:lineRule="auto"/>
      </w:pPr>
      <w:r>
        <w:t xml:space="preserve">Cases of non-compliance to the zoning plan by the municipality do not carry sanctions. </w:t>
      </w:r>
      <w:r w:rsidR="007F3088">
        <w:t>If, on appeal, the administrative court finds that the zoning plan needs to be revised, the municipality will change the plan and carry it out in accordance with the judgment.</w:t>
      </w:r>
    </w:p>
    <w:p w14:paraId="77543BA6" w14:textId="77777777" w:rsidR="007F3088" w:rsidRDefault="007F3088" w:rsidP="00F9312C">
      <w:pPr>
        <w:spacing w:line="360" w:lineRule="auto"/>
      </w:pPr>
    </w:p>
    <w:p w14:paraId="6ED63F90" w14:textId="6AC6E72B" w:rsidR="00192E65" w:rsidRPr="00BC1033" w:rsidRDefault="001F023C" w:rsidP="00F9312C">
      <w:pPr>
        <w:spacing w:line="360" w:lineRule="auto"/>
        <w:rPr>
          <w:b/>
          <w:bCs/>
        </w:rPr>
      </w:pPr>
      <w:r>
        <w:rPr>
          <w:b/>
          <w:bCs/>
        </w:rPr>
        <w:t>(c) Enforcement</w:t>
      </w:r>
    </w:p>
    <w:p w14:paraId="4D4FDFFA" w14:textId="533F9182" w:rsidR="006717EF" w:rsidRDefault="007F3088" w:rsidP="00F9312C">
      <w:pPr>
        <w:spacing w:line="360" w:lineRule="auto"/>
      </w:pPr>
      <w:r>
        <w:t xml:space="preserve">See above under (a). </w:t>
      </w:r>
    </w:p>
    <w:p w14:paraId="055A81F7" w14:textId="03F59B9A" w:rsidR="00192E65" w:rsidRDefault="00192E65" w:rsidP="00F9312C">
      <w:pPr>
        <w:spacing w:line="360" w:lineRule="auto"/>
      </w:pPr>
    </w:p>
    <w:p w14:paraId="7C38A4B0" w14:textId="77777777" w:rsidR="00192E65" w:rsidRPr="00402275" w:rsidRDefault="00192E65" w:rsidP="00F9312C">
      <w:pPr>
        <w:pStyle w:val="Heading2"/>
        <w:spacing w:line="360" w:lineRule="auto"/>
      </w:pPr>
      <w:r w:rsidRPr="00402275">
        <w:t xml:space="preserve">C3 </w:t>
      </w:r>
      <w:r w:rsidR="00237704" w:rsidRPr="00402275">
        <w:t>Obstructing</w:t>
      </w:r>
      <w:r w:rsidRPr="00402275">
        <w:t xml:space="preserve"> roads or pavements </w:t>
      </w:r>
    </w:p>
    <w:p w14:paraId="2412EA7A" w14:textId="77777777" w:rsidR="00192E65" w:rsidRDefault="00192E65" w:rsidP="00F9312C">
      <w:pPr>
        <w:spacing w:line="360" w:lineRule="auto"/>
      </w:pPr>
    </w:p>
    <w:p w14:paraId="78A556FD" w14:textId="4C04C667" w:rsidR="008D1476" w:rsidRPr="00F9312C" w:rsidRDefault="00192E65" w:rsidP="00F9312C">
      <w:pPr>
        <w:pStyle w:val="Heading3"/>
        <w:spacing w:line="360" w:lineRule="auto"/>
        <w:rPr>
          <w:b/>
          <w:bCs w:val="0"/>
        </w:rPr>
      </w:pPr>
      <w:r w:rsidRPr="00F9312C">
        <w:rPr>
          <w:b/>
          <w:bCs w:val="0"/>
        </w:rPr>
        <w:t xml:space="preserve">C3.1 </w:t>
      </w:r>
      <w:r w:rsidR="008D1476" w:rsidRPr="00F9312C">
        <w:rPr>
          <w:b/>
          <w:bCs w:val="0"/>
        </w:rPr>
        <w:t>General Municipal Ordinance (APV)</w:t>
      </w:r>
    </w:p>
    <w:p w14:paraId="6E3C3C33" w14:textId="77777777" w:rsidR="006126FA" w:rsidRPr="00402275" w:rsidRDefault="006126FA" w:rsidP="00F9312C">
      <w:pPr>
        <w:spacing w:line="360" w:lineRule="auto"/>
        <w:ind w:left="426"/>
        <w:rPr>
          <w:b/>
          <w:bCs/>
        </w:rPr>
      </w:pPr>
    </w:p>
    <w:p w14:paraId="705B34FC" w14:textId="011F16C6" w:rsidR="00192E65" w:rsidRPr="00BC1033" w:rsidRDefault="001F023C" w:rsidP="00F9312C">
      <w:pPr>
        <w:spacing w:line="360" w:lineRule="auto"/>
        <w:rPr>
          <w:b/>
          <w:bCs/>
        </w:rPr>
      </w:pPr>
      <w:r>
        <w:rPr>
          <w:b/>
          <w:bCs/>
        </w:rPr>
        <w:t>(</w:t>
      </w:r>
      <w:proofErr w:type="gramStart"/>
      <w:r>
        <w:rPr>
          <w:b/>
          <w:bCs/>
        </w:rPr>
        <w:t>a</w:t>
      </w:r>
      <w:proofErr w:type="gramEnd"/>
      <w:r>
        <w:rPr>
          <w:b/>
          <w:bCs/>
        </w:rPr>
        <w:t>) Description and Examples</w:t>
      </w:r>
    </w:p>
    <w:p w14:paraId="437C73C5" w14:textId="0E9CF50A" w:rsidR="00AD4C2F" w:rsidRPr="00740231" w:rsidRDefault="00414B6E" w:rsidP="00F9312C">
      <w:pPr>
        <w:pStyle w:val="Default"/>
        <w:spacing w:line="360" w:lineRule="auto"/>
        <w:rPr>
          <w:rFonts w:ascii="Arial" w:hAnsi="Arial" w:cs="Arial"/>
          <w:lang w:val="en-GB"/>
        </w:rPr>
      </w:pPr>
      <w:r>
        <w:rPr>
          <w:rFonts w:ascii="Arial" w:hAnsi="Arial" w:cs="Arial"/>
          <w:lang w:val="en-GB"/>
        </w:rPr>
        <w:t>Mo</w:t>
      </w:r>
      <w:r w:rsidR="0065184B" w:rsidRPr="00740231">
        <w:rPr>
          <w:rFonts w:ascii="Arial" w:hAnsi="Arial" w:cs="Arial"/>
          <w:lang w:val="en-GB"/>
        </w:rPr>
        <w:t xml:space="preserve">st municipal APVs </w:t>
      </w:r>
      <w:r>
        <w:rPr>
          <w:rFonts w:ascii="Arial" w:hAnsi="Arial" w:cs="Arial"/>
          <w:lang w:val="en-GB"/>
        </w:rPr>
        <w:t xml:space="preserve">include a prohibition of </w:t>
      </w:r>
      <w:r w:rsidR="0065184B" w:rsidRPr="00740231">
        <w:rPr>
          <w:rFonts w:ascii="Arial" w:hAnsi="Arial" w:cs="Arial"/>
          <w:lang w:val="en-GB"/>
        </w:rPr>
        <w:t>blocking streets and pedestrian areas</w:t>
      </w:r>
      <w:r>
        <w:rPr>
          <w:rFonts w:ascii="Arial" w:hAnsi="Arial" w:cs="Arial"/>
          <w:lang w:val="en-GB"/>
        </w:rPr>
        <w:t>. Chapter 2 of the Model Ordinance of the VNG</w:t>
      </w:r>
      <w:r w:rsidR="00402275">
        <w:rPr>
          <w:rFonts w:ascii="Arial" w:hAnsi="Arial" w:cs="Arial"/>
          <w:lang w:val="en-GB"/>
        </w:rPr>
        <w:t xml:space="preserve"> contains two types of prohibition</w:t>
      </w:r>
      <w:r>
        <w:rPr>
          <w:rFonts w:ascii="Arial" w:hAnsi="Arial" w:cs="Arial"/>
          <w:lang w:val="en-GB"/>
        </w:rPr>
        <w:t>.</w:t>
      </w:r>
      <w:r w:rsidR="00402275">
        <w:rPr>
          <w:rFonts w:ascii="Arial" w:hAnsi="Arial" w:cs="Arial"/>
          <w:lang w:val="en-GB"/>
        </w:rPr>
        <w:t xml:space="preserve"> The first type is a g</w:t>
      </w:r>
      <w:r w:rsidR="00402275" w:rsidRPr="00402275">
        <w:rPr>
          <w:rFonts w:ascii="Arial" w:hAnsi="Arial" w:cs="Arial"/>
          <w:lang w:val="en-GB"/>
        </w:rPr>
        <w:t>eneral rule with possibility of exemption</w:t>
      </w:r>
      <w:r w:rsidR="00402275">
        <w:rPr>
          <w:rFonts w:ascii="Arial" w:hAnsi="Arial" w:cs="Arial"/>
          <w:lang w:val="en-GB"/>
        </w:rPr>
        <w:t xml:space="preserve"> and the second type is the duty to apply for a permit. In both situations, i</w:t>
      </w:r>
      <w:r w:rsidR="00402275" w:rsidRPr="00402275">
        <w:rPr>
          <w:rFonts w:ascii="Arial" w:hAnsi="Arial" w:cs="Arial"/>
          <w:lang w:val="en-GB"/>
        </w:rPr>
        <w:t>t is forbidden to use the road or a road section other than according to its public function, if that use</w:t>
      </w:r>
      <w:r w:rsidR="00402275">
        <w:rPr>
          <w:rFonts w:ascii="Arial" w:hAnsi="Arial" w:cs="Arial"/>
          <w:lang w:val="en-GB"/>
        </w:rPr>
        <w:t xml:space="preserve"> </w:t>
      </w:r>
      <w:r w:rsidR="00402275" w:rsidRPr="00402275">
        <w:rPr>
          <w:rFonts w:ascii="Arial" w:hAnsi="Arial" w:cs="Arial"/>
          <w:lang w:val="en-GB"/>
        </w:rPr>
        <w:t>inflicts damage to the road</w:t>
      </w:r>
      <w:r w:rsidR="00402275">
        <w:rPr>
          <w:rFonts w:ascii="Arial" w:hAnsi="Arial" w:cs="Arial"/>
          <w:lang w:val="en-GB"/>
        </w:rPr>
        <w:t xml:space="preserve"> or</w:t>
      </w:r>
      <w:r w:rsidR="00402275" w:rsidRPr="00402275">
        <w:rPr>
          <w:rFonts w:ascii="Arial" w:hAnsi="Arial" w:cs="Arial"/>
          <w:lang w:val="en-GB"/>
        </w:rPr>
        <w:t xml:space="preserve"> impedes the usability of the road</w:t>
      </w:r>
      <w:r w:rsidR="00402275">
        <w:rPr>
          <w:rFonts w:ascii="Arial" w:hAnsi="Arial" w:cs="Arial"/>
          <w:lang w:val="en-GB"/>
        </w:rPr>
        <w:t>.</w:t>
      </w:r>
      <w:r w:rsidR="00402275">
        <w:rPr>
          <w:rStyle w:val="FootnoteReference"/>
          <w:rFonts w:cs="Arial"/>
          <w:lang w:val="en-GB"/>
        </w:rPr>
        <w:footnoteReference w:id="224"/>
      </w:r>
      <w:r w:rsidR="00402275">
        <w:rPr>
          <w:rFonts w:ascii="Arial" w:hAnsi="Arial" w:cs="Arial"/>
          <w:lang w:val="en-GB"/>
        </w:rPr>
        <w:t xml:space="preserve"> </w:t>
      </w:r>
      <w:r>
        <w:rPr>
          <w:rFonts w:ascii="Arial" w:hAnsi="Arial" w:cs="Arial"/>
          <w:lang w:val="en-GB"/>
        </w:rPr>
        <w:t xml:space="preserve">Municipalities are under no obligation to follow the Model Ordinance, but most municipalities do use the model in their version. For a description of </w:t>
      </w:r>
      <w:r w:rsidR="00402275">
        <w:rPr>
          <w:rFonts w:ascii="Arial" w:hAnsi="Arial" w:cs="Arial"/>
          <w:lang w:val="en-GB"/>
        </w:rPr>
        <w:t xml:space="preserve">how </w:t>
      </w:r>
      <w:r>
        <w:rPr>
          <w:rFonts w:ascii="Arial" w:hAnsi="Arial" w:cs="Arial"/>
          <w:lang w:val="en-GB"/>
        </w:rPr>
        <w:t xml:space="preserve">the two cities </w:t>
      </w:r>
      <w:r w:rsidR="00402275">
        <w:rPr>
          <w:rFonts w:ascii="Arial" w:hAnsi="Arial" w:cs="Arial"/>
          <w:lang w:val="en-GB"/>
        </w:rPr>
        <w:t xml:space="preserve">under research, </w:t>
      </w:r>
      <w:r w:rsidR="00402275" w:rsidRPr="00740231">
        <w:rPr>
          <w:rFonts w:ascii="Arial" w:hAnsi="Arial" w:cs="Arial"/>
          <w:lang w:val="en-GB"/>
        </w:rPr>
        <w:t>Utrecht</w:t>
      </w:r>
      <w:r w:rsidR="00402275">
        <w:rPr>
          <w:rFonts w:ascii="Arial" w:hAnsi="Arial" w:cs="Arial"/>
          <w:lang w:val="en-GB"/>
        </w:rPr>
        <w:t xml:space="preserve"> and</w:t>
      </w:r>
      <w:r w:rsidR="00402275" w:rsidRPr="00740231">
        <w:rPr>
          <w:rFonts w:ascii="Arial" w:hAnsi="Arial" w:cs="Arial"/>
          <w:lang w:val="en-GB"/>
        </w:rPr>
        <w:t xml:space="preserve"> Almere</w:t>
      </w:r>
      <w:r w:rsidR="00402275">
        <w:rPr>
          <w:rFonts w:ascii="Arial" w:hAnsi="Arial" w:cs="Arial"/>
          <w:lang w:val="en-GB"/>
        </w:rPr>
        <w:t>,</w:t>
      </w:r>
      <w:r w:rsidR="00402275" w:rsidRPr="00740231">
        <w:rPr>
          <w:rFonts w:ascii="Arial" w:hAnsi="Arial" w:cs="Arial"/>
          <w:lang w:val="en-GB"/>
        </w:rPr>
        <w:t xml:space="preserve"> </w:t>
      </w:r>
      <w:r w:rsidR="00402275">
        <w:rPr>
          <w:rFonts w:ascii="Arial" w:hAnsi="Arial" w:cs="Arial"/>
          <w:lang w:val="en-GB"/>
        </w:rPr>
        <w:t xml:space="preserve">have arranged this, </w:t>
      </w:r>
      <w:r w:rsidR="0065184B" w:rsidRPr="00740231">
        <w:rPr>
          <w:rFonts w:ascii="Arial" w:hAnsi="Arial" w:cs="Arial"/>
          <w:lang w:val="en-GB"/>
        </w:rPr>
        <w:t>see Chapter A</w:t>
      </w:r>
      <w:r>
        <w:rPr>
          <w:rFonts w:ascii="Arial" w:hAnsi="Arial" w:cs="Arial"/>
          <w:lang w:val="en-GB"/>
        </w:rPr>
        <w:t>6.1 and A6.2</w:t>
      </w:r>
      <w:r w:rsidR="0065184B" w:rsidRPr="00740231">
        <w:rPr>
          <w:rFonts w:ascii="Arial" w:hAnsi="Arial" w:cs="Arial"/>
          <w:lang w:val="en-GB"/>
        </w:rPr>
        <w:t xml:space="preserve">. </w:t>
      </w:r>
    </w:p>
    <w:p w14:paraId="042DA07A" w14:textId="6DEA98F1" w:rsidR="008D1476" w:rsidRPr="00740231" w:rsidRDefault="008D1476" w:rsidP="00F9312C">
      <w:pPr>
        <w:spacing w:line="360" w:lineRule="auto"/>
        <w:ind w:left="720"/>
        <w:rPr>
          <w:rFonts w:cs="Arial"/>
          <w:szCs w:val="24"/>
        </w:rPr>
      </w:pPr>
    </w:p>
    <w:p w14:paraId="760C89ED" w14:textId="0A1C107B" w:rsidR="00192E65" w:rsidRPr="00BC1033" w:rsidRDefault="001F023C" w:rsidP="00F9312C">
      <w:pPr>
        <w:spacing w:line="360" w:lineRule="auto"/>
        <w:rPr>
          <w:b/>
          <w:bCs/>
        </w:rPr>
      </w:pPr>
      <w:r>
        <w:rPr>
          <w:b/>
          <w:bCs/>
        </w:rPr>
        <w:t>(b) Remedies, Sanctions or Other Outcomes</w:t>
      </w:r>
    </w:p>
    <w:p w14:paraId="527341BB" w14:textId="0C5AEBC2" w:rsidR="006717EF" w:rsidRDefault="006717EF" w:rsidP="00F9312C">
      <w:pPr>
        <w:spacing w:line="360" w:lineRule="auto"/>
        <w:rPr>
          <w:lang w:eastAsia="nl-NL" w:bidi="en-US"/>
        </w:rPr>
      </w:pPr>
      <w:r>
        <w:rPr>
          <w:lang w:eastAsia="nl-NL" w:bidi="en-US"/>
        </w:rPr>
        <w:t>A violation of the APV carries a fine of 4,350</w:t>
      </w:r>
      <w:r w:rsidR="000663A5">
        <w:rPr>
          <w:lang w:eastAsia="nl-NL" w:bidi="en-US"/>
        </w:rPr>
        <w:t xml:space="preserve"> </w:t>
      </w:r>
      <w:r>
        <w:rPr>
          <w:lang w:eastAsia="nl-NL" w:bidi="en-US"/>
        </w:rPr>
        <w:t>€ or a maximum imprisonment of three months.</w:t>
      </w:r>
    </w:p>
    <w:p w14:paraId="058F32E6" w14:textId="77777777" w:rsidR="00D77E35" w:rsidRDefault="00D77E35" w:rsidP="00F9312C">
      <w:pPr>
        <w:spacing w:line="360" w:lineRule="auto"/>
      </w:pPr>
    </w:p>
    <w:p w14:paraId="5A1435F8" w14:textId="584F03B7" w:rsidR="00192E65" w:rsidRPr="00BC1033" w:rsidRDefault="001F023C" w:rsidP="00F9312C">
      <w:pPr>
        <w:spacing w:line="360" w:lineRule="auto"/>
        <w:rPr>
          <w:b/>
          <w:bCs/>
        </w:rPr>
      </w:pPr>
      <w:r>
        <w:rPr>
          <w:b/>
          <w:bCs/>
        </w:rPr>
        <w:t>(c) Enforcement</w:t>
      </w:r>
    </w:p>
    <w:p w14:paraId="60BAC7FA" w14:textId="55D7D089" w:rsidR="006744C5" w:rsidRDefault="00E863B7" w:rsidP="00F9312C">
      <w:pPr>
        <w:spacing w:line="360" w:lineRule="auto"/>
      </w:pPr>
      <w:r>
        <w:t>In cases where pedestrian areas are blocked or obstructed by others, resulting in inaccessibility, a person may request the responsible authorities to enforce traffic laws or other relevant regulations, such as the APV. In case the authority adheres and removes the obstacle, the issue is solved. In case where an authority refuses to apply enforcement measures, the General Administrative Law Act gives the possibility to initiate legal action. A decision not to apply enforcement is regarded as an administrative law decision.</w:t>
      </w:r>
      <w:r>
        <w:rPr>
          <w:rStyle w:val="FootnoteReference"/>
        </w:rPr>
        <w:footnoteReference w:id="225"/>
      </w:r>
      <w:r>
        <w:t xml:space="preserve"> This decision may be appealed</w:t>
      </w:r>
      <w:r w:rsidR="006744C5">
        <w:t xml:space="preserve"> by an interested party</w:t>
      </w:r>
      <w:r>
        <w:t xml:space="preserve">, first </w:t>
      </w:r>
      <w:r w:rsidR="006744C5">
        <w:t>through</w:t>
      </w:r>
      <w:r>
        <w:t xml:space="preserve"> </w:t>
      </w:r>
      <w:r w:rsidR="006744C5">
        <w:t xml:space="preserve">the preliminary procedure of submitting </w:t>
      </w:r>
      <w:r>
        <w:t xml:space="preserve">an objection at the responsible authority. </w:t>
      </w:r>
      <w:r w:rsidR="006744C5">
        <w:t xml:space="preserve">The aim of this </w:t>
      </w:r>
      <w:r w:rsidR="006744C5" w:rsidRPr="006744C5">
        <w:rPr>
          <w:rFonts w:cs="Arial"/>
          <w:szCs w:val="24"/>
        </w:rPr>
        <w:t xml:space="preserve">procedure </w:t>
      </w:r>
      <w:r w:rsidR="006744C5">
        <w:rPr>
          <w:rFonts w:cs="Arial"/>
          <w:szCs w:val="24"/>
        </w:rPr>
        <w:t xml:space="preserve">is to </w:t>
      </w:r>
      <w:r w:rsidR="006744C5" w:rsidRPr="006744C5">
        <w:rPr>
          <w:rFonts w:cs="Arial"/>
          <w:szCs w:val="24"/>
        </w:rPr>
        <w:t xml:space="preserve">allow the individual to explain why he or she disagrees with the </w:t>
      </w:r>
      <w:r w:rsidR="006744C5">
        <w:rPr>
          <w:rFonts w:cs="Arial"/>
          <w:szCs w:val="24"/>
        </w:rPr>
        <w:t>decision</w:t>
      </w:r>
      <w:r w:rsidR="006744C5" w:rsidRPr="006744C5">
        <w:rPr>
          <w:rFonts w:cs="Arial"/>
          <w:szCs w:val="24"/>
        </w:rPr>
        <w:t xml:space="preserve">, after which the authority </w:t>
      </w:r>
      <w:r w:rsidR="006744C5">
        <w:rPr>
          <w:rFonts w:cs="Arial"/>
          <w:szCs w:val="24"/>
        </w:rPr>
        <w:t>may re</w:t>
      </w:r>
      <w:r w:rsidR="006744C5" w:rsidRPr="006744C5">
        <w:rPr>
          <w:rFonts w:cs="Arial"/>
          <w:szCs w:val="24"/>
        </w:rPr>
        <w:t>consider</w:t>
      </w:r>
      <w:r w:rsidR="006744C5">
        <w:rPr>
          <w:rFonts w:cs="Arial"/>
          <w:szCs w:val="24"/>
        </w:rPr>
        <w:t xml:space="preserve"> </w:t>
      </w:r>
      <w:r w:rsidR="006744C5" w:rsidRPr="006744C5">
        <w:rPr>
          <w:rFonts w:cs="Arial"/>
          <w:szCs w:val="24"/>
        </w:rPr>
        <w:t xml:space="preserve">its </w:t>
      </w:r>
      <w:r w:rsidR="006744C5">
        <w:rPr>
          <w:rFonts w:cs="Arial"/>
          <w:szCs w:val="24"/>
        </w:rPr>
        <w:t>decision</w:t>
      </w:r>
      <w:r w:rsidR="006744C5" w:rsidRPr="006744C5">
        <w:rPr>
          <w:rFonts w:cs="Arial"/>
          <w:szCs w:val="24"/>
        </w:rPr>
        <w:t>.</w:t>
      </w:r>
    </w:p>
    <w:p w14:paraId="7123A1A2" w14:textId="1695AF42" w:rsidR="00E863B7" w:rsidRDefault="00E863B7" w:rsidP="00F9312C">
      <w:pPr>
        <w:spacing w:line="360" w:lineRule="auto"/>
      </w:pPr>
      <w:r w:rsidRPr="00AD4C2F">
        <w:t xml:space="preserve">When the objection is rejected, </w:t>
      </w:r>
      <w:r w:rsidR="006744C5">
        <w:t xml:space="preserve">in second instance </w:t>
      </w:r>
      <w:r w:rsidRPr="00AD4C2F">
        <w:t>the complainant may appeal the decision at the administrative section of the regional court</w:t>
      </w:r>
      <w:r>
        <w:t>. In case of a negative verdict, the judgment may be appealed at the highest administrative court, the A</w:t>
      </w:r>
      <w:r w:rsidR="000663A5">
        <w:t>dministrative Jurisdiction Division of the Council of State (</w:t>
      </w:r>
      <w:proofErr w:type="spellStart"/>
      <w:r w:rsidR="000663A5">
        <w:t>A</w:t>
      </w:r>
      <w:r>
        <w:t>BRvS</w:t>
      </w:r>
      <w:proofErr w:type="spellEnd"/>
      <w:r w:rsidR="000663A5">
        <w:t>)</w:t>
      </w:r>
      <w:r>
        <w:t xml:space="preserve">. </w:t>
      </w:r>
    </w:p>
    <w:p w14:paraId="54674216" w14:textId="77777777" w:rsidR="00192E65" w:rsidRDefault="00192E65" w:rsidP="00F9312C">
      <w:pPr>
        <w:spacing w:line="360" w:lineRule="auto"/>
        <w:ind w:left="720"/>
      </w:pPr>
    </w:p>
    <w:p w14:paraId="6F286016" w14:textId="20809577" w:rsidR="00725787" w:rsidRPr="00F9312C" w:rsidRDefault="00192E65" w:rsidP="00F9312C">
      <w:pPr>
        <w:pStyle w:val="Heading3"/>
        <w:spacing w:line="360" w:lineRule="auto"/>
        <w:rPr>
          <w:b/>
          <w:bCs w:val="0"/>
        </w:rPr>
      </w:pPr>
      <w:r w:rsidRPr="00F9312C">
        <w:rPr>
          <w:b/>
          <w:bCs w:val="0"/>
        </w:rPr>
        <w:t xml:space="preserve">C3.2 </w:t>
      </w:r>
      <w:proofErr w:type="spellStart"/>
      <w:r w:rsidR="00725787" w:rsidRPr="00F9312C">
        <w:rPr>
          <w:b/>
          <w:bCs w:val="0"/>
        </w:rPr>
        <w:t>Wegenverkeerswet</w:t>
      </w:r>
      <w:proofErr w:type="spellEnd"/>
      <w:r w:rsidR="00725787" w:rsidRPr="00F9312C">
        <w:rPr>
          <w:b/>
          <w:bCs w:val="0"/>
        </w:rPr>
        <w:t xml:space="preserve"> 1994 (‘</w:t>
      </w:r>
      <w:r w:rsidR="00725787" w:rsidRPr="00F9312C">
        <w:rPr>
          <w:b/>
          <w:bCs w:val="0"/>
          <w:i/>
          <w:iCs/>
        </w:rPr>
        <w:t>Road Traffic Act 1994</w:t>
      </w:r>
      <w:r w:rsidR="00725787" w:rsidRPr="00F9312C">
        <w:rPr>
          <w:b/>
          <w:bCs w:val="0"/>
        </w:rPr>
        <w:t>’)</w:t>
      </w:r>
    </w:p>
    <w:p w14:paraId="7AFB1EEE" w14:textId="77777777" w:rsidR="00725787" w:rsidRDefault="00725787" w:rsidP="00F9312C">
      <w:pPr>
        <w:spacing w:line="360" w:lineRule="auto"/>
      </w:pPr>
    </w:p>
    <w:p w14:paraId="0EDE82E1" w14:textId="462DC7BD" w:rsidR="00725787" w:rsidRPr="00BC1033" w:rsidRDefault="001F023C" w:rsidP="00F9312C">
      <w:pPr>
        <w:spacing w:line="360" w:lineRule="auto"/>
        <w:rPr>
          <w:b/>
          <w:bCs/>
        </w:rPr>
      </w:pPr>
      <w:r>
        <w:rPr>
          <w:b/>
          <w:bCs/>
        </w:rPr>
        <w:t>(</w:t>
      </w:r>
      <w:proofErr w:type="gramStart"/>
      <w:r>
        <w:rPr>
          <w:b/>
          <w:bCs/>
        </w:rPr>
        <w:t>a</w:t>
      </w:r>
      <w:proofErr w:type="gramEnd"/>
      <w:r>
        <w:rPr>
          <w:b/>
          <w:bCs/>
        </w:rPr>
        <w:t>) Description and Examples</w:t>
      </w:r>
      <w:r w:rsidR="00725787" w:rsidRPr="00BC1033">
        <w:rPr>
          <w:b/>
          <w:bCs/>
        </w:rPr>
        <w:t xml:space="preserve"> </w:t>
      </w:r>
    </w:p>
    <w:p w14:paraId="7AE263F8" w14:textId="41000419" w:rsidR="006B0F2D" w:rsidRDefault="00725787" w:rsidP="00F9312C">
      <w:pPr>
        <w:pStyle w:val="ListParagraph"/>
        <w:spacing w:line="360" w:lineRule="auto"/>
        <w:ind w:left="0"/>
      </w:pPr>
      <w:r>
        <w:t>The Road Traffic Act</w:t>
      </w:r>
      <w:r w:rsidR="00C306F0">
        <w:t xml:space="preserve"> 1994</w:t>
      </w:r>
      <w:r>
        <w:t xml:space="preserve"> addresses, amongst others, behaviour of road users. The specific provision in the Act, article 5 Road Traffic Act, </w:t>
      </w:r>
      <w:r w:rsidRPr="001B4825">
        <w:t>forbid</w:t>
      </w:r>
      <w:r>
        <w:t>s</w:t>
      </w:r>
      <w:r w:rsidRPr="001B4825">
        <w:t xml:space="preserve"> anyone to behave in such a way that danger is or can be caused on the road or that traffic on the road is hindered or can be hindered.</w:t>
      </w:r>
      <w:r>
        <w:t xml:space="preserve"> </w:t>
      </w:r>
      <w:r w:rsidR="006B0F2D">
        <w:t>A specific section addresses pedestrians with disabilities. Article 49 Road Traffic Act requires drivers to give priority to pedestrians carrying a white cane and to other persons with disabilities.</w:t>
      </w:r>
    </w:p>
    <w:p w14:paraId="094FB34E" w14:textId="38A9F8B1" w:rsidR="00725787" w:rsidRDefault="00725787" w:rsidP="00F9312C">
      <w:pPr>
        <w:pStyle w:val="ListParagraph"/>
        <w:spacing w:line="360" w:lineRule="auto"/>
        <w:ind w:left="0"/>
      </w:pPr>
      <w:r>
        <w:t>In 2019, a new section 5A in the Act was introduced, aimed at forbidding dangerous traffic behaviour</w:t>
      </w:r>
      <w:r w:rsidR="00D77E35">
        <w:t xml:space="preserve"> with potential serious consequences</w:t>
      </w:r>
      <w:r>
        <w:t>.</w:t>
      </w:r>
      <w:r>
        <w:rPr>
          <w:rStyle w:val="FootnoteReference"/>
        </w:rPr>
        <w:footnoteReference w:id="226"/>
      </w:r>
      <w:r>
        <w:t xml:space="preserve"> </w:t>
      </w:r>
    </w:p>
    <w:p w14:paraId="519E6857" w14:textId="77777777" w:rsidR="00725787" w:rsidRDefault="00725787" w:rsidP="00F9312C">
      <w:pPr>
        <w:pStyle w:val="ListParagraph"/>
        <w:spacing w:line="360" w:lineRule="auto"/>
        <w:ind w:left="360"/>
      </w:pPr>
    </w:p>
    <w:p w14:paraId="4515A381" w14:textId="429F67D4" w:rsidR="00725787" w:rsidRPr="00BC1033" w:rsidRDefault="001F023C" w:rsidP="00F9312C">
      <w:pPr>
        <w:spacing w:line="360" w:lineRule="auto"/>
        <w:rPr>
          <w:b/>
          <w:bCs/>
        </w:rPr>
      </w:pPr>
      <w:r>
        <w:rPr>
          <w:b/>
          <w:bCs/>
        </w:rPr>
        <w:t>(b) Remedies, Sanctions or Other Outcomes</w:t>
      </w:r>
      <w:r w:rsidR="00725787" w:rsidRPr="00BC1033">
        <w:rPr>
          <w:b/>
          <w:bCs/>
        </w:rPr>
        <w:t xml:space="preserve"> </w:t>
      </w:r>
    </w:p>
    <w:p w14:paraId="6A2E53CB" w14:textId="0FBB966E" w:rsidR="00725787" w:rsidRPr="00AD130F" w:rsidRDefault="00725787" w:rsidP="00F9312C">
      <w:pPr>
        <w:pStyle w:val="ListParagraph"/>
        <w:spacing w:line="360" w:lineRule="auto"/>
        <w:ind w:left="0"/>
        <w:rPr>
          <w:szCs w:val="24"/>
        </w:rPr>
      </w:pPr>
      <w:r>
        <w:t>Violation of the traffic laws is a punishable offence</w:t>
      </w:r>
      <w:r w:rsidRPr="00A20DDB">
        <w:rPr>
          <w:szCs w:val="24"/>
        </w:rPr>
        <w:t>.</w:t>
      </w:r>
      <w:r>
        <w:rPr>
          <w:szCs w:val="24"/>
        </w:rPr>
        <w:t xml:space="preserve"> Violations of</w:t>
      </w:r>
      <w:r w:rsidR="00BC1033">
        <w:rPr>
          <w:szCs w:val="24"/>
        </w:rPr>
        <w:t xml:space="preserve"> article </w:t>
      </w:r>
      <w:r>
        <w:rPr>
          <w:szCs w:val="24"/>
        </w:rPr>
        <w:t>5 and 5A Road Traffic Act</w:t>
      </w:r>
      <w:r w:rsidRPr="00A20DDB">
        <w:rPr>
          <w:szCs w:val="24"/>
        </w:rPr>
        <w:t xml:space="preserve"> </w:t>
      </w:r>
      <w:r>
        <w:rPr>
          <w:szCs w:val="24"/>
        </w:rPr>
        <w:t xml:space="preserve">are punishable with </w:t>
      </w:r>
      <w:r w:rsidRPr="00AD130F">
        <w:rPr>
          <w:szCs w:val="24"/>
        </w:rPr>
        <w:t>imprisonment or a fine.</w:t>
      </w:r>
      <w:r>
        <w:rPr>
          <w:rStyle w:val="FootnoteReference"/>
          <w:szCs w:val="24"/>
        </w:rPr>
        <w:footnoteReference w:id="227"/>
      </w:r>
      <w:r>
        <w:rPr>
          <w:szCs w:val="24"/>
        </w:rPr>
        <w:t xml:space="preserve"> For the relatively minor offences of</w:t>
      </w:r>
      <w:r w:rsidR="00BC1033">
        <w:rPr>
          <w:szCs w:val="24"/>
        </w:rPr>
        <w:t xml:space="preserve"> article </w:t>
      </w:r>
      <w:r>
        <w:rPr>
          <w:szCs w:val="24"/>
        </w:rPr>
        <w:t>5, imprisonment of up to 6 months or a fine of up to € 8,700 is possible, for the more serious crime of</w:t>
      </w:r>
      <w:r w:rsidR="00BC1033">
        <w:rPr>
          <w:szCs w:val="24"/>
        </w:rPr>
        <w:t xml:space="preserve"> article </w:t>
      </w:r>
      <w:r>
        <w:rPr>
          <w:szCs w:val="24"/>
        </w:rPr>
        <w:t>5A Road Traffic Act, t</w:t>
      </w:r>
      <w:r>
        <w:t>he maximum sentence is 2 years imprisonment or a fine of € 21,750.</w:t>
      </w:r>
      <w:r>
        <w:rPr>
          <w:rStyle w:val="FootnoteReference"/>
        </w:rPr>
        <w:footnoteReference w:id="228"/>
      </w:r>
    </w:p>
    <w:p w14:paraId="0E517AFA" w14:textId="77777777" w:rsidR="00725787" w:rsidRDefault="00725787" w:rsidP="00F9312C">
      <w:pPr>
        <w:spacing w:line="360" w:lineRule="auto"/>
        <w:ind w:left="720"/>
      </w:pPr>
    </w:p>
    <w:p w14:paraId="57A6F7A7" w14:textId="5A61EFD7" w:rsidR="00725787" w:rsidRPr="00BC1033" w:rsidRDefault="001F023C" w:rsidP="00F9312C">
      <w:pPr>
        <w:spacing w:line="360" w:lineRule="auto"/>
        <w:rPr>
          <w:b/>
          <w:bCs/>
        </w:rPr>
      </w:pPr>
      <w:r>
        <w:rPr>
          <w:b/>
          <w:bCs/>
        </w:rPr>
        <w:t>(c) Enforcement</w:t>
      </w:r>
    </w:p>
    <w:p w14:paraId="0EDBD044" w14:textId="7B735F29" w:rsidR="007A6C7F" w:rsidRDefault="001F023C" w:rsidP="00F9312C">
      <w:pPr>
        <w:spacing w:line="360" w:lineRule="auto"/>
      </w:pPr>
      <w:r>
        <w:t>Enforcement</w:t>
      </w:r>
      <w:r w:rsidR="00725787">
        <w:t xml:space="preserve"> is possible through intervention of the police. </w:t>
      </w:r>
      <w:r w:rsidR="00725787" w:rsidRPr="00725787">
        <w:t>When police officer</w:t>
      </w:r>
      <w:r w:rsidR="00725787">
        <w:t>s</w:t>
      </w:r>
      <w:r w:rsidR="00725787" w:rsidRPr="00725787">
        <w:t xml:space="preserve"> find an offen</w:t>
      </w:r>
      <w:r w:rsidR="00725787">
        <w:t>c</w:t>
      </w:r>
      <w:r w:rsidR="00725787" w:rsidRPr="00725787">
        <w:t>e</w:t>
      </w:r>
      <w:r w:rsidR="00725787">
        <w:t xml:space="preserve">, they may make a report and start prosecution. </w:t>
      </w:r>
    </w:p>
    <w:p w14:paraId="396A158B" w14:textId="77777777" w:rsidR="007A6C7F" w:rsidRDefault="007A6C7F" w:rsidP="00F9312C">
      <w:pPr>
        <w:spacing w:line="360" w:lineRule="auto"/>
      </w:pPr>
    </w:p>
    <w:p w14:paraId="5BFF6139" w14:textId="29E8D503" w:rsidR="00C306F0" w:rsidRDefault="007A6C7F" w:rsidP="00F9312C">
      <w:pPr>
        <w:spacing w:line="360" w:lineRule="auto"/>
      </w:pPr>
      <w:r>
        <w:t>An example is the following case of the Appeal court Arnhem/Leeuwarden of 4 February 2019:</w:t>
      </w:r>
      <w:r>
        <w:rPr>
          <w:rStyle w:val="FootnoteReference"/>
        </w:rPr>
        <w:footnoteReference w:id="229"/>
      </w:r>
      <w:r>
        <w:t xml:space="preserve"> In the case, </w:t>
      </w:r>
      <w:r w:rsidR="00C306F0">
        <w:t>a car was parked on the pavement in front of a private exit. A police officer fined the driver, who contested the decision in the regional court</w:t>
      </w:r>
      <w:r w:rsidR="006126FA">
        <w:t xml:space="preserve"> of first instance</w:t>
      </w:r>
      <w:r w:rsidR="00C306F0">
        <w:t xml:space="preserve">. </w:t>
      </w:r>
    </w:p>
    <w:p w14:paraId="22DEA667" w14:textId="624089E7" w:rsidR="007A6C7F" w:rsidRDefault="00C306F0" w:rsidP="00F9312C">
      <w:pPr>
        <w:spacing w:line="360" w:lineRule="auto"/>
      </w:pPr>
      <w:r>
        <w:t>T</w:t>
      </w:r>
      <w:r w:rsidR="007A6C7F">
        <w:t xml:space="preserve">he </w:t>
      </w:r>
      <w:r>
        <w:t xml:space="preserve">police </w:t>
      </w:r>
      <w:r w:rsidR="007A6C7F">
        <w:t>officer</w:t>
      </w:r>
      <w:r>
        <w:t>’s report</w:t>
      </w:r>
      <w:r w:rsidR="007A6C7F">
        <w:t xml:space="preserve"> </w:t>
      </w:r>
      <w:r>
        <w:t>contain</w:t>
      </w:r>
      <w:r w:rsidR="00F661D9">
        <w:t>s</w:t>
      </w:r>
      <w:r>
        <w:t xml:space="preserve"> the</w:t>
      </w:r>
      <w:r w:rsidR="007A6C7F">
        <w:t xml:space="preserve"> follow</w:t>
      </w:r>
      <w:r>
        <w:t xml:space="preserve">ing </w:t>
      </w:r>
      <w:r w:rsidR="007A6C7F">
        <w:t>s</w:t>
      </w:r>
      <w:r>
        <w:t>tatement</w:t>
      </w:r>
      <w:r w:rsidR="007A6C7F">
        <w:t>:</w:t>
      </w:r>
    </w:p>
    <w:p w14:paraId="3F783458" w14:textId="7CEA6DA1" w:rsidR="007A6C7F" w:rsidRDefault="007A6C7F" w:rsidP="00F9312C">
      <w:pPr>
        <w:spacing w:line="360" w:lineRule="auto"/>
      </w:pPr>
      <w:r>
        <w:t xml:space="preserve">"I saw this car on the pavement and in front of a garage exit. The owner of the car in the garage wanted to leave, but was hindered by this car that blocked the road. </w:t>
      </w:r>
    </w:p>
    <w:p w14:paraId="257ED5F6" w14:textId="6DF633A8" w:rsidR="00485FC7" w:rsidRDefault="007A6C7F" w:rsidP="00F9312C">
      <w:pPr>
        <w:spacing w:line="360" w:lineRule="auto"/>
      </w:pPr>
      <w:r>
        <w:t xml:space="preserve">I saw that this car was a major nuisance to pedestrians. I saw that pedestrians had to walk down the street. It was </w:t>
      </w:r>
      <w:r w:rsidR="00C306F0">
        <w:t xml:space="preserve">a </w:t>
      </w:r>
      <w:r>
        <w:t>Saturday, so it was crowded. As many as 20 people walked by using the pavement. I also saw disabled people who could not pass. This caused great inconvenience."</w:t>
      </w:r>
      <w:r w:rsidR="00485FC7">
        <w:t xml:space="preserve"> </w:t>
      </w:r>
    </w:p>
    <w:p w14:paraId="27447834" w14:textId="2F22D735" w:rsidR="007A6C7F" w:rsidRDefault="00485FC7" w:rsidP="00F9312C">
      <w:pPr>
        <w:spacing w:line="360" w:lineRule="auto"/>
      </w:pPr>
      <w:r>
        <w:t xml:space="preserve">The regional court found the driver guilty of violating article 5 Road Traffic Act and imposed a fine. In the appeal procedure, the </w:t>
      </w:r>
      <w:r w:rsidR="006126FA">
        <w:t>driver</w:t>
      </w:r>
      <w:r>
        <w:t xml:space="preserve"> complained that the police officer should have applied the more specific traffic regulation of forbidden to park in front of an exit. The court of appeal rejected the claim, stating that in this case, the police officer had been free to apply the more general article 5 Road Traffic Act.</w:t>
      </w:r>
    </w:p>
    <w:p w14:paraId="0FAF2861" w14:textId="77777777" w:rsidR="00725787" w:rsidRDefault="00725787" w:rsidP="00F9312C">
      <w:pPr>
        <w:spacing w:line="360" w:lineRule="auto"/>
      </w:pPr>
    </w:p>
    <w:p w14:paraId="6D48C1B6" w14:textId="1AA2245C" w:rsidR="001B1B1F" w:rsidRPr="00F9312C" w:rsidRDefault="000A0817" w:rsidP="00F9312C">
      <w:pPr>
        <w:pStyle w:val="Heading3"/>
        <w:spacing w:line="360" w:lineRule="auto"/>
        <w:rPr>
          <w:rFonts w:ascii="Times New Roman" w:eastAsia="Times New Roman" w:hAnsi="Times New Roman"/>
          <w:b/>
          <w:bCs w:val="0"/>
          <w:lang w:val="nl-NL" w:eastAsia="nl-NL"/>
        </w:rPr>
      </w:pPr>
      <w:r w:rsidRPr="00F9312C">
        <w:rPr>
          <w:b/>
          <w:bCs w:val="0"/>
          <w:lang w:val="nl-NL"/>
        </w:rPr>
        <w:t xml:space="preserve">C3.3 </w:t>
      </w:r>
      <w:r w:rsidR="001B1B1F" w:rsidRPr="00F9312C">
        <w:rPr>
          <w:b/>
          <w:bCs w:val="0"/>
          <w:lang w:val="nl-NL"/>
        </w:rPr>
        <w:t xml:space="preserve">Reglement verkeersregels en verkeerstekens 1990 </w:t>
      </w:r>
    </w:p>
    <w:p w14:paraId="1692B9ED" w14:textId="7FEB5CA5" w:rsidR="001B1B1F" w:rsidRPr="00AB3F36" w:rsidRDefault="001B1B1F" w:rsidP="00F9312C">
      <w:pPr>
        <w:spacing w:line="360" w:lineRule="auto"/>
        <w:rPr>
          <w:lang w:val="nl-NL"/>
        </w:rPr>
      </w:pPr>
    </w:p>
    <w:p w14:paraId="6573C9B5" w14:textId="50A42CBD" w:rsidR="001B1B1F" w:rsidRPr="00BC1033" w:rsidRDefault="001F023C" w:rsidP="00F9312C">
      <w:pPr>
        <w:spacing w:line="360" w:lineRule="auto"/>
        <w:rPr>
          <w:b/>
          <w:bCs/>
        </w:rPr>
      </w:pPr>
      <w:r>
        <w:rPr>
          <w:b/>
          <w:bCs/>
        </w:rPr>
        <w:t>(</w:t>
      </w:r>
      <w:proofErr w:type="gramStart"/>
      <w:r>
        <w:rPr>
          <w:b/>
          <w:bCs/>
        </w:rPr>
        <w:t>a</w:t>
      </w:r>
      <w:proofErr w:type="gramEnd"/>
      <w:r>
        <w:rPr>
          <w:b/>
          <w:bCs/>
        </w:rPr>
        <w:t>) Description and Examples</w:t>
      </w:r>
    </w:p>
    <w:p w14:paraId="5451CCF5" w14:textId="5C9240BE" w:rsidR="001B1B1F" w:rsidRDefault="001B1B1F" w:rsidP="00F9312C">
      <w:pPr>
        <w:spacing w:line="360" w:lineRule="auto"/>
      </w:pPr>
      <w:r>
        <w:t>The RVV</w:t>
      </w:r>
      <w:r w:rsidR="00006BD9">
        <w:rPr>
          <w:rStyle w:val="FootnoteReference"/>
        </w:rPr>
        <w:footnoteReference w:id="230"/>
      </w:r>
      <w:r>
        <w:t xml:space="preserve"> is the main regulation containing traffic rules and road signs. </w:t>
      </w:r>
      <w:r w:rsidR="00006BD9">
        <w:t xml:space="preserve">It is </w:t>
      </w:r>
      <w:r w:rsidR="00BD6628">
        <w:t xml:space="preserve">the implementing </w:t>
      </w:r>
      <w:r w:rsidR="00D276BC">
        <w:t>regulation</w:t>
      </w:r>
      <w:r w:rsidR="00BD6628">
        <w:t xml:space="preserve"> based on</w:t>
      </w:r>
      <w:r w:rsidR="00006BD9">
        <w:t xml:space="preserve"> Articles 2 and </w:t>
      </w:r>
      <w:r w:rsidR="00BD6628">
        <w:t>12 Road Traffic Act</w:t>
      </w:r>
      <w:r w:rsidR="008A5CD8">
        <w:t>.</w:t>
      </w:r>
      <w:r w:rsidR="00BD6628">
        <w:t xml:space="preserve"> </w:t>
      </w:r>
      <w:r w:rsidR="008A5CD8">
        <w:t>The Regulation</w:t>
      </w:r>
      <w:r>
        <w:t xml:space="preserve"> prescribes the place on the road for all road users</w:t>
      </w:r>
      <w:r w:rsidR="00BD6628">
        <w:t>,</w:t>
      </w:r>
      <w:r>
        <w:t xml:space="preserve"> including pedestrians. </w:t>
      </w:r>
      <w:r w:rsidR="00006BD9">
        <w:t>For example, a</w:t>
      </w:r>
      <w:r>
        <w:t>rticle 4 RVV r</w:t>
      </w:r>
      <w:r w:rsidR="00006BD9">
        <w:t>e</w:t>
      </w:r>
      <w:r>
        <w:t>quires pedestrian</w:t>
      </w:r>
      <w:r w:rsidR="00006BD9">
        <w:t>s</w:t>
      </w:r>
      <w:r>
        <w:t xml:space="preserve"> to use the pavement o</w:t>
      </w:r>
      <w:r w:rsidR="00006BD9">
        <w:t>r</w:t>
      </w:r>
      <w:r>
        <w:t xml:space="preserve"> footpath, article 5 </w:t>
      </w:r>
      <w:r w:rsidR="00006BD9">
        <w:t xml:space="preserve">RVV </w:t>
      </w:r>
      <w:r>
        <w:t xml:space="preserve">requires cyclists to use the cycle path and </w:t>
      </w:r>
      <w:r w:rsidR="00006BD9">
        <w:t>article 7 RVV allows users of a vehicle for the disabled to use the pavement, the cycle path or the road.</w:t>
      </w:r>
      <w:r w:rsidR="007639C5">
        <w:t xml:space="preserve"> </w:t>
      </w:r>
      <w:r w:rsidR="00AB3F36" w:rsidRPr="00AB3F36">
        <w:rPr>
          <w:rStyle w:val="langblock"/>
          <w:bCs/>
          <w:lang w:val="en"/>
        </w:rPr>
        <w:t xml:space="preserve">Article </w:t>
      </w:r>
      <w:r w:rsidR="007639C5" w:rsidRPr="00AB3F36">
        <w:rPr>
          <w:rStyle w:val="langblock"/>
          <w:bCs/>
          <w:lang w:val="en"/>
        </w:rPr>
        <w:t xml:space="preserve">2 para </w:t>
      </w:r>
      <w:r w:rsidR="007639C5" w:rsidRPr="00AB3F36">
        <w:rPr>
          <w:rStyle w:val="lidnr"/>
          <w:bCs/>
        </w:rPr>
        <w:t>1 RVV 1990</w:t>
      </w:r>
      <w:r w:rsidR="00AB3F36" w:rsidRPr="00AB3F36">
        <w:rPr>
          <w:rStyle w:val="lidnr"/>
          <w:bCs/>
        </w:rPr>
        <w:t xml:space="preserve"> states that t</w:t>
      </w:r>
      <w:r w:rsidR="007639C5" w:rsidRPr="00AB3F36">
        <w:rPr>
          <w:bCs/>
        </w:rPr>
        <w:t xml:space="preserve">he rules of this decree concerning pedestrians also apply to drivers of a vehicle </w:t>
      </w:r>
      <w:r w:rsidR="00AB3F36">
        <w:rPr>
          <w:bCs/>
        </w:rPr>
        <w:t xml:space="preserve">for the </w:t>
      </w:r>
      <w:r w:rsidR="00AB3F36" w:rsidRPr="00AB3F36">
        <w:rPr>
          <w:bCs/>
        </w:rPr>
        <w:t xml:space="preserve">disabled </w:t>
      </w:r>
      <w:r w:rsidR="007639C5" w:rsidRPr="00AB3F36">
        <w:rPr>
          <w:bCs/>
        </w:rPr>
        <w:t>if they use a footpath or pavement or cross from one footpath or pavement to another.</w:t>
      </w:r>
    </w:p>
    <w:p w14:paraId="4EA4CFA2" w14:textId="3AA96FAB" w:rsidR="001B1B1F" w:rsidRDefault="001B1B1F" w:rsidP="00F9312C">
      <w:pPr>
        <w:spacing w:line="360" w:lineRule="auto"/>
      </w:pPr>
      <w:r>
        <w:t>Article 10 RVV requires road users to park their vehicle anywhere but on a pavement or footpath.</w:t>
      </w:r>
      <w:r w:rsidR="00006BD9">
        <w:t xml:space="preserve"> This article is </w:t>
      </w:r>
      <w:r w:rsidR="00C306F0">
        <w:t>intended</w:t>
      </w:r>
      <w:r w:rsidR="00006BD9">
        <w:t xml:space="preserve"> to prevent vehicles</w:t>
      </w:r>
      <w:r w:rsidR="00C306F0">
        <w:t xml:space="preserve"> from</w:t>
      </w:r>
      <w:r w:rsidR="00006BD9">
        <w:t xml:space="preserve"> blocking the pavement.</w:t>
      </w:r>
    </w:p>
    <w:p w14:paraId="009DA82A" w14:textId="77777777" w:rsidR="001B1B1F" w:rsidRDefault="001B1B1F" w:rsidP="00F9312C">
      <w:pPr>
        <w:pStyle w:val="ListParagraph"/>
        <w:spacing w:line="360" w:lineRule="auto"/>
        <w:ind w:left="1800"/>
      </w:pPr>
    </w:p>
    <w:p w14:paraId="260E129A" w14:textId="24F52DDD" w:rsidR="001B1B1F" w:rsidRPr="00BC1033" w:rsidRDefault="001F023C" w:rsidP="00F9312C">
      <w:pPr>
        <w:spacing w:line="360" w:lineRule="auto"/>
        <w:rPr>
          <w:b/>
          <w:bCs/>
        </w:rPr>
      </w:pPr>
      <w:r>
        <w:rPr>
          <w:b/>
          <w:bCs/>
        </w:rPr>
        <w:t>(b) Remedies, Sanctions or Other Outcomes</w:t>
      </w:r>
    </w:p>
    <w:p w14:paraId="2A622295" w14:textId="5D50A4C5" w:rsidR="00BD6628" w:rsidRDefault="00BD6628" w:rsidP="00F9312C">
      <w:pPr>
        <w:spacing w:line="360" w:lineRule="auto"/>
      </w:pPr>
      <w:r>
        <w:t>Sanctions on violating the provisions of the RVV 1990 are criminal offences.</w:t>
      </w:r>
      <w:r>
        <w:rPr>
          <w:rStyle w:val="FootnoteReference"/>
        </w:rPr>
        <w:footnoteReference w:id="231"/>
      </w:r>
      <w:r>
        <w:t xml:space="preserve"> The punishment differs between a fine </w:t>
      </w:r>
      <w:proofErr w:type="gramStart"/>
      <w:r>
        <w:t>or</w:t>
      </w:r>
      <w:proofErr w:type="gramEnd"/>
      <w:r>
        <w:t xml:space="preserve"> the withdrawal of </w:t>
      </w:r>
      <w:r w:rsidR="00C306F0">
        <w:t>the</w:t>
      </w:r>
      <w:r>
        <w:t xml:space="preserve"> driver’s licence.</w:t>
      </w:r>
    </w:p>
    <w:p w14:paraId="43BC631F" w14:textId="77777777" w:rsidR="00BD6628" w:rsidRDefault="00BD6628" w:rsidP="00F9312C">
      <w:pPr>
        <w:spacing w:line="360" w:lineRule="auto"/>
      </w:pPr>
    </w:p>
    <w:p w14:paraId="034E1477" w14:textId="31059227" w:rsidR="001B1B1F" w:rsidRPr="00BC1033" w:rsidRDefault="001F023C" w:rsidP="00F9312C">
      <w:pPr>
        <w:spacing w:line="360" w:lineRule="auto"/>
        <w:rPr>
          <w:b/>
          <w:bCs/>
        </w:rPr>
      </w:pPr>
      <w:r>
        <w:rPr>
          <w:b/>
          <w:bCs/>
        </w:rPr>
        <w:t>(c) Enforcement</w:t>
      </w:r>
    </w:p>
    <w:p w14:paraId="2F19C9D4" w14:textId="688E491B" w:rsidR="00BD6628" w:rsidRDefault="00BD6628" w:rsidP="00F9312C">
      <w:pPr>
        <w:spacing w:line="360" w:lineRule="auto"/>
      </w:pPr>
      <w:r>
        <w:t>Police are empowered to enforce the Decree and to prosecute perpetrators.</w:t>
      </w:r>
    </w:p>
    <w:p w14:paraId="5609C8E8" w14:textId="77777777" w:rsidR="000A0817" w:rsidRDefault="000A0817" w:rsidP="00F9312C">
      <w:pPr>
        <w:spacing w:line="360" w:lineRule="auto"/>
        <w:ind w:left="720"/>
      </w:pPr>
    </w:p>
    <w:p w14:paraId="31B56490" w14:textId="77777777" w:rsidR="00192E65" w:rsidRPr="00361219" w:rsidRDefault="00192E65" w:rsidP="00F9312C">
      <w:pPr>
        <w:pStyle w:val="Heading2"/>
        <w:spacing w:line="360" w:lineRule="auto"/>
      </w:pPr>
      <w:r w:rsidRPr="00361219">
        <w:t xml:space="preserve">C4 </w:t>
      </w:r>
      <w:r w:rsidR="00496E0A" w:rsidRPr="00361219">
        <w:t>D</w:t>
      </w:r>
      <w:r w:rsidRPr="00361219">
        <w:t>riving, cycling and other travelling on roads which might endanger pedestrians</w:t>
      </w:r>
    </w:p>
    <w:p w14:paraId="16DFC6CD" w14:textId="77777777" w:rsidR="00192E65" w:rsidRDefault="00192E65" w:rsidP="00F9312C">
      <w:pPr>
        <w:spacing w:line="360" w:lineRule="auto"/>
      </w:pPr>
    </w:p>
    <w:p w14:paraId="742DBF9C" w14:textId="52F767B4" w:rsidR="00725787" w:rsidRPr="00F9312C" w:rsidRDefault="00192E65" w:rsidP="00F9312C">
      <w:pPr>
        <w:pStyle w:val="Heading3"/>
        <w:spacing w:line="360" w:lineRule="auto"/>
        <w:rPr>
          <w:b/>
          <w:bCs w:val="0"/>
        </w:rPr>
      </w:pPr>
      <w:r w:rsidRPr="00F9312C">
        <w:rPr>
          <w:b/>
          <w:bCs w:val="0"/>
        </w:rPr>
        <w:t xml:space="preserve">C4.1 </w:t>
      </w:r>
      <w:proofErr w:type="spellStart"/>
      <w:r w:rsidR="00725787" w:rsidRPr="00F9312C">
        <w:rPr>
          <w:b/>
          <w:bCs w:val="0"/>
        </w:rPr>
        <w:t>Wegenverkeerswet</w:t>
      </w:r>
      <w:proofErr w:type="spellEnd"/>
      <w:r w:rsidR="00725787" w:rsidRPr="00F9312C">
        <w:rPr>
          <w:b/>
          <w:bCs w:val="0"/>
        </w:rPr>
        <w:t xml:space="preserve"> 1994 (‘</w:t>
      </w:r>
      <w:r w:rsidR="00725787" w:rsidRPr="00F9312C">
        <w:rPr>
          <w:b/>
          <w:bCs w:val="0"/>
          <w:i/>
          <w:iCs/>
        </w:rPr>
        <w:t>Road Traffic Act 1994</w:t>
      </w:r>
      <w:r w:rsidR="00725787" w:rsidRPr="00F9312C">
        <w:rPr>
          <w:b/>
          <w:bCs w:val="0"/>
        </w:rPr>
        <w:t>’)</w:t>
      </w:r>
    </w:p>
    <w:p w14:paraId="5C17526F" w14:textId="62F3695B" w:rsidR="00725787" w:rsidRDefault="00725787" w:rsidP="00F9312C">
      <w:pPr>
        <w:spacing w:line="360" w:lineRule="auto"/>
        <w:ind w:left="720"/>
      </w:pPr>
      <w:r>
        <w:t>See C3.2.</w:t>
      </w:r>
    </w:p>
    <w:p w14:paraId="58350C81" w14:textId="77777777" w:rsidR="00725787" w:rsidRDefault="00725787" w:rsidP="00F9312C">
      <w:pPr>
        <w:spacing w:line="360" w:lineRule="auto"/>
        <w:ind w:left="720"/>
      </w:pPr>
    </w:p>
    <w:p w14:paraId="09AA58F6" w14:textId="565ACFC5" w:rsidR="00BD6628" w:rsidRPr="00F9312C" w:rsidRDefault="00192E65" w:rsidP="00F9312C">
      <w:pPr>
        <w:pStyle w:val="Heading3"/>
        <w:spacing w:line="360" w:lineRule="auto"/>
        <w:rPr>
          <w:b/>
          <w:bCs w:val="0"/>
        </w:rPr>
      </w:pPr>
      <w:r w:rsidRPr="00F9312C">
        <w:rPr>
          <w:b/>
          <w:bCs w:val="0"/>
        </w:rPr>
        <w:t xml:space="preserve">C4.2 </w:t>
      </w:r>
      <w:proofErr w:type="spellStart"/>
      <w:r w:rsidR="00BD6628" w:rsidRPr="00F9312C">
        <w:rPr>
          <w:b/>
          <w:bCs w:val="0"/>
        </w:rPr>
        <w:t>Reglement</w:t>
      </w:r>
      <w:proofErr w:type="spellEnd"/>
      <w:r w:rsidR="00BD6628" w:rsidRPr="00F9312C">
        <w:rPr>
          <w:b/>
          <w:bCs w:val="0"/>
        </w:rPr>
        <w:t xml:space="preserve"> </w:t>
      </w:r>
      <w:proofErr w:type="spellStart"/>
      <w:r w:rsidR="00BD6628" w:rsidRPr="00F9312C">
        <w:rPr>
          <w:b/>
          <w:bCs w:val="0"/>
        </w:rPr>
        <w:t>verkeersregels</w:t>
      </w:r>
      <w:proofErr w:type="spellEnd"/>
      <w:r w:rsidR="00BD6628" w:rsidRPr="00F9312C">
        <w:rPr>
          <w:b/>
          <w:bCs w:val="0"/>
        </w:rPr>
        <w:t xml:space="preserve"> </w:t>
      </w:r>
      <w:proofErr w:type="spellStart"/>
      <w:r w:rsidR="00BD6628" w:rsidRPr="00F9312C">
        <w:rPr>
          <w:b/>
          <w:bCs w:val="0"/>
        </w:rPr>
        <w:t>en</w:t>
      </w:r>
      <w:proofErr w:type="spellEnd"/>
      <w:r w:rsidR="00BD6628" w:rsidRPr="00F9312C">
        <w:rPr>
          <w:b/>
          <w:bCs w:val="0"/>
        </w:rPr>
        <w:t xml:space="preserve"> </w:t>
      </w:r>
      <w:proofErr w:type="spellStart"/>
      <w:r w:rsidR="00BD6628" w:rsidRPr="00F9312C">
        <w:rPr>
          <w:b/>
          <w:bCs w:val="0"/>
        </w:rPr>
        <w:t>verkeerstekens</w:t>
      </w:r>
      <w:proofErr w:type="spellEnd"/>
      <w:r w:rsidR="00BD6628" w:rsidRPr="00F9312C">
        <w:rPr>
          <w:b/>
          <w:bCs w:val="0"/>
        </w:rPr>
        <w:t xml:space="preserve"> 1990 (RVV 1990)</w:t>
      </w:r>
      <w:r w:rsidR="00D276BC" w:rsidRPr="00F9312C">
        <w:rPr>
          <w:b/>
          <w:bCs w:val="0"/>
        </w:rPr>
        <w:t xml:space="preserve"> (‘</w:t>
      </w:r>
      <w:r w:rsidR="00D276BC" w:rsidRPr="00F9312C">
        <w:rPr>
          <w:b/>
          <w:bCs w:val="0"/>
          <w:i/>
          <w:iCs/>
        </w:rPr>
        <w:t>Regulation Traffic rules and road signs 1990</w:t>
      </w:r>
      <w:r w:rsidR="00D276BC" w:rsidRPr="00F9312C">
        <w:rPr>
          <w:b/>
          <w:bCs w:val="0"/>
        </w:rPr>
        <w:t>’)</w:t>
      </w:r>
    </w:p>
    <w:p w14:paraId="7D57ECBA" w14:textId="23324456" w:rsidR="00BD6628" w:rsidRPr="00DC6424" w:rsidRDefault="00BD6628" w:rsidP="00F9312C">
      <w:pPr>
        <w:spacing w:line="360" w:lineRule="auto"/>
        <w:ind w:left="720"/>
        <w:rPr>
          <w:szCs w:val="24"/>
        </w:rPr>
      </w:pPr>
      <w:r w:rsidRPr="00DC6424">
        <w:rPr>
          <w:szCs w:val="24"/>
        </w:rPr>
        <w:t>See C3.3</w:t>
      </w:r>
      <w:r w:rsidR="00D276BC" w:rsidRPr="00DC6424">
        <w:rPr>
          <w:szCs w:val="24"/>
        </w:rPr>
        <w:t>.</w:t>
      </w:r>
    </w:p>
    <w:p w14:paraId="478104D6" w14:textId="77777777" w:rsidR="00192E65" w:rsidRPr="00DC6424" w:rsidRDefault="00192E65" w:rsidP="00F9312C">
      <w:pPr>
        <w:spacing w:line="360" w:lineRule="auto"/>
      </w:pPr>
    </w:p>
    <w:p w14:paraId="3BA36E91" w14:textId="77777777" w:rsidR="00192E65" w:rsidRPr="00361219" w:rsidRDefault="00192E65" w:rsidP="00F9312C">
      <w:pPr>
        <w:pStyle w:val="Heading2"/>
        <w:spacing w:line="360" w:lineRule="auto"/>
      </w:pPr>
      <w:r w:rsidRPr="00361219">
        <w:t xml:space="preserve">C5 </w:t>
      </w:r>
      <w:r w:rsidR="00496E0A" w:rsidRPr="00361219">
        <w:t>C</w:t>
      </w:r>
      <w:r w:rsidRPr="00361219">
        <w:t>ycling, scootering and other travelling on pavements which might endanger pedestrians</w:t>
      </w:r>
    </w:p>
    <w:p w14:paraId="07D58EF0" w14:textId="77777777" w:rsidR="00192E65" w:rsidRDefault="00192E65" w:rsidP="00F9312C">
      <w:pPr>
        <w:spacing w:line="360" w:lineRule="auto"/>
      </w:pPr>
    </w:p>
    <w:p w14:paraId="033DEA0C" w14:textId="0C6DBC95" w:rsidR="00397D6B" w:rsidRPr="00B5570E" w:rsidRDefault="00D276BC" w:rsidP="00B5570E">
      <w:pPr>
        <w:pStyle w:val="Heading3"/>
        <w:spacing w:line="360" w:lineRule="auto"/>
        <w:rPr>
          <w:b/>
          <w:bCs w:val="0"/>
        </w:rPr>
      </w:pPr>
      <w:r w:rsidRPr="00F9312C">
        <w:rPr>
          <w:b/>
          <w:bCs w:val="0"/>
        </w:rPr>
        <w:t>C5.</w:t>
      </w:r>
      <w:r w:rsidR="0007360B" w:rsidRPr="00F9312C">
        <w:rPr>
          <w:b/>
          <w:bCs w:val="0"/>
        </w:rPr>
        <w:t>1</w:t>
      </w:r>
      <w:r w:rsidR="00397D6B" w:rsidRPr="00F9312C">
        <w:rPr>
          <w:b/>
          <w:bCs w:val="0"/>
        </w:rPr>
        <w:t xml:space="preserve"> </w:t>
      </w:r>
      <w:r w:rsidRPr="00F9312C">
        <w:rPr>
          <w:b/>
          <w:bCs w:val="0"/>
        </w:rPr>
        <w:t>RVV</w:t>
      </w:r>
      <w:r w:rsidR="00397D6B" w:rsidRPr="00F9312C">
        <w:rPr>
          <w:b/>
          <w:bCs w:val="0"/>
        </w:rPr>
        <w:t xml:space="preserve"> </w:t>
      </w:r>
      <w:r w:rsidRPr="00F9312C">
        <w:rPr>
          <w:b/>
          <w:bCs w:val="0"/>
        </w:rPr>
        <w:t>1990</w:t>
      </w:r>
    </w:p>
    <w:p w14:paraId="61B87FF5" w14:textId="62883F84" w:rsidR="00397D6B" w:rsidRPr="00BC1033" w:rsidRDefault="001F023C" w:rsidP="00F9312C">
      <w:pPr>
        <w:spacing w:line="360" w:lineRule="auto"/>
        <w:rPr>
          <w:b/>
          <w:bCs/>
        </w:rPr>
      </w:pPr>
      <w:r>
        <w:rPr>
          <w:b/>
          <w:bCs/>
        </w:rPr>
        <w:t>(</w:t>
      </w:r>
      <w:proofErr w:type="gramStart"/>
      <w:r>
        <w:rPr>
          <w:b/>
          <w:bCs/>
        </w:rPr>
        <w:t>a</w:t>
      </w:r>
      <w:proofErr w:type="gramEnd"/>
      <w:r>
        <w:rPr>
          <w:b/>
          <w:bCs/>
        </w:rPr>
        <w:t>) Description and Examples</w:t>
      </w:r>
    </w:p>
    <w:p w14:paraId="3DB01773" w14:textId="265EEF15" w:rsidR="008A5CD8" w:rsidRDefault="006B0F2D" w:rsidP="00F9312C">
      <w:pPr>
        <w:spacing w:line="360" w:lineRule="auto"/>
      </w:pPr>
      <w:r>
        <w:t>See</w:t>
      </w:r>
      <w:r w:rsidR="008A5CD8">
        <w:t xml:space="preserve"> </w:t>
      </w:r>
      <w:r>
        <w:t xml:space="preserve">Chapter </w:t>
      </w:r>
      <w:r w:rsidR="008A5CD8">
        <w:t xml:space="preserve">C3.3. </w:t>
      </w:r>
    </w:p>
    <w:p w14:paraId="5E364D40" w14:textId="6A2C3C6D" w:rsidR="00397D6B" w:rsidRDefault="008A5CD8" w:rsidP="00F9312C">
      <w:pPr>
        <w:spacing w:line="360" w:lineRule="auto"/>
      </w:pPr>
      <w:r>
        <w:t>The a</w:t>
      </w:r>
      <w:r w:rsidR="00D276BC">
        <w:t>rticle</w:t>
      </w:r>
      <w:r w:rsidR="00397D6B">
        <w:t>s</w:t>
      </w:r>
      <w:r w:rsidR="00D276BC">
        <w:t xml:space="preserve"> 5</w:t>
      </w:r>
      <w:r w:rsidR="00397D6B">
        <w:t xml:space="preserve"> and</w:t>
      </w:r>
      <w:r w:rsidR="00D276BC">
        <w:t xml:space="preserve"> 6 RVV 1990 require all road users to use the road section allocated to them</w:t>
      </w:r>
      <w:r w:rsidR="00397D6B">
        <w:t>.</w:t>
      </w:r>
      <w:r w:rsidR="00397D6B">
        <w:rPr>
          <w:rStyle w:val="FootnoteReference"/>
        </w:rPr>
        <w:footnoteReference w:id="232"/>
      </w:r>
      <w:r w:rsidR="00397D6B">
        <w:t xml:space="preserve"> This indicates that using a road section which they are not supposed to use, is a traffic violation.</w:t>
      </w:r>
      <w:r w:rsidR="0007360B">
        <w:t xml:space="preserve"> That implies that any cyclist, who is cycling on a pedestrian area, is liable for a traffic fine.</w:t>
      </w:r>
    </w:p>
    <w:p w14:paraId="4E21B05B" w14:textId="77777777" w:rsidR="00397D6B" w:rsidRDefault="00397D6B" w:rsidP="00F9312C">
      <w:pPr>
        <w:spacing w:line="360" w:lineRule="auto"/>
        <w:ind w:left="720"/>
      </w:pPr>
    </w:p>
    <w:p w14:paraId="38121AD6" w14:textId="118AFD7C" w:rsidR="00397D6B" w:rsidRPr="00BC1033" w:rsidRDefault="001F023C" w:rsidP="00F9312C">
      <w:pPr>
        <w:spacing w:line="360" w:lineRule="auto"/>
        <w:rPr>
          <w:b/>
          <w:bCs/>
        </w:rPr>
      </w:pPr>
      <w:r>
        <w:rPr>
          <w:b/>
          <w:bCs/>
        </w:rPr>
        <w:t>(b) Remedies, Sanctions or Other Outcomes</w:t>
      </w:r>
    </w:p>
    <w:p w14:paraId="64B171C7" w14:textId="185B9843" w:rsidR="00397D6B" w:rsidRDefault="00397D6B" w:rsidP="00F9312C">
      <w:pPr>
        <w:spacing w:line="360" w:lineRule="auto"/>
      </w:pPr>
      <w:r>
        <w:t>Traffic violations carry a fine or an imprisonment.</w:t>
      </w:r>
      <w:r w:rsidR="0007360B">
        <w:t xml:space="preserve"> Users of a scooter may lose their scooter licence as a punishment</w:t>
      </w:r>
      <w:r w:rsidR="005D658C">
        <w:t>.</w:t>
      </w:r>
      <w:r w:rsidR="005D658C">
        <w:rPr>
          <w:rStyle w:val="FootnoteReference"/>
        </w:rPr>
        <w:footnoteReference w:id="233"/>
      </w:r>
    </w:p>
    <w:p w14:paraId="4192F729" w14:textId="77777777" w:rsidR="00397D6B" w:rsidRDefault="00397D6B" w:rsidP="00F9312C">
      <w:pPr>
        <w:spacing w:line="360" w:lineRule="auto"/>
      </w:pPr>
    </w:p>
    <w:p w14:paraId="098AA713" w14:textId="3EC6B1E6" w:rsidR="00397D6B" w:rsidRPr="00BC1033" w:rsidRDefault="001F023C" w:rsidP="00F9312C">
      <w:pPr>
        <w:spacing w:line="360" w:lineRule="auto"/>
        <w:rPr>
          <w:b/>
          <w:bCs/>
        </w:rPr>
      </w:pPr>
      <w:r>
        <w:rPr>
          <w:b/>
          <w:bCs/>
        </w:rPr>
        <w:t>(c) Enforcement</w:t>
      </w:r>
    </w:p>
    <w:p w14:paraId="3041587C" w14:textId="23353719" w:rsidR="00D276BC" w:rsidRDefault="00397D6B" w:rsidP="00F9312C">
      <w:pPr>
        <w:spacing w:line="360" w:lineRule="auto"/>
      </w:pPr>
      <w:r>
        <w:t xml:space="preserve">The police </w:t>
      </w:r>
      <w:proofErr w:type="gramStart"/>
      <w:r>
        <w:t>is</w:t>
      </w:r>
      <w:proofErr w:type="gramEnd"/>
      <w:r>
        <w:t xml:space="preserve"> mandated to </w:t>
      </w:r>
      <w:r w:rsidR="0007360B">
        <w:t>enforce traffic regulations in the RVV 1990.</w:t>
      </w:r>
      <w:r>
        <w:t xml:space="preserve"> </w:t>
      </w:r>
      <w:r w:rsidR="00D276BC">
        <w:t xml:space="preserve">  </w:t>
      </w:r>
    </w:p>
    <w:p w14:paraId="0862DACB" w14:textId="77777777" w:rsidR="00192E65" w:rsidRDefault="00192E65" w:rsidP="00F9312C">
      <w:pPr>
        <w:spacing w:line="360" w:lineRule="auto"/>
      </w:pPr>
    </w:p>
    <w:p w14:paraId="6B2901DE" w14:textId="77777777" w:rsidR="00192E65" w:rsidRDefault="00192E65" w:rsidP="00F9312C">
      <w:pPr>
        <w:spacing w:line="360" w:lineRule="auto"/>
      </w:pPr>
    </w:p>
    <w:p w14:paraId="1F399976" w14:textId="77777777" w:rsidR="005F05E2" w:rsidRPr="00361219" w:rsidRDefault="005F05E2" w:rsidP="00F9312C">
      <w:pPr>
        <w:pStyle w:val="Heading2"/>
        <w:spacing w:line="360" w:lineRule="auto"/>
      </w:pPr>
      <w:r w:rsidRPr="00361219">
        <w:t xml:space="preserve">C7 </w:t>
      </w:r>
      <w:r w:rsidR="00237704" w:rsidRPr="00361219">
        <w:t>Noteworthy project-related observations and concerns</w:t>
      </w:r>
    </w:p>
    <w:p w14:paraId="7FC1086C" w14:textId="77777777" w:rsidR="005F05E2" w:rsidRDefault="005F05E2" w:rsidP="00F9312C">
      <w:pPr>
        <w:spacing w:line="360" w:lineRule="auto"/>
      </w:pPr>
    </w:p>
    <w:p w14:paraId="7B5794A9" w14:textId="09B56188" w:rsidR="00DA3B3B" w:rsidRDefault="00DA3B3B" w:rsidP="00F9312C">
      <w:pPr>
        <w:spacing w:line="360" w:lineRule="auto"/>
        <w:rPr>
          <w:szCs w:val="24"/>
        </w:rPr>
      </w:pPr>
      <w:r>
        <w:t xml:space="preserve">The Dutch Civil Code offers various possibilities to prevent and redress damages as a result of inaccessible streets. Prevention (art. </w:t>
      </w:r>
      <w:r w:rsidRPr="00FB08EF">
        <w:rPr>
          <w:szCs w:val="24"/>
        </w:rPr>
        <w:t>3:296 Civil Code</w:t>
      </w:r>
      <w:r>
        <w:rPr>
          <w:szCs w:val="24"/>
        </w:rPr>
        <w:t>) does not seem to be applied at all-in these cases; redress when damages have occurred are more common and offer opportunities to victims to receive financial compensation. There is a body of case law relating to liability of a public body in cases of negligent lack of maintenance.</w:t>
      </w:r>
    </w:p>
    <w:p w14:paraId="69EF1220" w14:textId="2D7A367A" w:rsidR="00DA3B3B" w:rsidRDefault="00DA3B3B" w:rsidP="00F9312C">
      <w:pPr>
        <w:spacing w:line="360" w:lineRule="auto"/>
        <w:rPr>
          <w:szCs w:val="24"/>
        </w:rPr>
      </w:pPr>
      <w:r>
        <w:rPr>
          <w:szCs w:val="24"/>
        </w:rPr>
        <w:t xml:space="preserve">Problem is that victims need to start legal proceedings, which are often costly, </w:t>
      </w:r>
      <w:r w:rsidR="000663A5">
        <w:rPr>
          <w:szCs w:val="24"/>
        </w:rPr>
        <w:t>m</w:t>
      </w:r>
      <w:r>
        <w:rPr>
          <w:szCs w:val="24"/>
        </w:rPr>
        <w:t>any will refrain from starting a legal case. As a</w:t>
      </w:r>
      <w:r w:rsidR="000663A5">
        <w:rPr>
          <w:szCs w:val="24"/>
        </w:rPr>
        <w:t xml:space="preserve"> </w:t>
      </w:r>
      <w:r>
        <w:rPr>
          <w:szCs w:val="24"/>
        </w:rPr>
        <w:t>result, little case law in this particular area will develop and a picture of what persons with disabilities come across, will not be established.</w:t>
      </w:r>
    </w:p>
    <w:p w14:paraId="139743D9" w14:textId="6D4C0DF6" w:rsidR="00DA3B3B" w:rsidRDefault="00DA3B3B" w:rsidP="00F9312C">
      <w:pPr>
        <w:spacing w:line="360" w:lineRule="auto"/>
        <w:rPr>
          <w:szCs w:val="24"/>
        </w:rPr>
      </w:pPr>
      <w:r>
        <w:rPr>
          <w:szCs w:val="24"/>
        </w:rPr>
        <w:t xml:space="preserve">As far as planning and construction law is concerned, both the existing and forthcoming legislation, the Spatial Planning Act and the Environmental </w:t>
      </w:r>
      <w:r w:rsidR="00F9312C">
        <w:rPr>
          <w:szCs w:val="24"/>
        </w:rPr>
        <w:t>Planning Act</w:t>
      </w:r>
      <w:r>
        <w:rPr>
          <w:szCs w:val="24"/>
        </w:rPr>
        <w:t xml:space="preserve"> do not contain clear and </w:t>
      </w:r>
      <w:proofErr w:type="gramStart"/>
      <w:r>
        <w:rPr>
          <w:szCs w:val="24"/>
        </w:rPr>
        <w:t>enforceable  rules</w:t>
      </w:r>
      <w:proofErr w:type="gramEnd"/>
      <w:r>
        <w:rPr>
          <w:szCs w:val="24"/>
        </w:rPr>
        <w:t xml:space="preserve"> for accessible building. It is left to the local administration to set rules and enforce accessibility in het public space.</w:t>
      </w:r>
    </w:p>
    <w:p w14:paraId="2D1296BA" w14:textId="7A6A1EB5" w:rsidR="00DA3B3B" w:rsidRDefault="00DA3B3B" w:rsidP="00F9312C">
      <w:pPr>
        <w:spacing w:line="360" w:lineRule="auto"/>
        <w:rPr>
          <w:szCs w:val="24"/>
        </w:rPr>
      </w:pPr>
      <w:r>
        <w:rPr>
          <w:szCs w:val="24"/>
        </w:rPr>
        <w:t>Local legislation in the shape of APVs does contain enforceable rules in the area of blocking and obstructing roads and pavements</w:t>
      </w:r>
      <w:proofErr w:type="gramStart"/>
      <w:r>
        <w:rPr>
          <w:szCs w:val="24"/>
        </w:rPr>
        <w:t xml:space="preserve">.  </w:t>
      </w:r>
      <w:proofErr w:type="gramEnd"/>
      <w:r>
        <w:rPr>
          <w:szCs w:val="24"/>
        </w:rPr>
        <w:t xml:space="preserve">However, in many cases these rules are not specified for accessibility for disabled people and as a result, they are not part of an all-encompassing policy for accessibility. There are some exceptions that may be regarded as good practices, such as the introduction of a helpline for obstructed streets and pavements in Utrecht. </w:t>
      </w:r>
    </w:p>
    <w:p w14:paraId="3D2D2E91" w14:textId="2561A9B8" w:rsidR="00DA3B3B" w:rsidRDefault="00DA3B3B" w:rsidP="00F9312C">
      <w:pPr>
        <w:spacing w:line="360" w:lineRule="auto"/>
        <w:rPr>
          <w:szCs w:val="24"/>
        </w:rPr>
      </w:pPr>
      <w:r>
        <w:rPr>
          <w:szCs w:val="24"/>
        </w:rPr>
        <w:t>Traffic laws do not refer to the position of disabled people as road users and do not contain specific protective measures. However, enforcement of traffic regulations regarding obstruction of pavements gives good opportunities for accessibility. The actual enforcement by police needs to be further examined.</w:t>
      </w:r>
    </w:p>
    <w:p w14:paraId="2B6D1F28" w14:textId="77777777" w:rsidR="005F05E2" w:rsidRDefault="005F05E2" w:rsidP="00F9312C">
      <w:pPr>
        <w:spacing w:line="360" w:lineRule="auto"/>
      </w:pPr>
    </w:p>
    <w:p w14:paraId="14510831" w14:textId="77777777" w:rsidR="00E3152B" w:rsidRDefault="00E3152B" w:rsidP="00F9312C">
      <w:pPr>
        <w:spacing w:line="360" w:lineRule="auto"/>
      </w:pPr>
    </w:p>
    <w:p w14:paraId="03B3FE4C" w14:textId="77777777" w:rsidR="005F0C1F" w:rsidRPr="00113BF7" w:rsidRDefault="00496E0A" w:rsidP="00F9312C">
      <w:pPr>
        <w:pStyle w:val="Heading1"/>
        <w:spacing w:line="360" w:lineRule="auto"/>
      </w:pPr>
      <w:r>
        <w:t>D</w:t>
      </w:r>
      <w:r w:rsidR="005F0C1F" w:rsidRPr="00113BF7">
        <w:t xml:space="preserve"> Laws that can be u</w:t>
      </w:r>
      <w:r w:rsidR="005F0C1F">
        <w:t>sed by public bodies to challenge problems for pedestrians g</w:t>
      </w:r>
      <w:r w:rsidR="005F0C1F" w:rsidRPr="00113BF7">
        <w:t>enerally</w:t>
      </w:r>
    </w:p>
    <w:p w14:paraId="5C004F83" w14:textId="77777777" w:rsidR="001B59BD" w:rsidRDefault="001B59BD" w:rsidP="00F9312C">
      <w:pPr>
        <w:spacing w:line="360" w:lineRule="auto"/>
      </w:pPr>
    </w:p>
    <w:p w14:paraId="5021C88C" w14:textId="6B172CD6" w:rsidR="00496E0A" w:rsidRPr="00361219" w:rsidRDefault="00496E0A" w:rsidP="00F9312C">
      <w:pPr>
        <w:pStyle w:val="Heading2"/>
        <w:spacing w:line="360" w:lineRule="auto"/>
      </w:pPr>
      <w:r w:rsidRPr="00361219">
        <w:t xml:space="preserve">D1 </w:t>
      </w:r>
      <w:r w:rsidR="00E3152B" w:rsidRPr="00361219">
        <w:t>Failing</w:t>
      </w:r>
      <w:r w:rsidRPr="00361219">
        <w:t xml:space="preserve"> to safeguard pedestrians from holes, roadworks, traffic flow and other hazards</w:t>
      </w:r>
    </w:p>
    <w:p w14:paraId="73A39C5E" w14:textId="77777777" w:rsidR="00F9312C" w:rsidRDefault="00F9312C" w:rsidP="00F9312C">
      <w:pPr>
        <w:spacing w:line="360" w:lineRule="auto"/>
        <w:rPr>
          <w:i/>
          <w:iCs/>
        </w:rPr>
      </w:pPr>
    </w:p>
    <w:p w14:paraId="73200AA5" w14:textId="47571A95" w:rsidR="00335E77" w:rsidRPr="00FB3081" w:rsidRDefault="00BC1033" w:rsidP="00F9312C">
      <w:pPr>
        <w:spacing w:line="360" w:lineRule="auto"/>
        <w:rPr>
          <w:i/>
          <w:iCs/>
        </w:rPr>
      </w:pPr>
      <w:r>
        <w:rPr>
          <w:i/>
          <w:iCs/>
        </w:rPr>
        <w:t>Introduction</w:t>
      </w:r>
    </w:p>
    <w:p w14:paraId="5D6F25ED" w14:textId="77777777" w:rsidR="005D4042" w:rsidRDefault="00335E77" w:rsidP="00F9312C">
      <w:pPr>
        <w:spacing w:line="360" w:lineRule="auto"/>
      </w:pPr>
      <w:r w:rsidRPr="00A30C38">
        <w:t xml:space="preserve">Laws and regulations exist that regulate the general accessibility of roads. </w:t>
      </w:r>
      <w:proofErr w:type="gramStart"/>
      <w:r w:rsidRPr="00A30C38">
        <w:t xml:space="preserve">In this context, the term </w:t>
      </w:r>
      <w:r w:rsidR="00A30C38" w:rsidRPr="00A30C38">
        <w:t>‘</w:t>
      </w:r>
      <w:r w:rsidRPr="00A30C38">
        <w:t>roads</w:t>
      </w:r>
      <w:r w:rsidR="00A30C38" w:rsidRPr="00A30C38">
        <w:t>’</w:t>
      </w:r>
      <w:r w:rsidRPr="00A30C38">
        <w:t xml:space="preserve"> includes footpaths</w:t>
      </w:r>
      <w:r w:rsidR="00A30C38" w:rsidRPr="00A30C38">
        <w:t xml:space="preserve"> and</w:t>
      </w:r>
      <w:r w:rsidRPr="00A30C38">
        <w:t xml:space="preserve"> pavements.</w:t>
      </w:r>
      <w:proofErr w:type="gramEnd"/>
      <w:r w:rsidRPr="00A30C38">
        <w:rPr>
          <w:rStyle w:val="FootnoteReference"/>
          <w:b/>
        </w:rPr>
        <w:footnoteReference w:id="234"/>
      </w:r>
      <w:r w:rsidRPr="00A30C38">
        <w:t xml:space="preserve"> </w:t>
      </w:r>
      <w:r w:rsidR="00701A6E">
        <w:t>Drafting and e</w:t>
      </w:r>
      <w:r w:rsidRPr="00A30C38">
        <w:t>nforcement of laws and regulations relating to obstruction of pavements and footpaths is</w:t>
      </w:r>
      <w:r w:rsidR="00701A6E">
        <w:t xml:space="preserve"> the shared responsibility</w:t>
      </w:r>
      <w:r w:rsidRPr="00A30C38">
        <w:t xml:space="preserve"> </w:t>
      </w:r>
      <w:r w:rsidR="00701A6E">
        <w:t>of the national</w:t>
      </w:r>
      <w:r w:rsidR="00227A06">
        <w:t>, provincial</w:t>
      </w:r>
      <w:r w:rsidR="00701A6E">
        <w:t xml:space="preserve"> and the </w:t>
      </w:r>
      <w:r w:rsidRPr="00A30C38">
        <w:t xml:space="preserve">municipal </w:t>
      </w:r>
      <w:r w:rsidR="00701A6E">
        <w:t>authorities</w:t>
      </w:r>
      <w:r w:rsidRPr="00A30C38">
        <w:t>.</w:t>
      </w:r>
    </w:p>
    <w:p w14:paraId="0C0ECA72" w14:textId="77777777" w:rsidR="005D4042" w:rsidRDefault="005D4042" w:rsidP="00F9312C">
      <w:pPr>
        <w:spacing w:line="360" w:lineRule="auto"/>
      </w:pPr>
    </w:p>
    <w:p w14:paraId="7CD65473" w14:textId="6846B838" w:rsidR="00BC1033" w:rsidRPr="00F9312C" w:rsidRDefault="001F023C" w:rsidP="00F9312C">
      <w:pPr>
        <w:spacing w:line="360" w:lineRule="auto"/>
        <w:rPr>
          <w:b/>
          <w:bCs/>
        </w:rPr>
      </w:pPr>
      <w:r w:rsidRPr="00F9312C">
        <w:rPr>
          <w:b/>
          <w:bCs/>
        </w:rPr>
        <w:t>Enforcement</w:t>
      </w:r>
      <w:r w:rsidR="00750FA1" w:rsidRPr="00F9312C">
        <w:rPr>
          <w:b/>
          <w:bCs/>
        </w:rPr>
        <w:t xml:space="preserve"> </w:t>
      </w:r>
    </w:p>
    <w:p w14:paraId="05F73A4B" w14:textId="1F69332B" w:rsidR="00BC1033" w:rsidRPr="00BC1033" w:rsidRDefault="00BC1033" w:rsidP="00F9312C">
      <w:pPr>
        <w:spacing w:line="360" w:lineRule="auto"/>
        <w:rPr>
          <w:i/>
          <w:iCs/>
        </w:rPr>
      </w:pPr>
      <w:r>
        <w:rPr>
          <w:i/>
          <w:iCs/>
        </w:rPr>
        <w:t>A</w:t>
      </w:r>
      <w:r w:rsidR="00750FA1" w:rsidRPr="00BC1033">
        <w:rPr>
          <w:i/>
          <w:iCs/>
        </w:rPr>
        <w:t>dministrative</w:t>
      </w:r>
      <w:r>
        <w:rPr>
          <w:i/>
          <w:iCs/>
        </w:rPr>
        <w:t xml:space="preserve"> </w:t>
      </w:r>
      <w:r w:rsidR="001B62CE">
        <w:rPr>
          <w:i/>
          <w:iCs/>
        </w:rPr>
        <w:t>law</w:t>
      </w:r>
    </w:p>
    <w:p w14:paraId="4C974817" w14:textId="204EB15F" w:rsidR="008E2DFC" w:rsidRPr="00BC1033" w:rsidRDefault="008E2DFC" w:rsidP="00F9312C">
      <w:pPr>
        <w:spacing w:line="360" w:lineRule="auto"/>
        <w:rPr>
          <w:i/>
          <w:iCs/>
        </w:rPr>
      </w:pPr>
      <w:r w:rsidRPr="00BC1033">
        <w:t xml:space="preserve">In far as enforcement is concerned, national, provincial and municipal laws grant supervisory powers to certain </w:t>
      </w:r>
      <w:r w:rsidR="00750FA1" w:rsidRPr="00BC1033">
        <w:t xml:space="preserve">supervisory </w:t>
      </w:r>
      <w:r w:rsidRPr="00BC1033">
        <w:t>officials to enforce regulations. They may enter places, demand information and inspection of documents, take samples and search for means of transport. This enforcement supervision, also known as control, is governed by administrative law. The general rules are included in Title 5.2 of the General Administrative Law Act (</w:t>
      </w:r>
      <w:r w:rsidRPr="00BC1033">
        <w:rPr>
          <w:i/>
          <w:iCs/>
        </w:rPr>
        <w:t>‘</w:t>
      </w:r>
      <w:proofErr w:type="spellStart"/>
      <w:r w:rsidRPr="00BC1033">
        <w:rPr>
          <w:i/>
        </w:rPr>
        <w:t>Algemene</w:t>
      </w:r>
      <w:proofErr w:type="spellEnd"/>
      <w:r w:rsidRPr="00BC1033">
        <w:rPr>
          <w:i/>
        </w:rPr>
        <w:t xml:space="preserve"> wet </w:t>
      </w:r>
      <w:proofErr w:type="spellStart"/>
      <w:r w:rsidRPr="00BC1033">
        <w:rPr>
          <w:i/>
        </w:rPr>
        <w:t>bestuursrecht</w:t>
      </w:r>
      <w:proofErr w:type="spellEnd"/>
      <w:r w:rsidRPr="00BC1033">
        <w:rPr>
          <w:i/>
          <w:iCs/>
        </w:rPr>
        <w:t>’</w:t>
      </w:r>
      <w:r w:rsidRPr="00BC1033">
        <w:t xml:space="preserve">). </w:t>
      </w:r>
    </w:p>
    <w:p w14:paraId="51A33EBD" w14:textId="0C8B1CCB" w:rsidR="008E2DFC" w:rsidRDefault="008E2DFC" w:rsidP="00F9312C">
      <w:pPr>
        <w:spacing w:line="360" w:lineRule="auto"/>
        <w:rPr>
          <w:lang w:bidi="en-US"/>
        </w:rPr>
      </w:pPr>
      <w:r>
        <w:rPr>
          <w:lang w:bidi="en-US"/>
        </w:rPr>
        <w:t xml:space="preserve">Supervision takes place at a stage where there is not (yet) a reasonable suspicion that a criminal offence has been committed. This is different in criminal law. In principle, there must be a presumption that an offence has been committed in order to begin investigations. </w:t>
      </w:r>
    </w:p>
    <w:p w14:paraId="524CCF39" w14:textId="0927858A" w:rsidR="008E2DFC" w:rsidRDefault="008E2DFC" w:rsidP="00F9312C">
      <w:pPr>
        <w:spacing w:line="360" w:lineRule="auto"/>
      </w:pPr>
      <w:r>
        <w:t>Chapter 5 of the General Administrative Law Act contains a list of the coercive instruments that can be applied by the administrative body and the rules that must be observed when applying the coercive instruments.</w:t>
      </w:r>
    </w:p>
    <w:p w14:paraId="623FAEC6" w14:textId="77777777" w:rsidR="008E2DFC" w:rsidRPr="00CD7CB6" w:rsidRDefault="008E2DFC" w:rsidP="00F9312C">
      <w:pPr>
        <w:spacing w:line="360" w:lineRule="auto"/>
        <w:rPr>
          <w:lang w:eastAsia="nl-NL" w:bidi="en-US"/>
        </w:rPr>
      </w:pPr>
    </w:p>
    <w:p w14:paraId="42D605FB" w14:textId="64A4860E" w:rsidR="008E2DFC" w:rsidRDefault="008E2DFC" w:rsidP="00F9312C">
      <w:pPr>
        <w:spacing w:line="360" w:lineRule="auto"/>
        <w:rPr>
          <w:lang w:eastAsia="nl-NL" w:bidi="en-US"/>
        </w:rPr>
      </w:pPr>
      <w:r>
        <w:rPr>
          <w:lang w:eastAsia="nl-NL" w:bidi="en-US"/>
        </w:rPr>
        <w:t>T</w:t>
      </w:r>
      <w:r w:rsidRPr="00CD7CB6">
        <w:rPr>
          <w:lang w:eastAsia="nl-NL" w:bidi="en-US"/>
        </w:rPr>
        <w:t>he implementation and enforcement of, in particular, special legislation and regulations of provinces</w:t>
      </w:r>
      <w:r>
        <w:rPr>
          <w:lang w:eastAsia="nl-NL" w:bidi="en-US"/>
        </w:rPr>
        <w:t xml:space="preserve"> and</w:t>
      </w:r>
      <w:r w:rsidRPr="00CD7CB6">
        <w:rPr>
          <w:lang w:eastAsia="nl-NL" w:bidi="en-US"/>
        </w:rPr>
        <w:t xml:space="preserve"> municipalities has been entrusted to a variety of public law organizations. If necessary, employees of such an organization can be granted investigative powers</w:t>
      </w:r>
      <w:r>
        <w:rPr>
          <w:lang w:eastAsia="nl-NL" w:bidi="en-US"/>
        </w:rPr>
        <w:t xml:space="preserve">; they are named </w:t>
      </w:r>
      <w:proofErr w:type="spellStart"/>
      <w:r w:rsidRPr="00CD7CB6">
        <w:rPr>
          <w:i/>
          <w:iCs/>
          <w:lang w:eastAsia="nl-NL" w:bidi="en-US"/>
        </w:rPr>
        <w:t>buitengewoon</w:t>
      </w:r>
      <w:proofErr w:type="spellEnd"/>
      <w:r w:rsidRPr="00CD7CB6">
        <w:rPr>
          <w:i/>
          <w:iCs/>
          <w:lang w:eastAsia="nl-NL" w:bidi="en-US"/>
        </w:rPr>
        <w:t xml:space="preserve"> </w:t>
      </w:r>
      <w:proofErr w:type="spellStart"/>
      <w:r w:rsidRPr="00CD7CB6">
        <w:rPr>
          <w:i/>
          <w:iCs/>
          <w:lang w:eastAsia="nl-NL" w:bidi="en-US"/>
        </w:rPr>
        <w:t>opsporingsambtenaar</w:t>
      </w:r>
      <w:proofErr w:type="spellEnd"/>
      <w:r>
        <w:rPr>
          <w:lang w:eastAsia="nl-NL" w:bidi="en-US"/>
        </w:rPr>
        <w:t xml:space="preserve"> (</w:t>
      </w:r>
      <w:r w:rsidRPr="00CD7CB6">
        <w:rPr>
          <w:i/>
          <w:iCs/>
          <w:lang w:eastAsia="nl-NL" w:bidi="en-US"/>
        </w:rPr>
        <w:t>‘extraordinary investigating officer’</w:t>
      </w:r>
      <w:r>
        <w:rPr>
          <w:lang w:eastAsia="nl-NL" w:bidi="en-US"/>
        </w:rPr>
        <w:t>) or</w:t>
      </w:r>
      <w:r w:rsidRPr="00CD7CB6">
        <w:rPr>
          <w:lang w:eastAsia="nl-NL" w:bidi="en-US"/>
        </w:rPr>
        <w:t xml:space="preserve"> </w:t>
      </w:r>
      <w:r>
        <w:rPr>
          <w:lang w:eastAsia="nl-NL" w:bidi="en-US"/>
        </w:rPr>
        <w:t>BOA</w:t>
      </w:r>
      <w:r w:rsidRPr="00CD7CB6">
        <w:rPr>
          <w:lang w:eastAsia="nl-NL" w:bidi="en-US"/>
        </w:rPr>
        <w:t xml:space="preserve">. </w:t>
      </w:r>
      <w:r>
        <w:rPr>
          <w:lang w:eastAsia="nl-NL" w:bidi="en-US"/>
        </w:rPr>
        <w:t>BOAs have</w:t>
      </w:r>
      <w:r w:rsidRPr="00CD7CB6">
        <w:rPr>
          <w:lang w:eastAsia="nl-NL" w:bidi="en-US"/>
        </w:rPr>
        <w:t xml:space="preserve"> a title of investigative power, the required competence and reliability, and a deed of swearing in</w:t>
      </w:r>
      <w:r>
        <w:rPr>
          <w:lang w:eastAsia="nl-NL" w:bidi="en-US"/>
        </w:rPr>
        <w:t xml:space="preserve">. Their powers are </w:t>
      </w:r>
      <w:r w:rsidRPr="00CD7CB6">
        <w:rPr>
          <w:lang w:eastAsia="nl-NL" w:bidi="en-US"/>
        </w:rPr>
        <w:t xml:space="preserve">granted by the Minister of Justice and Security </w:t>
      </w:r>
      <w:r>
        <w:rPr>
          <w:lang w:eastAsia="nl-NL" w:bidi="en-US"/>
        </w:rPr>
        <w:t>under the Code of Criminal Procedure.</w:t>
      </w:r>
      <w:r>
        <w:rPr>
          <w:rStyle w:val="FootnoteReference"/>
          <w:lang w:eastAsia="nl-NL" w:bidi="en-US"/>
        </w:rPr>
        <w:footnoteReference w:id="235"/>
      </w:r>
      <w:r>
        <w:rPr>
          <w:lang w:eastAsia="nl-NL" w:bidi="en-US"/>
        </w:rPr>
        <w:t xml:space="preserve"> On the instructions of the Minister, a</w:t>
      </w:r>
      <w:r w:rsidRPr="00FF68AB">
        <w:rPr>
          <w:lang w:eastAsia="nl-NL" w:bidi="en-US"/>
        </w:rPr>
        <w:t xml:space="preserve"> </w:t>
      </w:r>
      <w:r>
        <w:rPr>
          <w:lang w:eastAsia="nl-NL" w:bidi="en-US"/>
        </w:rPr>
        <w:t>BOA</w:t>
      </w:r>
      <w:r w:rsidRPr="00FF68AB">
        <w:rPr>
          <w:lang w:eastAsia="nl-NL" w:bidi="en-US"/>
        </w:rPr>
        <w:t xml:space="preserve"> can use force or</w:t>
      </w:r>
      <w:r>
        <w:rPr>
          <w:lang w:eastAsia="nl-NL" w:bidi="en-US"/>
        </w:rPr>
        <w:t xml:space="preserve"> apply</w:t>
      </w:r>
      <w:r w:rsidRPr="00FF68AB">
        <w:rPr>
          <w:lang w:eastAsia="nl-NL" w:bidi="en-US"/>
        </w:rPr>
        <w:t xml:space="preserve"> restricti</w:t>
      </w:r>
      <w:r>
        <w:rPr>
          <w:lang w:eastAsia="nl-NL" w:bidi="en-US"/>
        </w:rPr>
        <w:t>ve measures</w:t>
      </w:r>
      <w:r w:rsidRPr="00FF68AB">
        <w:rPr>
          <w:lang w:eastAsia="nl-NL" w:bidi="en-US"/>
        </w:rPr>
        <w:t xml:space="preserve"> </w:t>
      </w:r>
      <w:r>
        <w:rPr>
          <w:lang w:eastAsia="nl-NL" w:bidi="en-US"/>
        </w:rPr>
        <w:t>on a person. The BOA can be</w:t>
      </w:r>
      <w:r w:rsidRPr="00FF68AB">
        <w:rPr>
          <w:lang w:eastAsia="nl-NL" w:bidi="en-US"/>
        </w:rPr>
        <w:t xml:space="preserve"> authorized to conduct a security search, a transport search and a containment search</w:t>
      </w:r>
      <w:r>
        <w:rPr>
          <w:lang w:eastAsia="nl-NL" w:bidi="en-US"/>
        </w:rPr>
        <w:t xml:space="preserve">. </w:t>
      </w:r>
      <w:r w:rsidRPr="00FF68AB">
        <w:rPr>
          <w:lang w:eastAsia="nl-NL" w:bidi="en-US"/>
        </w:rPr>
        <w:t xml:space="preserve">As a rule, the </w:t>
      </w:r>
      <w:r>
        <w:rPr>
          <w:lang w:eastAsia="nl-NL" w:bidi="en-US"/>
        </w:rPr>
        <w:t>BOA</w:t>
      </w:r>
      <w:r w:rsidRPr="00FF68AB">
        <w:rPr>
          <w:lang w:eastAsia="nl-NL" w:bidi="en-US"/>
        </w:rPr>
        <w:t xml:space="preserve"> has limited investigative powers related to its function and job description. The </w:t>
      </w:r>
      <w:r>
        <w:rPr>
          <w:lang w:eastAsia="nl-NL" w:bidi="en-US"/>
        </w:rPr>
        <w:t>BOA</w:t>
      </w:r>
      <w:r w:rsidRPr="00FF68AB">
        <w:rPr>
          <w:lang w:eastAsia="nl-NL" w:bidi="en-US"/>
        </w:rPr>
        <w:t xml:space="preserve"> is </w:t>
      </w:r>
      <w:r w:rsidR="00233C68">
        <w:rPr>
          <w:lang w:eastAsia="nl-NL" w:bidi="en-US"/>
        </w:rPr>
        <w:t>deployed</w:t>
      </w:r>
      <w:r w:rsidRPr="00FF68AB">
        <w:rPr>
          <w:lang w:eastAsia="nl-NL" w:bidi="en-US"/>
        </w:rPr>
        <w:t xml:space="preserve"> where </w:t>
      </w:r>
      <w:r>
        <w:rPr>
          <w:lang w:eastAsia="nl-NL" w:bidi="en-US"/>
        </w:rPr>
        <w:t>enforcement</w:t>
      </w:r>
      <w:r w:rsidRPr="00FF68AB">
        <w:rPr>
          <w:lang w:eastAsia="nl-NL" w:bidi="en-US"/>
        </w:rPr>
        <w:t xml:space="preserve"> by the police is not desirable, because of prioritization, or is not possible due to insufficient expertise or capacity at the police.</w:t>
      </w:r>
      <w:r>
        <w:rPr>
          <w:lang w:eastAsia="nl-NL" w:bidi="en-US"/>
        </w:rPr>
        <w:t xml:space="preserve"> </w:t>
      </w:r>
    </w:p>
    <w:p w14:paraId="4FDC5244" w14:textId="6AC05248" w:rsidR="008E2DFC" w:rsidRPr="008E2DFC" w:rsidRDefault="008E2DFC" w:rsidP="00F9312C">
      <w:pPr>
        <w:spacing w:line="360" w:lineRule="auto"/>
        <w:rPr>
          <w:lang w:bidi="en-US"/>
        </w:rPr>
      </w:pPr>
      <w:r>
        <w:rPr>
          <w:lang w:eastAsia="nl-NL" w:bidi="en-US"/>
        </w:rPr>
        <w:t xml:space="preserve">BOAs may operate in several domains. In the context of this report, the domain Public Space is the most relevant. BOAs may act on violations that affect the quality of life on facts can be regarded as nuisance, degeneration, minor annoyance. They are empowered to act during surveillance, by being present on the street in the neighbourhood. Violations they can act upon can be ascertained directly by their own observation. </w:t>
      </w:r>
      <w:r w:rsidR="001F023C">
        <w:rPr>
          <w:lang w:eastAsia="nl-NL" w:bidi="en-US"/>
        </w:rPr>
        <w:t>(c) Enforcement</w:t>
      </w:r>
      <w:r>
        <w:rPr>
          <w:lang w:eastAsia="nl-NL" w:bidi="en-US"/>
        </w:rPr>
        <w:t xml:space="preserve"> of</w:t>
      </w:r>
      <w:r w:rsidR="00BC1033">
        <w:rPr>
          <w:lang w:eastAsia="nl-NL" w:bidi="en-US"/>
        </w:rPr>
        <w:t xml:space="preserve"> article </w:t>
      </w:r>
      <w:r>
        <w:rPr>
          <w:lang w:eastAsia="nl-NL" w:bidi="en-US"/>
        </w:rPr>
        <w:t>5 Road Traffic Act and the Spatial Planning Act are explicit parts of the</w:t>
      </w:r>
      <w:r w:rsidR="00233C68">
        <w:rPr>
          <w:lang w:eastAsia="nl-NL" w:bidi="en-US"/>
        </w:rPr>
        <w:t>ir operational</w:t>
      </w:r>
      <w:r>
        <w:rPr>
          <w:lang w:eastAsia="nl-NL" w:bidi="en-US"/>
        </w:rPr>
        <w:t xml:space="preserve"> domain.</w:t>
      </w:r>
      <w:r>
        <w:rPr>
          <w:rStyle w:val="FootnoteReference"/>
          <w:lang w:eastAsia="nl-NL" w:bidi="en-US"/>
        </w:rPr>
        <w:footnoteReference w:id="236"/>
      </w:r>
    </w:p>
    <w:p w14:paraId="00B34287" w14:textId="77777777" w:rsidR="00750FA1" w:rsidRDefault="00750FA1" w:rsidP="00F9312C">
      <w:pPr>
        <w:spacing w:line="360" w:lineRule="auto"/>
        <w:rPr>
          <w:rFonts w:eastAsia="Times New Roman"/>
          <w:lang w:eastAsia="nl-NL"/>
        </w:rPr>
      </w:pPr>
    </w:p>
    <w:p w14:paraId="065334B0" w14:textId="1CA125DD" w:rsidR="001B62CE" w:rsidRPr="001B62CE" w:rsidRDefault="001B62CE" w:rsidP="00F9312C">
      <w:pPr>
        <w:spacing w:line="360" w:lineRule="auto"/>
        <w:rPr>
          <w:i/>
          <w:iCs/>
          <w:lang w:eastAsia="nl-NL" w:bidi="en-US"/>
        </w:rPr>
      </w:pPr>
      <w:r w:rsidRPr="001B62CE">
        <w:rPr>
          <w:i/>
          <w:iCs/>
          <w:lang w:eastAsia="nl-NL" w:bidi="en-US"/>
        </w:rPr>
        <w:t>Criminal law</w:t>
      </w:r>
    </w:p>
    <w:p w14:paraId="6FEBAF18" w14:textId="46EB992A" w:rsidR="00750FA1" w:rsidRDefault="00750FA1" w:rsidP="00F9312C">
      <w:pPr>
        <w:spacing w:line="360" w:lineRule="auto"/>
        <w:rPr>
          <w:lang w:eastAsia="nl-NL" w:bidi="en-US"/>
        </w:rPr>
      </w:pPr>
      <w:r w:rsidRPr="00750FA1">
        <w:rPr>
          <w:lang w:eastAsia="nl-NL" w:bidi="en-US"/>
        </w:rPr>
        <w:t>Under</w:t>
      </w:r>
      <w:r w:rsidR="00BC1033">
        <w:rPr>
          <w:lang w:eastAsia="nl-NL" w:bidi="en-US"/>
        </w:rPr>
        <w:t xml:space="preserve"> article </w:t>
      </w:r>
      <w:r w:rsidRPr="00750FA1">
        <w:rPr>
          <w:lang w:eastAsia="nl-NL" w:bidi="en-US"/>
        </w:rPr>
        <w:t>2 of the Police Act 1993, the police have the duty to ensure effective enforcement of the legal order and to provide assistance to those in need. On the basis of this general police task, as well as on the basis of the charge given to the officials mentioned there in Articles 141 and 142 of the Code of Criminal Procedure to investigate criminal offen</w:t>
      </w:r>
      <w:r>
        <w:rPr>
          <w:lang w:eastAsia="nl-NL" w:bidi="en-US"/>
        </w:rPr>
        <w:t>c</w:t>
      </w:r>
      <w:r w:rsidRPr="00750FA1">
        <w:rPr>
          <w:lang w:eastAsia="nl-NL" w:bidi="en-US"/>
        </w:rPr>
        <w:t>es,</w:t>
      </w:r>
      <w:r>
        <w:rPr>
          <w:lang w:eastAsia="nl-NL" w:bidi="en-US"/>
        </w:rPr>
        <w:t xml:space="preserve"> police</w:t>
      </w:r>
      <w:r w:rsidRPr="00750FA1">
        <w:rPr>
          <w:lang w:eastAsia="nl-NL" w:bidi="en-US"/>
        </w:rPr>
        <w:t xml:space="preserve"> officers can investigate</w:t>
      </w:r>
      <w:r w:rsidR="00872108">
        <w:rPr>
          <w:lang w:eastAsia="nl-NL" w:bidi="en-US"/>
        </w:rPr>
        <w:t xml:space="preserve"> alleged violations of the law</w:t>
      </w:r>
      <w:r w:rsidRPr="00750FA1">
        <w:rPr>
          <w:lang w:eastAsia="nl-NL" w:bidi="en-US"/>
        </w:rPr>
        <w:t>.</w:t>
      </w:r>
    </w:p>
    <w:p w14:paraId="00D34D2C" w14:textId="5FCDE5E7" w:rsidR="00750FA1" w:rsidRDefault="00750FA1" w:rsidP="00F9312C">
      <w:pPr>
        <w:spacing w:line="360" w:lineRule="auto"/>
        <w:rPr>
          <w:lang w:eastAsia="nl-NL" w:bidi="en-US"/>
        </w:rPr>
      </w:pPr>
    </w:p>
    <w:p w14:paraId="78F9B5CB" w14:textId="1F27EBEC" w:rsidR="00750FA1" w:rsidRPr="00F9312C" w:rsidRDefault="00A9019F" w:rsidP="00F9312C">
      <w:pPr>
        <w:pStyle w:val="Heading3"/>
        <w:spacing w:line="360" w:lineRule="auto"/>
        <w:rPr>
          <w:b/>
          <w:bCs w:val="0"/>
          <w:lang w:eastAsia="nl-NL"/>
        </w:rPr>
      </w:pPr>
      <w:r w:rsidRPr="00F9312C">
        <w:rPr>
          <w:b/>
          <w:bCs w:val="0"/>
          <w:lang w:eastAsia="nl-NL"/>
        </w:rPr>
        <w:t>D1.1 National legislation</w:t>
      </w:r>
    </w:p>
    <w:p w14:paraId="59928231" w14:textId="3429CF05" w:rsidR="00A9019F" w:rsidRDefault="00A9019F" w:rsidP="00F9312C">
      <w:pPr>
        <w:spacing w:line="360" w:lineRule="auto"/>
        <w:rPr>
          <w:lang w:eastAsia="nl-NL" w:bidi="en-US"/>
        </w:rPr>
      </w:pPr>
      <w:r>
        <w:rPr>
          <w:lang w:eastAsia="nl-NL" w:bidi="en-US"/>
        </w:rPr>
        <w:t xml:space="preserve">The majority of roads under management of the central government are national highways. Pedestrians are prohibited from using these, except </w:t>
      </w:r>
      <w:r w:rsidR="000B2761">
        <w:rPr>
          <w:lang w:eastAsia="nl-NL" w:bidi="en-US"/>
        </w:rPr>
        <w:t>under certain</w:t>
      </w:r>
      <w:r w:rsidR="009A3209">
        <w:rPr>
          <w:lang w:eastAsia="nl-NL" w:bidi="en-US"/>
        </w:rPr>
        <w:t xml:space="preserve"> strict</w:t>
      </w:r>
      <w:r w:rsidR="000B2761">
        <w:rPr>
          <w:lang w:eastAsia="nl-NL" w:bidi="en-US"/>
        </w:rPr>
        <w:t xml:space="preserve"> circumstances</w:t>
      </w:r>
      <w:r w:rsidR="00D77E35">
        <w:rPr>
          <w:lang w:eastAsia="nl-NL" w:bidi="en-US"/>
        </w:rPr>
        <w:t>, such as</w:t>
      </w:r>
      <w:r w:rsidR="000B2761">
        <w:rPr>
          <w:lang w:eastAsia="nl-NL" w:bidi="en-US"/>
        </w:rPr>
        <w:t xml:space="preserve"> in </w:t>
      </w:r>
      <w:r>
        <w:rPr>
          <w:lang w:eastAsia="nl-NL" w:bidi="en-US"/>
        </w:rPr>
        <w:t>cases of emergency</w:t>
      </w:r>
      <w:r w:rsidR="009A3209">
        <w:rPr>
          <w:lang w:eastAsia="nl-NL" w:bidi="en-US"/>
        </w:rPr>
        <w:t xml:space="preserve">. </w:t>
      </w:r>
      <w:proofErr w:type="gramStart"/>
      <w:r w:rsidR="009A3209">
        <w:rPr>
          <w:lang w:eastAsia="nl-NL" w:bidi="en-US"/>
        </w:rPr>
        <w:t>For example,</w:t>
      </w:r>
      <w:r>
        <w:rPr>
          <w:lang w:eastAsia="nl-NL" w:bidi="en-US"/>
        </w:rPr>
        <w:t xml:space="preserve"> a car accident where </w:t>
      </w:r>
      <w:r w:rsidR="000B2761">
        <w:rPr>
          <w:lang w:eastAsia="nl-NL" w:bidi="en-US"/>
        </w:rPr>
        <w:t>a driver and passengers need to leave their vehicle.</w:t>
      </w:r>
      <w:proofErr w:type="gramEnd"/>
      <w:r w:rsidR="009A3209">
        <w:rPr>
          <w:lang w:eastAsia="nl-NL" w:bidi="en-US"/>
        </w:rPr>
        <w:t xml:space="preserve"> In the context of this report, highway rules and regulations are omitted.  </w:t>
      </w:r>
    </w:p>
    <w:p w14:paraId="77A06D32" w14:textId="2DDD3D04" w:rsidR="009A3209" w:rsidRDefault="009A3209" w:rsidP="00F9312C">
      <w:pPr>
        <w:spacing w:line="360" w:lineRule="auto"/>
        <w:rPr>
          <w:lang w:eastAsia="nl-NL" w:bidi="en-US"/>
        </w:rPr>
      </w:pPr>
      <w:r>
        <w:rPr>
          <w:lang w:eastAsia="nl-NL" w:bidi="en-US"/>
        </w:rPr>
        <w:t>Some minor roads are under government management. For rules regarding pedestrians, the rules and regulations of the Roads Act and Road Traffic Act</w:t>
      </w:r>
      <w:r w:rsidR="003C042B">
        <w:rPr>
          <w:rStyle w:val="FootnoteReference"/>
          <w:lang w:eastAsia="nl-NL" w:bidi="en-US"/>
        </w:rPr>
        <w:footnoteReference w:id="237"/>
      </w:r>
      <w:r w:rsidR="003C042B">
        <w:rPr>
          <w:lang w:eastAsia="nl-NL" w:bidi="en-US"/>
        </w:rPr>
        <w:t xml:space="preserve"> </w:t>
      </w:r>
      <w:r>
        <w:rPr>
          <w:lang w:eastAsia="nl-NL" w:bidi="en-US"/>
        </w:rPr>
        <w:t xml:space="preserve">apply. </w:t>
      </w:r>
    </w:p>
    <w:p w14:paraId="7A6DC28F" w14:textId="77777777" w:rsidR="00750FA1" w:rsidRPr="00750FA1" w:rsidRDefault="00750FA1" w:rsidP="00F9312C">
      <w:pPr>
        <w:spacing w:line="360" w:lineRule="auto"/>
        <w:rPr>
          <w:lang w:eastAsia="nl-NL" w:bidi="en-US"/>
        </w:rPr>
      </w:pPr>
    </w:p>
    <w:p w14:paraId="76278A71" w14:textId="60EC9D7B" w:rsidR="00227A06" w:rsidRPr="00F9312C" w:rsidRDefault="00227A06" w:rsidP="00F9312C">
      <w:pPr>
        <w:pStyle w:val="Heading3"/>
        <w:spacing w:line="360" w:lineRule="auto"/>
        <w:rPr>
          <w:b/>
          <w:bCs w:val="0"/>
          <w:lang w:eastAsia="nl-NL"/>
        </w:rPr>
      </w:pPr>
      <w:r w:rsidRPr="00F9312C">
        <w:rPr>
          <w:b/>
          <w:bCs w:val="0"/>
          <w:lang w:eastAsia="nl-NL"/>
        </w:rPr>
        <w:t>D1.2 Provincial Legislation</w:t>
      </w:r>
    </w:p>
    <w:p w14:paraId="0651F948" w14:textId="5FC42EA9" w:rsidR="005633C1" w:rsidRPr="005633C1" w:rsidRDefault="005633C1" w:rsidP="00F9312C">
      <w:pPr>
        <w:spacing w:line="360" w:lineRule="auto"/>
        <w:rPr>
          <w:i/>
          <w:iCs/>
          <w:lang w:eastAsia="nl-NL" w:bidi="en-US"/>
        </w:rPr>
      </w:pPr>
      <w:r>
        <w:rPr>
          <w:i/>
          <w:iCs/>
          <w:lang w:eastAsia="nl-NL" w:bidi="en-US"/>
        </w:rPr>
        <w:t xml:space="preserve">Provincial </w:t>
      </w:r>
      <w:r w:rsidRPr="005633C1">
        <w:rPr>
          <w:i/>
          <w:iCs/>
          <w:lang w:eastAsia="nl-NL" w:bidi="en-US"/>
        </w:rPr>
        <w:t>Road Ordina</w:t>
      </w:r>
      <w:r>
        <w:rPr>
          <w:i/>
          <w:iCs/>
          <w:lang w:eastAsia="nl-NL" w:bidi="en-US"/>
        </w:rPr>
        <w:t>n</w:t>
      </w:r>
      <w:r w:rsidRPr="005633C1">
        <w:rPr>
          <w:i/>
          <w:iCs/>
          <w:lang w:eastAsia="nl-NL" w:bidi="en-US"/>
        </w:rPr>
        <w:t>ce</w:t>
      </w:r>
    </w:p>
    <w:p w14:paraId="2C2425A2" w14:textId="7CE341E4" w:rsidR="00227A06" w:rsidRDefault="00227A06" w:rsidP="00F9312C">
      <w:pPr>
        <w:spacing w:line="360" w:lineRule="auto"/>
        <w:rPr>
          <w:lang w:eastAsia="nl-NL" w:bidi="en-US"/>
        </w:rPr>
      </w:pPr>
      <w:r>
        <w:rPr>
          <w:lang w:eastAsia="nl-NL" w:bidi="en-US"/>
        </w:rPr>
        <w:t xml:space="preserve">Each province is required to maintain an Environmental or Roads Ordinance, in which road safety is regulated. Included in road safety is the safety and usability of roads by pedestrians. Provinces have a large degree of liberty to set up their provincial ordinance, as long as it follows the statutory requirements of the </w:t>
      </w:r>
      <w:r w:rsidR="00B9585D">
        <w:rPr>
          <w:lang w:eastAsia="nl-NL" w:bidi="en-US"/>
        </w:rPr>
        <w:t xml:space="preserve">Roads Act </w:t>
      </w:r>
      <w:r>
        <w:rPr>
          <w:lang w:eastAsia="nl-NL" w:bidi="en-US"/>
        </w:rPr>
        <w:t xml:space="preserve">and </w:t>
      </w:r>
      <w:r w:rsidR="00B9585D">
        <w:rPr>
          <w:lang w:eastAsia="nl-NL" w:bidi="en-US"/>
        </w:rPr>
        <w:t>Road Traffic Act</w:t>
      </w:r>
      <w:r>
        <w:rPr>
          <w:lang w:eastAsia="nl-NL" w:bidi="en-US"/>
        </w:rPr>
        <w:t xml:space="preserve">. </w:t>
      </w:r>
    </w:p>
    <w:p w14:paraId="12946F3D" w14:textId="5152BDA3" w:rsidR="00227A06" w:rsidRDefault="005633C1" w:rsidP="00F9312C">
      <w:pPr>
        <w:spacing w:line="360" w:lineRule="auto"/>
        <w:rPr>
          <w:lang w:eastAsia="nl-NL" w:bidi="en-US"/>
        </w:rPr>
      </w:pPr>
      <w:r>
        <w:rPr>
          <w:lang w:eastAsia="nl-NL" w:bidi="en-US"/>
        </w:rPr>
        <w:t>As elaborated in</w:t>
      </w:r>
      <w:r w:rsidR="00227A06">
        <w:rPr>
          <w:lang w:eastAsia="nl-NL" w:bidi="en-US"/>
        </w:rPr>
        <w:t xml:space="preserve"> chapter </w:t>
      </w:r>
      <w:r w:rsidR="003C042B">
        <w:rPr>
          <w:lang w:eastAsia="nl-NL" w:bidi="en-US"/>
        </w:rPr>
        <w:t>A5,</w:t>
      </w:r>
      <w:r w:rsidR="00227A06">
        <w:rPr>
          <w:lang w:eastAsia="nl-NL" w:bidi="en-US"/>
        </w:rPr>
        <w:t xml:space="preserve"> the provinces of Utrecht and Flevoland have </w:t>
      </w:r>
      <w:r>
        <w:rPr>
          <w:lang w:eastAsia="nl-NL" w:bidi="en-US"/>
        </w:rPr>
        <w:t>included a prohibition to obstruct roads.</w:t>
      </w:r>
    </w:p>
    <w:p w14:paraId="7D6F11A5" w14:textId="34E37A98" w:rsidR="005633C1" w:rsidRDefault="005633C1" w:rsidP="00F9312C">
      <w:pPr>
        <w:spacing w:line="360" w:lineRule="auto"/>
        <w:rPr>
          <w:lang w:eastAsia="nl-NL" w:bidi="en-US"/>
        </w:rPr>
      </w:pPr>
    </w:p>
    <w:p w14:paraId="3D880426" w14:textId="77777777" w:rsidR="00906332" w:rsidRPr="001B62CE" w:rsidRDefault="00906332" w:rsidP="00F9312C">
      <w:pPr>
        <w:spacing w:line="360" w:lineRule="auto"/>
        <w:rPr>
          <w:b/>
          <w:bCs/>
        </w:rPr>
      </w:pPr>
      <w:r w:rsidRPr="001B62CE">
        <w:rPr>
          <w:b/>
          <w:bCs/>
        </w:rPr>
        <w:t>Remedies, Sanctions and Other Outcomes</w:t>
      </w:r>
    </w:p>
    <w:p w14:paraId="15E2EC18" w14:textId="4A2CBBB2" w:rsidR="00906332" w:rsidRDefault="00B9585D" w:rsidP="00F9312C">
      <w:pPr>
        <w:spacing w:line="360" w:lineRule="auto"/>
        <w:rPr>
          <w:lang w:eastAsia="nl-NL" w:bidi="en-US"/>
        </w:rPr>
      </w:pPr>
      <w:r>
        <w:rPr>
          <w:lang w:eastAsia="nl-NL" w:bidi="en-US"/>
        </w:rPr>
        <w:t xml:space="preserve">A violation of the Ordinance carries a </w:t>
      </w:r>
      <w:r w:rsidR="00872108">
        <w:rPr>
          <w:lang w:eastAsia="nl-NL" w:bidi="en-US"/>
        </w:rPr>
        <w:t xml:space="preserve">maximum </w:t>
      </w:r>
      <w:r>
        <w:rPr>
          <w:lang w:eastAsia="nl-NL" w:bidi="en-US"/>
        </w:rPr>
        <w:t>fine of 4,350€ or a</w:t>
      </w:r>
      <w:r w:rsidR="00872108">
        <w:rPr>
          <w:lang w:eastAsia="nl-NL" w:bidi="en-US"/>
        </w:rPr>
        <w:t>n</w:t>
      </w:r>
      <w:r>
        <w:rPr>
          <w:lang w:eastAsia="nl-NL" w:bidi="en-US"/>
        </w:rPr>
        <w:t xml:space="preserve"> imprisonment of three months.</w:t>
      </w:r>
    </w:p>
    <w:p w14:paraId="68239009" w14:textId="77777777" w:rsidR="00906332" w:rsidRDefault="00906332" w:rsidP="00F9312C">
      <w:pPr>
        <w:spacing w:line="360" w:lineRule="auto"/>
        <w:rPr>
          <w:lang w:eastAsia="nl-NL" w:bidi="en-US"/>
        </w:rPr>
      </w:pPr>
    </w:p>
    <w:p w14:paraId="3A60FC91" w14:textId="4FA9AECC" w:rsidR="005633C1" w:rsidRPr="001B62CE" w:rsidRDefault="001F023C" w:rsidP="00F9312C">
      <w:pPr>
        <w:spacing w:line="360" w:lineRule="auto"/>
        <w:rPr>
          <w:b/>
          <w:bCs/>
          <w:lang w:eastAsia="nl-NL" w:bidi="en-US"/>
        </w:rPr>
      </w:pPr>
      <w:r>
        <w:rPr>
          <w:b/>
          <w:bCs/>
          <w:lang w:eastAsia="nl-NL" w:bidi="en-US"/>
        </w:rPr>
        <w:t>Enforcement</w:t>
      </w:r>
    </w:p>
    <w:p w14:paraId="7FD6C7FD" w14:textId="11056524" w:rsidR="005633C1" w:rsidRDefault="005633C1" w:rsidP="00F9312C">
      <w:pPr>
        <w:spacing w:line="360" w:lineRule="auto"/>
        <w:rPr>
          <w:lang w:eastAsia="nl-NL" w:bidi="en-US"/>
        </w:rPr>
      </w:pPr>
      <w:r>
        <w:rPr>
          <w:lang w:eastAsia="nl-NL" w:bidi="en-US"/>
        </w:rPr>
        <w:t>The enforcement of provincial road legislation is entrusted to supervisors (</w:t>
      </w:r>
      <w:r w:rsidRPr="005633C1">
        <w:rPr>
          <w:i/>
          <w:iCs/>
          <w:lang w:eastAsia="nl-NL" w:bidi="en-US"/>
        </w:rPr>
        <w:t>‘</w:t>
      </w:r>
      <w:proofErr w:type="spellStart"/>
      <w:r w:rsidRPr="005633C1">
        <w:rPr>
          <w:i/>
          <w:iCs/>
          <w:lang w:eastAsia="nl-NL" w:bidi="en-US"/>
        </w:rPr>
        <w:t>toezichthouders</w:t>
      </w:r>
      <w:proofErr w:type="spellEnd"/>
      <w:r w:rsidRPr="005633C1">
        <w:rPr>
          <w:i/>
          <w:iCs/>
          <w:lang w:eastAsia="nl-NL" w:bidi="en-US"/>
        </w:rPr>
        <w:t>’</w:t>
      </w:r>
      <w:r>
        <w:rPr>
          <w:lang w:eastAsia="nl-NL" w:bidi="en-US"/>
        </w:rPr>
        <w:t>)</w:t>
      </w:r>
      <w:r w:rsidR="008E2DFC">
        <w:rPr>
          <w:lang w:eastAsia="nl-NL" w:bidi="en-US"/>
        </w:rPr>
        <w:t xml:space="preserve"> and BOAs</w:t>
      </w:r>
      <w:r>
        <w:rPr>
          <w:lang w:eastAsia="nl-NL" w:bidi="en-US"/>
        </w:rPr>
        <w:t>.</w:t>
      </w:r>
      <w:r w:rsidR="001A6653">
        <w:rPr>
          <w:rStyle w:val="FootnoteReference"/>
          <w:lang w:eastAsia="nl-NL" w:bidi="en-US"/>
        </w:rPr>
        <w:footnoteReference w:id="238"/>
      </w:r>
      <w:r>
        <w:rPr>
          <w:lang w:eastAsia="nl-NL" w:bidi="en-US"/>
        </w:rPr>
        <w:t xml:space="preserve"> </w:t>
      </w:r>
      <w:r w:rsidR="001A6653">
        <w:rPr>
          <w:lang w:eastAsia="nl-NL" w:bidi="en-US"/>
        </w:rPr>
        <w:t>Supervisors, who derive their powers from</w:t>
      </w:r>
      <w:r w:rsidR="00BC1033">
        <w:rPr>
          <w:lang w:eastAsia="nl-NL" w:bidi="en-US"/>
        </w:rPr>
        <w:t xml:space="preserve"> article </w:t>
      </w:r>
      <w:r w:rsidR="001A6653">
        <w:rPr>
          <w:lang w:eastAsia="nl-NL" w:bidi="en-US"/>
        </w:rPr>
        <w:t xml:space="preserve">122 Provinces Act, </w:t>
      </w:r>
      <w:r w:rsidR="00233C68">
        <w:rPr>
          <w:lang w:eastAsia="nl-NL" w:bidi="en-US"/>
        </w:rPr>
        <w:t xml:space="preserve">have the authority </w:t>
      </w:r>
      <w:r w:rsidR="001A6653">
        <w:rPr>
          <w:lang w:eastAsia="nl-NL" w:bidi="en-US"/>
        </w:rPr>
        <w:t>to act in cases of a violation of the provincial regulations</w:t>
      </w:r>
      <w:r w:rsidR="00906332">
        <w:rPr>
          <w:lang w:eastAsia="nl-NL" w:bidi="en-US"/>
        </w:rPr>
        <w:t xml:space="preserve"> and apply administrative sanction</w:t>
      </w:r>
      <w:r w:rsidR="00233C68">
        <w:rPr>
          <w:lang w:eastAsia="nl-NL" w:bidi="en-US"/>
        </w:rPr>
        <w:t>s</w:t>
      </w:r>
      <w:r w:rsidR="001A6653">
        <w:rPr>
          <w:lang w:eastAsia="nl-NL" w:bidi="en-US"/>
        </w:rPr>
        <w:t>. They may require a perpetrator to remove an obstacle from the road or</w:t>
      </w:r>
      <w:r w:rsidR="00906332">
        <w:rPr>
          <w:lang w:eastAsia="nl-NL" w:bidi="en-US"/>
        </w:rPr>
        <w:t>, if in case of a criminal offence,</w:t>
      </w:r>
      <w:r w:rsidR="001A6653">
        <w:rPr>
          <w:lang w:eastAsia="nl-NL" w:bidi="en-US"/>
        </w:rPr>
        <w:t xml:space="preserve"> to </w:t>
      </w:r>
      <w:r w:rsidR="00906332">
        <w:rPr>
          <w:lang w:eastAsia="nl-NL" w:bidi="en-US"/>
        </w:rPr>
        <w:t>report it to the police.</w:t>
      </w:r>
    </w:p>
    <w:p w14:paraId="0BD4B453" w14:textId="57082968" w:rsidR="00227A06" w:rsidRDefault="00906332" w:rsidP="00F9312C">
      <w:pPr>
        <w:spacing w:line="360" w:lineRule="auto"/>
        <w:rPr>
          <w:lang w:eastAsia="nl-NL" w:bidi="en-US"/>
        </w:rPr>
      </w:pPr>
      <w:r>
        <w:rPr>
          <w:lang w:eastAsia="nl-NL" w:bidi="en-US"/>
        </w:rPr>
        <w:t xml:space="preserve">The police </w:t>
      </w:r>
      <w:proofErr w:type="gramStart"/>
      <w:r w:rsidR="00233C68">
        <w:rPr>
          <w:lang w:eastAsia="nl-NL" w:bidi="en-US"/>
        </w:rPr>
        <w:t>is</w:t>
      </w:r>
      <w:proofErr w:type="gramEnd"/>
      <w:r w:rsidR="00233C68">
        <w:rPr>
          <w:lang w:eastAsia="nl-NL" w:bidi="en-US"/>
        </w:rPr>
        <w:t xml:space="preserve"> authorized to act in cases when</w:t>
      </w:r>
      <w:r>
        <w:rPr>
          <w:lang w:eastAsia="nl-NL" w:bidi="en-US"/>
        </w:rPr>
        <w:t xml:space="preserve"> a violation of a provincial regulation is a criminal offence.  </w:t>
      </w:r>
      <w:r w:rsidR="00227A06">
        <w:rPr>
          <w:lang w:eastAsia="nl-NL" w:bidi="en-US"/>
        </w:rPr>
        <w:t xml:space="preserve">  </w:t>
      </w:r>
    </w:p>
    <w:p w14:paraId="50A27787" w14:textId="77777777" w:rsidR="00227A06" w:rsidRDefault="00227A06" w:rsidP="00F9312C">
      <w:pPr>
        <w:spacing w:line="360" w:lineRule="auto"/>
        <w:rPr>
          <w:lang w:eastAsia="nl-NL" w:bidi="en-US"/>
        </w:rPr>
      </w:pPr>
    </w:p>
    <w:p w14:paraId="0333CF3D" w14:textId="06A7B5D0" w:rsidR="00FB3081" w:rsidRPr="00F9312C" w:rsidRDefault="00FB3081" w:rsidP="00F9312C">
      <w:pPr>
        <w:pStyle w:val="Heading3"/>
        <w:spacing w:line="360" w:lineRule="auto"/>
        <w:rPr>
          <w:b/>
          <w:bCs w:val="0"/>
          <w:lang w:eastAsia="nl-NL"/>
        </w:rPr>
      </w:pPr>
      <w:r w:rsidRPr="00F9312C">
        <w:rPr>
          <w:b/>
          <w:bCs w:val="0"/>
          <w:lang w:eastAsia="nl-NL"/>
        </w:rPr>
        <w:t>D1.</w:t>
      </w:r>
      <w:r w:rsidR="00227A06" w:rsidRPr="00F9312C">
        <w:rPr>
          <w:b/>
          <w:bCs w:val="0"/>
          <w:lang w:eastAsia="nl-NL"/>
        </w:rPr>
        <w:t>3</w:t>
      </w:r>
      <w:r w:rsidRPr="00F9312C">
        <w:rPr>
          <w:b/>
          <w:bCs w:val="0"/>
          <w:lang w:eastAsia="nl-NL"/>
        </w:rPr>
        <w:t xml:space="preserve"> </w:t>
      </w:r>
      <w:r w:rsidR="0004688F" w:rsidRPr="00F9312C">
        <w:rPr>
          <w:b/>
          <w:bCs w:val="0"/>
          <w:lang w:eastAsia="nl-NL"/>
        </w:rPr>
        <w:t>Municipal legislation</w:t>
      </w:r>
    </w:p>
    <w:p w14:paraId="333B8CC0" w14:textId="0E937EF7" w:rsidR="00FB3081" w:rsidRPr="009254C2" w:rsidRDefault="00FB3081" w:rsidP="00F9312C">
      <w:pPr>
        <w:spacing w:line="360" w:lineRule="auto"/>
        <w:rPr>
          <w:i/>
          <w:iCs/>
        </w:rPr>
      </w:pPr>
      <w:r w:rsidRPr="009254C2">
        <w:rPr>
          <w:i/>
          <w:iCs/>
        </w:rPr>
        <w:t>General Municipal Ordinance (APV)</w:t>
      </w:r>
    </w:p>
    <w:p w14:paraId="00A2A829" w14:textId="7B19DECB" w:rsidR="00F661D9" w:rsidRDefault="00F661D9" w:rsidP="00F9312C">
      <w:pPr>
        <w:spacing w:line="360" w:lineRule="auto"/>
      </w:pPr>
      <w:r>
        <w:rPr>
          <w:b/>
          <w:bCs/>
        </w:rPr>
        <w:t>(</w:t>
      </w:r>
      <w:proofErr w:type="gramStart"/>
      <w:r>
        <w:rPr>
          <w:b/>
          <w:bCs/>
        </w:rPr>
        <w:t>a</w:t>
      </w:r>
      <w:proofErr w:type="gramEnd"/>
      <w:r>
        <w:rPr>
          <w:b/>
          <w:bCs/>
        </w:rPr>
        <w:t>) Description and Examples</w:t>
      </w:r>
    </w:p>
    <w:p w14:paraId="072F1931" w14:textId="3A1632AB" w:rsidR="006B4474" w:rsidRDefault="00FB3081" w:rsidP="00F9312C">
      <w:pPr>
        <w:spacing w:line="360" w:lineRule="auto"/>
      </w:pPr>
      <w:r>
        <w:t>As stated above</w:t>
      </w:r>
      <w:r w:rsidR="003C042B">
        <w:t xml:space="preserve"> in</w:t>
      </w:r>
      <w:r>
        <w:t xml:space="preserve"> </w:t>
      </w:r>
      <w:r w:rsidRPr="003C042B">
        <w:t>chapter</w:t>
      </w:r>
      <w:r w:rsidR="003C042B" w:rsidRPr="003C042B">
        <w:t xml:space="preserve"> C3.1</w:t>
      </w:r>
      <w:r w:rsidRPr="003C042B">
        <w:t>,</w:t>
      </w:r>
      <w:r>
        <w:t xml:space="preserve"> municipalities have a wide margin of discretion to regulate activities that may compromise road safety. Each municipality may establish its own General Municipal Ordinance (</w:t>
      </w:r>
      <w:proofErr w:type="spellStart"/>
      <w:r w:rsidR="00233C68" w:rsidRPr="00233C68">
        <w:rPr>
          <w:i/>
          <w:iCs/>
        </w:rPr>
        <w:t>Algemene</w:t>
      </w:r>
      <w:proofErr w:type="spellEnd"/>
      <w:r w:rsidR="00233C68" w:rsidRPr="00233C68">
        <w:rPr>
          <w:i/>
          <w:iCs/>
        </w:rPr>
        <w:t xml:space="preserve"> </w:t>
      </w:r>
      <w:proofErr w:type="spellStart"/>
      <w:r w:rsidR="00233C68" w:rsidRPr="00233C68">
        <w:rPr>
          <w:i/>
          <w:iCs/>
        </w:rPr>
        <w:t>Plaatselijke</w:t>
      </w:r>
      <w:proofErr w:type="spellEnd"/>
      <w:r w:rsidR="00233C68" w:rsidRPr="00233C68">
        <w:rPr>
          <w:i/>
          <w:iCs/>
        </w:rPr>
        <w:t xml:space="preserve"> </w:t>
      </w:r>
      <w:proofErr w:type="spellStart"/>
      <w:r w:rsidR="00233C68" w:rsidRPr="00233C68">
        <w:rPr>
          <w:i/>
          <w:iCs/>
        </w:rPr>
        <w:t>Verordening</w:t>
      </w:r>
      <w:proofErr w:type="spellEnd"/>
      <w:r w:rsidR="00233C68">
        <w:rPr>
          <w:i/>
          <w:iCs/>
        </w:rPr>
        <w:t>,</w:t>
      </w:r>
      <w:r w:rsidR="00233C68">
        <w:t xml:space="preserve"> </w:t>
      </w:r>
      <w:r w:rsidRPr="00233C68">
        <w:rPr>
          <w:i/>
          <w:iCs/>
        </w:rPr>
        <w:t>APV</w:t>
      </w:r>
      <w:r>
        <w:t>). The National As</w:t>
      </w:r>
      <w:r w:rsidR="00F83D78">
        <w:t>s</w:t>
      </w:r>
      <w:r>
        <w:t>ociation of Municipalities (VNG)</w:t>
      </w:r>
      <w:r>
        <w:rPr>
          <w:rStyle w:val="FootnoteReference"/>
        </w:rPr>
        <w:footnoteReference w:id="239"/>
      </w:r>
      <w:r w:rsidR="00F83D78">
        <w:t xml:space="preserve"> has developed a model APV, which is adjusted regularly. The VNG Model APV is often used as document of reference, but there </w:t>
      </w:r>
      <w:r w:rsidR="00B10040">
        <w:t xml:space="preserve">is </w:t>
      </w:r>
      <w:r w:rsidR="00F83D78">
        <w:t xml:space="preserve">no obligation </w:t>
      </w:r>
      <w:r w:rsidR="0004688F">
        <w:t xml:space="preserve">for individual municipalities </w:t>
      </w:r>
      <w:r w:rsidR="00F83D78">
        <w:t xml:space="preserve">to follow or implement the </w:t>
      </w:r>
      <w:r w:rsidR="006B4474">
        <w:t>model</w:t>
      </w:r>
      <w:r w:rsidR="00F83D78">
        <w:t xml:space="preserve">. </w:t>
      </w:r>
    </w:p>
    <w:p w14:paraId="037F186C" w14:textId="54EB5AB7" w:rsidR="00FB3081" w:rsidRDefault="00CF74EA" w:rsidP="00F9312C">
      <w:pPr>
        <w:spacing w:line="360" w:lineRule="auto"/>
      </w:pPr>
      <w:r>
        <w:t xml:space="preserve">In relation to possibilities for municipal enforcement officers, </w:t>
      </w:r>
      <w:r w:rsidR="00F83D78">
        <w:t xml:space="preserve">article 2.10 of the Model APV </w:t>
      </w:r>
      <w:r w:rsidR="00B10040">
        <w:t>carries a prohibition</w:t>
      </w:r>
      <w:r w:rsidR="00F83D78">
        <w:t xml:space="preserve"> to </w:t>
      </w:r>
      <w:r w:rsidR="00B10040">
        <w:t xml:space="preserve">use a road for other purposes than for which it is intended. This includes the prohibition to </w:t>
      </w:r>
      <w:r w:rsidR="00B10040" w:rsidRPr="00B10040">
        <w:t>hinder or impede the usability of the road</w:t>
      </w:r>
      <w:r w:rsidR="00B10040">
        <w:t xml:space="preserve">. The usability of the road is impeded if a free passage of a certain number of meters is not kept free on footpaths. In the </w:t>
      </w:r>
      <w:r w:rsidR="006B4474">
        <w:t>Model APV,</w:t>
      </w:r>
      <w:r w:rsidR="00B10040">
        <w:t xml:space="preserve"> further rules for terraces, displays and billboards</w:t>
      </w:r>
      <w:r w:rsidR="006B4474">
        <w:t xml:space="preserve"> are included</w:t>
      </w:r>
      <w:r w:rsidR="00B10040">
        <w:t>.</w:t>
      </w:r>
      <w:r w:rsidR="00B10040">
        <w:rPr>
          <w:rStyle w:val="FootnoteReference"/>
        </w:rPr>
        <w:footnoteReference w:id="240"/>
      </w:r>
      <w:r w:rsidR="009254C2">
        <w:t xml:space="preserve"> The two cities under scrutiny in th</w:t>
      </w:r>
      <w:r w:rsidR="00D77E35">
        <w:t>is</w:t>
      </w:r>
      <w:r w:rsidR="009254C2">
        <w:t xml:space="preserve"> report, Utrecht and Almere, have similar sections incorporated in their APV.</w:t>
      </w:r>
      <w:r w:rsidR="009254C2">
        <w:rPr>
          <w:rStyle w:val="FootnoteReference"/>
        </w:rPr>
        <w:footnoteReference w:id="241"/>
      </w:r>
    </w:p>
    <w:p w14:paraId="4B7A7BB5" w14:textId="418DCE91" w:rsidR="00FB3081" w:rsidRDefault="00FB3081" w:rsidP="00F9312C">
      <w:pPr>
        <w:spacing w:line="360" w:lineRule="auto"/>
      </w:pPr>
    </w:p>
    <w:p w14:paraId="71A557B0" w14:textId="3CFF3467" w:rsidR="00B9585D" w:rsidRPr="001B62CE" w:rsidRDefault="00F661D9" w:rsidP="00F9312C">
      <w:pPr>
        <w:spacing w:line="360" w:lineRule="auto"/>
        <w:rPr>
          <w:b/>
        </w:rPr>
      </w:pPr>
      <w:r>
        <w:rPr>
          <w:b/>
        </w:rPr>
        <w:t xml:space="preserve">(b) </w:t>
      </w:r>
      <w:r w:rsidR="00B9585D" w:rsidRPr="001B62CE">
        <w:rPr>
          <w:b/>
        </w:rPr>
        <w:t>Remedies, Sanctions and Other Outcomes</w:t>
      </w:r>
    </w:p>
    <w:p w14:paraId="41192D2B" w14:textId="6BDE612F" w:rsidR="00B9585D" w:rsidRDefault="00B9585D" w:rsidP="00F9312C">
      <w:pPr>
        <w:spacing w:line="360" w:lineRule="auto"/>
        <w:rPr>
          <w:lang w:eastAsia="nl-NL" w:bidi="en-US"/>
        </w:rPr>
      </w:pPr>
      <w:r>
        <w:t xml:space="preserve">Violations of the APVs </w:t>
      </w:r>
      <w:r w:rsidR="00233C68">
        <w:t xml:space="preserve">in both </w:t>
      </w:r>
      <w:r>
        <w:t xml:space="preserve">Utrecht and Almere carry a </w:t>
      </w:r>
      <w:r w:rsidR="00233C68">
        <w:t xml:space="preserve">maximum </w:t>
      </w:r>
      <w:r>
        <w:t xml:space="preserve">sanction of </w:t>
      </w:r>
      <w:r>
        <w:rPr>
          <w:lang w:eastAsia="nl-NL" w:bidi="en-US"/>
        </w:rPr>
        <w:t>a fine of 4,350€ or a</w:t>
      </w:r>
      <w:r w:rsidR="00233C68">
        <w:rPr>
          <w:lang w:eastAsia="nl-NL" w:bidi="en-US"/>
        </w:rPr>
        <w:t>n</w:t>
      </w:r>
      <w:r>
        <w:rPr>
          <w:lang w:eastAsia="nl-NL" w:bidi="en-US"/>
        </w:rPr>
        <w:t xml:space="preserve"> imprisonment of three months.</w:t>
      </w:r>
      <w:r>
        <w:rPr>
          <w:rStyle w:val="FootnoteReference"/>
          <w:lang w:eastAsia="nl-NL" w:bidi="en-US"/>
        </w:rPr>
        <w:footnoteReference w:id="242"/>
      </w:r>
    </w:p>
    <w:p w14:paraId="783A5A41" w14:textId="7DE6A7AE" w:rsidR="00B9585D" w:rsidRDefault="00B9585D" w:rsidP="00F9312C">
      <w:pPr>
        <w:spacing w:line="360" w:lineRule="auto"/>
      </w:pPr>
    </w:p>
    <w:p w14:paraId="20FCCFB1" w14:textId="0E9EBDE6" w:rsidR="00CD7CB6" w:rsidRPr="001B62CE" w:rsidRDefault="001F023C" w:rsidP="00F9312C">
      <w:pPr>
        <w:spacing w:line="360" w:lineRule="auto"/>
        <w:rPr>
          <w:b/>
          <w:lang w:eastAsia="nl-NL" w:bidi="en-US"/>
        </w:rPr>
      </w:pPr>
      <w:r>
        <w:rPr>
          <w:b/>
          <w:lang w:eastAsia="nl-NL" w:bidi="en-US"/>
        </w:rPr>
        <w:t>(c) Enforcement</w:t>
      </w:r>
    </w:p>
    <w:p w14:paraId="13B78F90" w14:textId="11DB7645" w:rsidR="008E2DFC" w:rsidRDefault="008E2DFC" w:rsidP="00F9312C">
      <w:pPr>
        <w:spacing w:line="360" w:lineRule="auto"/>
        <w:rPr>
          <w:lang w:eastAsia="nl-NL" w:bidi="en-US"/>
        </w:rPr>
      </w:pPr>
      <w:r>
        <w:rPr>
          <w:lang w:eastAsia="nl-NL" w:bidi="en-US"/>
        </w:rPr>
        <w:t xml:space="preserve">The enforcement of provincial road legislation is entrusted to </w:t>
      </w:r>
      <w:r>
        <w:rPr>
          <w:rStyle w:val="FootnoteReference"/>
          <w:lang w:eastAsia="nl-NL" w:bidi="en-US"/>
        </w:rPr>
        <w:footnoteReference w:id="243"/>
      </w:r>
      <w:r>
        <w:rPr>
          <w:lang w:eastAsia="nl-NL" w:bidi="en-US"/>
        </w:rPr>
        <w:t>BOAs.</w:t>
      </w:r>
      <w:r>
        <w:rPr>
          <w:rStyle w:val="FootnoteReference"/>
          <w:lang w:eastAsia="nl-NL" w:bidi="en-US"/>
        </w:rPr>
        <w:footnoteReference w:id="244"/>
      </w:r>
      <w:r>
        <w:rPr>
          <w:lang w:eastAsia="nl-NL" w:bidi="en-US"/>
        </w:rPr>
        <w:t xml:space="preserve"> They may require a perpetrator to remove an obstacle from the road or, if in case of a criminal offence, to report it to the police.</w:t>
      </w:r>
    </w:p>
    <w:p w14:paraId="3F289A0E" w14:textId="20A73D92" w:rsidR="008E2DFC" w:rsidRDefault="008E2DFC" w:rsidP="00F9312C">
      <w:pPr>
        <w:spacing w:line="360" w:lineRule="auto"/>
        <w:rPr>
          <w:lang w:eastAsia="nl-NL" w:bidi="en-US"/>
        </w:rPr>
      </w:pPr>
      <w:r>
        <w:rPr>
          <w:lang w:eastAsia="nl-NL" w:bidi="en-US"/>
        </w:rPr>
        <w:t xml:space="preserve">The police </w:t>
      </w:r>
      <w:r w:rsidR="00233C68">
        <w:rPr>
          <w:lang w:eastAsia="nl-NL" w:bidi="en-US"/>
        </w:rPr>
        <w:t>may act in cases</w:t>
      </w:r>
      <w:r>
        <w:rPr>
          <w:lang w:eastAsia="nl-NL" w:bidi="en-US"/>
        </w:rPr>
        <w:t xml:space="preserve"> where a violation of a </w:t>
      </w:r>
      <w:r w:rsidR="006B4474">
        <w:rPr>
          <w:lang w:eastAsia="nl-NL" w:bidi="en-US"/>
        </w:rPr>
        <w:t>local</w:t>
      </w:r>
      <w:r>
        <w:rPr>
          <w:lang w:eastAsia="nl-NL" w:bidi="en-US"/>
        </w:rPr>
        <w:t xml:space="preserve"> regulation is a criminal offence.    </w:t>
      </w:r>
    </w:p>
    <w:p w14:paraId="5329C3D9" w14:textId="10AB4AFD" w:rsidR="009A769D" w:rsidRPr="009462DF" w:rsidRDefault="009A769D" w:rsidP="00F9312C">
      <w:pPr>
        <w:spacing w:line="360" w:lineRule="auto"/>
        <w:rPr>
          <w:lang w:eastAsia="nl-NL" w:bidi="en-US"/>
        </w:rPr>
      </w:pPr>
    </w:p>
    <w:p w14:paraId="68EF4340" w14:textId="77777777" w:rsidR="005F0C1F" w:rsidRPr="00361219" w:rsidRDefault="00496E0A" w:rsidP="00F9312C">
      <w:pPr>
        <w:pStyle w:val="Heading2"/>
        <w:spacing w:line="360" w:lineRule="auto"/>
      </w:pPr>
      <w:r w:rsidRPr="00361219">
        <w:t>D2</w:t>
      </w:r>
      <w:r w:rsidR="00E614DE" w:rsidRPr="00361219">
        <w:t xml:space="preserve"> </w:t>
      </w:r>
      <w:r w:rsidRPr="00361219">
        <w:t>I</w:t>
      </w:r>
      <w:r w:rsidR="005F0C1F" w:rsidRPr="00361219">
        <w:t>naccessible or unsafe design of streets or street features</w:t>
      </w:r>
    </w:p>
    <w:p w14:paraId="3DF3D068" w14:textId="77777777" w:rsidR="005F0C1F" w:rsidRDefault="005F0C1F" w:rsidP="00F9312C">
      <w:pPr>
        <w:spacing w:line="360" w:lineRule="auto"/>
      </w:pPr>
    </w:p>
    <w:p w14:paraId="4D8EFDAC" w14:textId="46B7745E" w:rsidR="005F0C1F" w:rsidRPr="00F9312C" w:rsidRDefault="00496E0A" w:rsidP="00F9312C">
      <w:pPr>
        <w:pStyle w:val="Heading3"/>
        <w:spacing w:line="360" w:lineRule="auto"/>
        <w:rPr>
          <w:b/>
          <w:bCs w:val="0"/>
        </w:rPr>
      </w:pPr>
      <w:r w:rsidRPr="00F9312C">
        <w:rPr>
          <w:b/>
          <w:bCs w:val="0"/>
        </w:rPr>
        <w:t>D2</w:t>
      </w:r>
      <w:r w:rsidR="005F0C1F" w:rsidRPr="00F9312C">
        <w:rPr>
          <w:b/>
          <w:bCs w:val="0"/>
        </w:rPr>
        <w:t>.1</w:t>
      </w:r>
      <w:r w:rsidRPr="00F9312C">
        <w:rPr>
          <w:b/>
          <w:bCs w:val="0"/>
        </w:rPr>
        <w:t xml:space="preserve"> </w:t>
      </w:r>
      <w:r w:rsidR="001C24CF" w:rsidRPr="00F9312C">
        <w:rPr>
          <w:b/>
          <w:bCs w:val="0"/>
        </w:rPr>
        <w:t>Spatial Planning Act</w:t>
      </w:r>
    </w:p>
    <w:p w14:paraId="5C47173C" w14:textId="77777777" w:rsidR="001B62CE" w:rsidRDefault="001B62CE" w:rsidP="00F9312C">
      <w:pPr>
        <w:spacing w:line="360" w:lineRule="auto"/>
        <w:rPr>
          <w:b/>
          <w:bCs/>
        </w:rPr>
      </w:pPr>
    </w:p>
    <w:p w14:paraId="01A68BCD" w14:textId="67B0C479" w:rsidR="001C56C4" w:rsidRPr="001B62CE" w:rsidRDefault="001F023C" w:rsidP="00F9312C">
      <w:pPr>
        <w:spacing w:line="360" w:lineRule="auto"/>
        <w:rPr>
          <w:b/>
          <w:bCs/>
        </w:rPr>
      </w:pPr>
      <w:r>
        <w:rPr>
          <w:b/>
          <w:bCs/>
        </w:rPr>
        <w:t>(</w:t>
      </w:r>
      <w:proofErr w:type="gramStart"/>
      <w:r>
        <w:rPr>
          <w:b/>
          <w:bCs/>
        </w:rPr>
        <w:t>a</w:t>
      </w:r>
      <w:proofErr w:type="gramEnd"/>
      <w:r>
        <w:rPr>
          <w:b/>
          <w:bCs/>
        </w:rPr>
        <w:t>) Description and Examples</w:t>
      </w:r>
    </w:p>
    <w:p w14:paraId="6074EEE2" w14:textId="062E0BEB" w:rsidR="001B46EB" w:rsidRDefault="00AD5705" w:rsidP="00F9312C">
      <w:pPr>
        <w:spacing w:line="360" w:lineRule="auto"/>
      </w:pPr>
      <w:r>
        <w:t>The issue of public bodies that may want to act against inaccessible or unsafe design of streets or street features lies within the area of inter</w:t>
      </w:r>
      <w:r w:rsidR="00EA6EEF">
        <w:t>-</w:t>
      </w:r>
      <w:r w:rsidR="001B46EB" w:rsidRPr="001B46EB">
        <w:t>administrative supervision</w:t>
      </w:r>
      <w:r>
        <w:t xml:space="preserve">. Street design is the responsibility of </w:t>
      </w:r>
      <w:proofErr w:type="gramStart"/>
      <w:r>
        <w:t>an</w:t>
      </w:r>
      <w:proofErr w:type="gramEnd"/>
      <w:r>
        <w:t xml:space="preserve"> the central government, the province or, in most cases, the municipality. If either of these authorities </w:t>
      </w:r>
      <w:proofErr w:type="gramStart"/>
      <w:r>
        <w:t>fail</w:t>
      </w:r>
      <w:proofErr w:type="gramEnd"/>
      <w:r>
        <w:t xml:space="preserve"> in designing accessible streets, a supervisory authority may need to act. In the Netherlands, a system of inter</w:t>
      </w:r>
      <w:r w:rsidR="00EA6EEF">
        <w:t>-</w:t>
      </w:r>
      <w:r>
        <w:t>administrative supervision is in place. The central government is the supervisory body towards the province</w:t>
      </w:r>
      <w:r w:rsidR="00760923">
        <w:rPr>
          <w:rStyle w:val="FootnoteReference"/>
        </w:rPr>
        <w:footnoteReference w:id="245"/>
      </w:r>
      <w:r>
        <w:t xml:space="preserve"> and the province towards the municipality.</w:t>
      </w:r>
      <w:r w:rsidR="00760923">
        <w:rPr>
          <w:rStyle w:val="FootnoteReference"/>
        </w:rPr>
        <w:footnoteReference w:id="246"/>
      </w:r>
    </w:p>
    <w:p w14:paraId="55599A94" w14:textId="23FB4C79" w:rsidR="001B46EB" w:rsidRDefault="00760923" w:rsidP="00F9312C">
      <w:pPr>
        <w:spacing w:line="360" w:lineRule="auto"/>
      </w:pPr>
      <w:r>
        <w:t xml:space="preserve">The power to intervene in municipal decisions is applied by provinces in many occasions; this despite the fact that the provinces are supposed to </w:t>
      </w:r>
      <w:r w:rsidR="00EA6EEF">
        <w:t xml:space="preserve">largely </w:t>
      </w:r>
      <w:r>
        <w:t>respect the municipal autonomy.</w:t>
      </w:r>
      <w:r>
        <w:rPr>
          <w:rStyle w:val="FootnoteReference"/>
        </w:rPr>
        <w:footnoteReference w:id="247"/>
      </w:r>
      <w:r>
        <w:t xml:space="preserve"> I</w:t>
      </w:r>
      <w:r w:rsidRPr="001B46EB">
        <w:t>nter-administrative supervision is aimed at the performance of statutory co-government tasks. It is not intended to improve the quality of the task</w:t>
      </w:r>
      <w:r>
        <w:t xml:space="preserve"> and</w:t>
      </w:r>
      <w:r w:rsidRPr="001B46EB">
        <w:t xml:space="preserve"> </w:t>
      </w:r>
      <w:r>
        <w:t>i</w:t>
      </w:r>
      <w:r w:rsidRPr="001B46EB">
        <w:t>ntervention only takes place if legally established co-government task</w:t>
      </w:r>
      <w:r>
        <w:t>s are not (correctly) performed</w:t>
      </w:r>
      <w:r w:rsidRPr="001B46EB">
        <w:t xml:space="preserve"> </w:t>
      </w:r>
      <w:r>
        <w:t>o</w:t>
      </w:r>
      <w:r w:rsidRPr="001B46EB">
        <w:t>r if decisions conflict with public interest or law.</w:t>
      </w:r>
      <w:r>
        <w:t xml:space="preserve"> The process of intervention consists of four steps: collecting i</w:t>
      </w:r>
      <w:r w:rsidRPr="00A74968">
        <w:t>nformation</w:t>
      </w:r>
      <w:r>
        <w:t>, assess</w:t>
      </w:r>
      <w:r w:rsidRPr="00A74968">
        <w:t xml:space="preserve">ment, intervening where necessary and </w:t>
      </w:r>
      <w:r>
        <w:t>application of</w:t>
      </w:r>
      <w:r w:rsidRPr="00A74968">
        <w:t xml:space="preserve"> measures.</w:t>
      </w:r>
    </w:p>
    <w:p w14:paraId="5E9D6C11" w14:textId="77777777" w:rsidR="00760923" w:rsidRDefault="00760923" w:rsidP="00F9312C">
      <w:pPr>
        <w:spacing w:line="360" w:lineRule="auto"/>
      </w:pPr>
    </w:p>
    <w:p w14:paraId="041EDCD7" w14:textId="2E2AD46F" w:rsidR="00702BF6" w:rsidRDefault="00A74968" w:rsidP="00F9312C">
      <w:pPr>
        <w:spacing w:line="360" w:lineRule="auto"/>
      </w:pPr>
      <w:r>
        <w:t xml:space="preserve">One of the areas where </w:t>
      </w:r>
      <w:r w:rsidR="001C24CF">
        <w:t>i</w:t>
      </w:r>
      <w:r w:rsidR="00760923">
        <w:t>nter</w:t>
      </w:r>
      <w:r w:rsidR="00EA6EEF">
        <w:t>-</w:t>
      </w:r>
      <w:r w:rsidR="001C24CF" w:rsidRPr="001B46EB">
        <w:t>administrative</w:t>
      </w:r>
      <w:r w:rsidR="001C24CF">
        <w:t xml:space="preserve"> supervision</w:t>
      </w:r>
      <w:r w:rsidR="001C24CF" w:rsidRPr="001B46EB">
        <w:t xml:space="preserve"> </w:t>
      </w:r>
      <w:r>
        <w:t xml:space="preserve">takes place is spatial planning. </w:t>
      </w:r>
      <w:r w:rsidR="00702BF6">
        <w:t xml:space="preserve">In the event that </w:t>
      </w:r>
      <w:r w:rsidR="00760923">
        <w:t xml:space="preserve">e.g. </w:t>
      </w:r>
      <w:r w:rsidR="00702BF6">
        <w:t>a municipality adopts a certain measure in a zoning plan that i</w:t>
      </w:r>
      <w:r w:rsidR="00760923">
        <w:t>s not in line with the provincial structural</w:t>
      </w:r>
      <w:r w:rsidR="00702BF6">
        <w:t xml:space="preserve"> vision</w:t>
      </w:r>
      <w:r w:rsidR="00EA6EEF">
        <w:t>,</w:t>
      </w:r>
      <w:r w:rsidR="00702BF6">
        <w:t xml:space="preserve"> or</w:t>
      </w:r>
      <w:r w:rsidR="00EA6EEF">
        <w:t xml:space="preserve"> that</w:t>
      </w:r>
      <w:r w:rsidR="00702BF6">
        <w:t xml:space="preserve"> is against the law, the Spatial </w:t>
      </w:r>
      <w:r w:rsidR="00760923">
        <w:t>Planning Act gives the province</w:t>
      </w:r>
      <w:r w:rsidR="00702BF6">
        <w:t xml:space="preserve"> the power to intervene.</w:t>
      </w:r>
      <w:r w:rsidR="001C24CF">
        <w:rPr>
          <w:rStyle w:val="FootnoteReference"/>
        </w:rPr>
        <w:footnoteReference w:id="248"/>
      </w:r>
      <w:r w:rsidR="001C24CF">
        <w:t xml:space="preserve"> The province may issue an instruction to the municipality, with the effect that the contested section is no longer part of the zoning plan.</w:t>
      </w:r>
      <w:r w:rsidR="008228A2">
        <w:t xml:space="preserve"> The same possibilities exist for the government towards the province.</w:t>
      </w:r>
      <w:r w:rsidR="008228A2">
        <w:rPr>
          <w:rStyle w:val="FootnoteReference"/>
        </w:rPr>
        <w:footnoteReference w:id="249"/>
      </w:r>
    </w:p>
    <w:p w14:paraId="2277EE97" w14:textId="2F56B274" w:rsidR="00702BF6" w:rsidRDefault="00702BF6" w:rsidP="00F9312C">
      <w:pPr>
        <w:spacing w:line="360" w:lineRule="auto"/>
      </w:pPr>
    </w:p>
    <w:p w14:paraId="0D85A9BE" w14:textId="14AB5457" w:rsidR="00A74968" w:rsidRPr="0051785D" w:rsidRDefault="00F661D9" w:rsidP="00F9312C">
      <w:pPr>
        <w:spacing w:line="360" w:lineRule="auto"/>
        <w:rPr>
          <w:b/>
        </w:rPr>
      </w:pPr>
      <w:r>
        <w:rPr>
          <w:b/>
        </w:rPr>
        <w:t xml:space="preserve">(b) </w:t>
      </w:r>
      <w:r w:rsidR="008228A2" w:rsidRPr="0051785D">
        <w:rPr>
          <w:b/>
        </w:rPr>
        <w:t>Remedies, sanctions and other outcomes</w:t>
      </w:r>
    </w:p>
    <w:p w14:paraId="726CD744" w14:textId="7593C63C" w:rsidR="00A74968" w:rsidRDefault="00A74968" w:rsidP="00F9312C">
      <w:pPr>
        <w:spacing w:line="360" w:lineRule="auto"/>
      </w:pPr>
      <w:r>
        <w:t xml:space="preserve">The </w:t>
      </w:r>
      <w:r w:rsidR="001D5AAF">
        <w:t>supervisor</w:t>
      </w:r>
      <w:r w:rsidR="0051785D">
        <w:t>y bodies</w:t>
      </w:r>
      <w:r w:rsidR="008228A2">
        <w:t xml:space="preserve"> (government and province)</w:t>
      </w:r>
      <w:r w:rsidR="0051785D">
        <w:t xml:space="preserve"> have</w:t>
      </w:r>
      <w:r>
        <w:t xml:space="preserve"> </w:t>
      </w:r>
      <w:r w:rsidR="008228A2">
        <w:t>two</w:t>
      </w:r>
      <w:r>
        <w:t xml:space="preserve"> generic instrume</w:t>
      </w:r>
      <w:r w:rsidR="008228A2">
        <w:t>nts with which it can intervene: nomination for suspension or</w:t>
      </w:r>
      <w:r>
        <w:t xml:space="preserve"> annulment of decisions</w:t>
      </w:r>
      <w:r w:rsidR="008228A2">
        <w:t>.</w:t>
      </w:r>
      <w:r w:rsidR="005F2F53">
        <w:rPr>
          <w:rStyle w:val="FootnoteReference"/>
        </w:rPr>
        <w:footnoteReference w:id="250"/>
      </w:r>
      <w:r w:rsidR="008228A2">
        <w:t xml:space="preserve"> </w:t>
      </w:r>
      <w:r w:rsidR="005F2F53">
        <w:t>T</w:t>
      </w:r>
      <w:r>
        <w:t xml:space="preserve">he </w:t>
      </w:r>
      <w:r w:rsidR="001D5AAF">
        <w:t xml:space="preserve">government </w:t>
      </w:r>
      <w:r>
        <w:t xml:space="preserve">can propose a decision of the </w:t>
      </w:r>
      <w:r w:rsidR="005F2F53">
        <w:t xml:space="preserve">province for suspension </w:t>
      </w:r>
      <w:r>
        <w:t>to the Crown</w:t>
      </w:r>
      <w:r w:rsidR="005F2F53">
        <w:t>, the highest authority in administrative matters. In other situations it can annul the m</w:t>
      </w:r>
      <w:r w:rsidR="00DE68F5">
        <w:t xml:space="preserve">easure in the zoning plan. The </w:t>
      </w:r>
      <w:r w:rsidR="005F2F53">
        <w:t>reason for intervention may be that</w:t>
      </w:r>
      <w:r>
        <w:t xml:space="preserve"> the </w:t>
      </w:r>
      <w:r w:rsidR="005F2F53">
        <w:t>province</w:t>
      </w:r>
      <w:r>
        <w:t xml:space="preserve"> takes a decision that is contrary to law or the public intere</w:t>
      </w:r>
      <w:r w:rsidR="00DE68F5">
        <w:t xml:space="preserve">st. The Crown can suspend </w:t>
      </w:r>
      <w:r>
        <w:t>or annul this decision.</w:t>
      </w:r>
      <w:r w:rsidR="00DE68F5">
        <w:t xml:space="preserve"> The same procedure is valid for provinces towards municipalities. </w:t>
      </w:r>
    </w:p>
    <w:p w14:paraId="10E5A0F1" w14:textId="2F31F8D6" w:rsidR="00A74968" w:rsidRDefault="00A74968" w:rsidP="00F9312C">
      <w:pPr>
        <w:spacing w:line="360" w:lineRule="auto"/>
      </w:pPr>
      <w:r>
        <w:t>Substitution in case of neglect of tasks: if a municipality neglects a co-government task, the province can take over that task</w:t>
      </w:r>
      <w:r w:rsidR="001D5AAF">
        <w:t xml:space="preserve"> on the expenses of the municipality</w:t>
      </w:r>
      <w:r>
        <w:t>.</w:t>
      </w:r>
    </w:p>
    <w:p w14:paraId="46565E12" w14:textId="77777777" w:rsidR="00EE37DF" w:rsidRDefault="00EE37DF" w:rsidP="00F9312C">
      <w:pPr>
        <w:spacing w:line="360" w:lineRule="auto"/>
      </w:pPr>
    </w:p>
    <w:p w14:paraId="7A63A57D" w14:textId="6599A6B3" w:rsidR="005F0C1F" w:rsidRPr="00361219" w:rsidRDefault="00496E0A" w:rsidP="00F9312C">
      <w:pPr>
        <w:pStyle w:val="Heading2"/>
        <w:spacing w:line="360" w:lineRule="auto"/>
      </w:pPr>
      <w:r w:rsidRPr="00361219">
        <w:t>D</w:t>
      </w:r>
      <w:r w:rsidR="005F0C1F" w:rsidRPr="00361219">
        <w:t>3</w:t>
      </w:r>
      <w:r w:rsidR="00E614DE" w:rsidRPr="00361219">
        <w:t xml:space="preserve"> </w:t>
      </w:r>
      <w:r w:rsidR="00E3152B" w:rsidRPr="00361219">
        <w:t xml:space="preserve">Obstructing </w:t>
      </w:r>
      <w:r w:rsidR="005F0C1F" w:rsidRPr="00361219">
        <w:t xml:space="preserve">roads or pavements </w:t>
      </w:r>
    </w:p>
    <w:p w14:paraId="416BBC3E" w14:textId="77777777" w:rsidR="00F9312C" w:rsidRDefault="00F9312C" w:rsidP="00F9312C">
      <w:pPr>
        <w:spacing w:line="360" w:lineRule="auto"/>
      </w:pPr>
    </w:p>
    <w:p w14:paraId="236FDF80" w14:textId="3793F005" w:rsidR="00D77E35" w:rsidRDefault="00D77E35" w:rsidP="00F9312C">
      <w:pPr>
        <w:spacing w:line="360" w:lineRule="auto"/>
      </w:pPr>
      <w:r>
        <w:t>See chapter D1.</w:t>
      </w:r>
    </w:p>
    <w:p w14:paraId="7045E573" w14:textId="77777777" w:rsidR="005F0C1F" w:rsidRDefault="005F0C1F" w:rsidP="00F9312C">
      <w:pPr>
        <w:spacing w:line="360" w:lineRule="auto"/>
      </w:pPr>
    </w:p>
    <w:p w14:paraId="44805B4C" w14:textId="77777777" w:rsidR="005F0C1F" w:rsidRPr="00361219" w:rsidRDefault="00496E0A" w:rsidP="00F9312C">
      <w:pPr>
        <w:pStyle w:val="Heading2"/>
        <w:spacing w:line="360" w:lineRule="auto"/>
      </w:pPr>
      <w:r w:rsidRPr="00361219">
        <w:t>D</w:t>
      </w:r>
      <w:r w:rsidR="005F0C1F" w:rsidRPr="00361219">
        <w:t>4</w:t>
      </w:r>
      <w:r w:rsidR="00E614DE" w:rsidRPr="00361219">
        <w:t xml:space="preserve"> </w:t>
      </w:r>
      <w:r w:rsidRPr="00361219">
        <w:t>D</w:t>
      </w:r>
      <w:r w:rsidR="005F0C1F" w:rsidRPr="00361219">
        <w:t>riving, cycling and other travelling on roads which might endanger pedestrians</w:t>
      </w:r>
    </w:p>
    <w:p w14:paraId="0B3B4974" w14:textId="5D64D62D" w:rsidR="005F0C1F" w:rsidRPr="00172A18" w:rsidRDefault="00172A18" w:rsidP="00F9312C">
      <w:pPr>
        <w:spacing w:line="360" w:lineRule="auto"/>
        <w:rPr>
          <w:i/>
          <w:iCs/>
        </w:rPr>
      </w:pPr>
      <w:r w:rsidRPr="00172A18">
        <w:rPr>
          <w:i/>
          <w:iCs/>
        </w:rPr>
        <w:t>Introduction</w:t>
      </w:r>
    </w:p>
    <w:p w14:paraId="485230BF" w14:textId="350BB1D1" w:rsidR="004D2274" w:rsidRDefault="00172A18" w:rsidP="00F9312C">
      <w:pPr>
        <w:spacing w:line="360" w:lineRule="auto"/>
      </w:pPr>
      <w:r>
        <w:t xml:space="preserve">Attention for road safety is </w:t>
      </w:r>
      <w:r w:rsidR="004F6513">
        <w:t>generally regarded</w:t>
      </w:r>
      <w:r>
        <w:t xml:space="preserve"> as important</w:t>
      </w:r>
      <w:r w:rsidR="007A42F7">
        <w:t xml:space="preserve"> in the Netherlands</w:t>
      </w:r>
      <w:r>
        <w:t xml:space="preserve">, with the elderly as a specific group to pay attention </w:t>
      </w:r>
      <w:proofErr w:type="gramStart"/>
      <w:r>
        <w:t>to</w:t>
      </w:r>
      <w:proofErr w:type="gramEnd"/>
      <w:r>
        <w:t xml:space="preserve">. In 2018, 8% </w:t>
      </w:r>
      <w:r w:rsidR="00F96338">
        <w:t xml:space="preserve">or 54 </w:t>
      </w:r>
      <w:r>
        <w:t>of the road deaths in the Netherlands were pedestrians, 7%</w:t>
      </w:r>
      <w:r w:rsidR="007A42F7">
        <w:t xml:space="preserve"> were</w:t>
      </w:r>
      <w:r>
        <w:t xml:space="preserve"> riders of mobility scooters. Most road deaths</w:t>
      </w:r>
      <w:r w:rsidR="00672C8E">
        <w:t>, pedestrians and other road users</w:t>
      </w:r>
      <w:r>
        <w:t xml:space="preserve"> (21%)</w:t>
      </w:r>
      <w:r w:rsidR="007A42F7">
        <w:t>,</w:t>
      </w:r>
      <w:r>
        <w:t xml:space="preserve"> involved people who were 80 years old or older, followed by the group aged between 70 and 80 years (19%). Proportionately, measured by population size, the number of road deaths among </w:t>
      </w:r>
      <w:r w:rsidR="007A42F7">
        <w:t>older people</w:t>
      </w:r>
      <w:r>
        <w:t xml:space="preserve"> is high.</w:t>
      </w:r>
      <w:r>
        <w:rPr>
          <w:rStyle w:val="FootnoteReference"/>
        </w:rPr>
        <w:footnoteReference w:id="251"/>
      </w:r>
      <w:r w:rsidR="005D658C">
        <w:t xml:space="preserve"> </w:t>
      </w:r>
      <w:r w:rsidR="004D2274">
        <w:t xml:space="preserve">As far as non-lethal </w:t>
      </w:r>
      <w:r w:rsidR="00672C8E">
        <w:t xml:space="preserve">traffic </w:t>
      </w:r>
      <w:r w:rsidR="004D2274">
        <w:t>accidents are concerned, around 3,000 pedestrians visited an Emergency Room in a hospital in 2018, out of 123,000 ER visits in total.</w:t>
      </w:r>
      <w:r w:rsidR="004D2274">
        <w:rPr>
          <w:rStyle w:val="FootnoteReference"/>
        </w:rPr>
        <w:footnoteReference w:id="252"/>
      </w:r>
      <w:r w:rsidR="00F96338">
        <w:t xml:space="preserve"> The proportion of non-lethal accidents involving traffic </w:t>
      </w:r>
      <w:r w:rsidR="00672C8E">
        <w:t>has decreased over the last years, whereas unilateral accidents treated in an ER, a fall on the street without other traffic involved, increased to around 24,000 in 2017.</w:t>
      </w:r>
      <w:r w:rsidR="00672C8E">
        <w:rPr>
          <w:rStyle w:val="FootnoteReference"/>
        </w:rPr>
        <w:footnoteReference w:id="253"/>
      </w:r>
    </w:p>
    <w:p w14:paraId="76B5F62F" w14:textId="1ED8F8AE" w:rsidR="008B0EB2" w:rsidRDefault="008B0EB2" w:rsidP="00F9312C">
      <w:pPr>
        <w:spacing w:line="360" w:lineRule="auto"/>
      </w:pPr>
      <w:r>
        <w:t xml:space="preserve">A possible consequence of traffic and unilateral accidents, is that persons with or without disabilities </w:t>
      </w:r>
      <w:r w:rsidR="007A42F7">
        <w:t xml:space="preserve">may </w:t>
      </w:r>
      <w:r>
        <w:t>refrain from going out: fear of moving outdoors or ‘avoided mobility’.</w:t>
      </w:r>
      <w:r w:rsidR="004F6513">
        <w:rPr>
          <w:rStyle w:val="FootnoteReference"/>
        </w:rPr>
        <w:footnoteReference w:id="254"/>
      </w:r>
      <w:r>
        <w:t xml:space="preserve"> </w:t>
      </w:r>
    </w:p>
    <w:p w14:paraId="0CE43572" w14:textId="20F663D8" w:rsidR="00172A18" w:rsidRDefault="005D658C" w:rsidP="00F9312C">
      <w:pPr>
        <w:spacing w:line="360" w:lineRule="auto"/>
      </w:pPr>
      <w:r>
        <w:t xml:space="preserve">For the Dutch </w:t>
      </w:r>
      <w:r w:rsidR="004D2274">
        <w:t>government</w:t>
      </w:r>
      <w:r>
        <w:t>, prevention of road traffic accidents is a policy priority.</w:t>
      </w:r>
      <w:r w:rsidR="004D2274">
        <w:t xml:space="preserve"> In the </w:t>
      </w:r>
      <w:r w:rsidR="004D2274">
        <w:rPr>
          <w:rStyle w:val="Emphasis"/>
        </w:rPr>
        <w:t>Road Safety Strategic Plan 2030</w:t>
      </w:r>
      <w:r w:rsidR="004D2274">
        <w:t xml:space="preserve">, the ministry of Transport and Water Management aims to </w:t>
      </w:r>
      <w:r w:rsidR="004F6513">
        <w:t>promote</w:t>
      </w:r>
      <w:r w:rsidR="004D2274">
        <w:t xml:space="preserve"> vulnerable road users </w:t>
      </w:r>
      <w:r w:rsidR="004F6513">
        <w:t xml:space="preserve">to </w:t>
      </w:r>
      <w:r w:rsidR="004D2274">
        <w:t xml:space="preserve">participate in traffic as long as possible. Pedestrian safety is promoted e.g. </w:t>
      </w:r>
      <w:r w:rsidR="007A42F7">
        <w:t xml:space="preserve">by </w:t>
      </w:r>
      <w:r w:rsidR="004D2274">
        <w:t xml:space="preserve">the </w:t>
      </w:r>
      <w:r w:rsidR="007A42F7">
        <w:t>‘</w:t>
      </w:r>
      <w:r w:rsidR="004D2274">
        <w:t>Walkability Platform</w:t>
      </w:r>
      <w:r w:rsidR="007A42F7">
        <w:t>’,</w:t>
      </w:r>
      <w:r w:rsidR="004D2274">
        <w:t xml:space="preserve"> launched in 2019 (‘</w:t>
      </w:r>
      <w:r w:rsidR="004D2274" w:rsidRPr="004D2274">
        <w:rPr>
          <w:i/>
          <w:iCs/>
        </w:rPr>
        <w:t xml:space="preserve">Platform </w:t>
      </w:r>
      <w:proofErr w:type="spellStart"/>
      <w:r w:rsidR="004D2274" w:rsidRPr="004D2274">
        <w:rPr>
          <w:i/>
          <w:iCs/>
        </w:rPr>
        <w:t>Ruimte</w:t>
      </w:r>
      <w:proofErr w:type="spellEnd"/>
      <w:r w:rsidR="004D2274" w:rsidRPr="004D2274">
        <w:rPr>
          <w:i/>
          <w:iCs/>
        </w:rPr>
        <w:t xml:space="preserve"> </w:t>
      </w:r>
      <w:proofErr w:type="spellStart"/>
      <w:r w:rsidR="004D2274" w:rsidRPr="004D2274">
        <w:rPr>
          <w:i/>
          <w:iCs/>
        </w:rPr>
        <w:t>voor</w:t>
      </w:r>
      <w:proofErr w:type="spellEnd"/>
      <w:r w:rsidR="004D2274" w:rsidRPr="004D2274">
        <w:rPr>
          <w:i/>
          <w:iCs/>
        </w:rPr>
        <w:t xml:space="preserve"> </w:t>
      </w:r>
      <w:proofErr w:type="spellStart"/>
      <w:r w:rsidR="004D2274" w:rsidRPr="004D2274">
        <w:rPr>
          <w:i/>
          <w:iCs/>
        </w:rPr>
        <w:t>Lopen</w:t>
      </w:r>
      <w:proofErr w:type="spellEnd"/>
      <w:r w:rsidR="004D2274">
        <w:t>’).</w:t>
      </w:r>
    </w:p>
    <w:p w14:paraId="774EFAD1" w14:textId="18E431A2" w:rsidR="00A555E0" w:rsidRDefault="00A555E0" w:rsidP="00F9312C">
      <w:pPr>
        <w:spacing w:line="360" w:lineRule="auto"/>
      </w:pPr>
      <w:r>
        <w:t>Another measure is the introduction of 30 km/h zones in residential areas. In comparison with zones where the minimum speed of 50 km/h is the norm, lethal and non-lethal accidents are less frequent</w:t>
      </w:r>
      <w:r w:rsidR="007A42F7">
        <w:t xml:space="preserve"> in 30 km/h zones</w:t>
      </w:r>
      <w:r>
        <w:t>. However, research shows that special measures in terms of road layout and enforcement are needed to optimize the effect of the</w:t>
      </w:r>
      <w:r w:rsidR="007A42F7">
        <w:t>se</w:t>
      </w:r>
      <w:r>
        <w:t xml:space="preserve"> zones.</w:t>
      </w:r>
      <w:r w:rsidRPr="00A555E0">
        <w:rPr>
          <w:rStyle w:val="FootnoteReference"/>
        </w:rPr>
        <w:t xml:space="preserve"> </w:t>
      </w:r>
      <w:r>
        <w:rPr>
          <w:rStyle w:val="FootnoteReference"/>
        </w:rPr>
        <w:footnoteReference w:id="255"/>
      </w:r>
    </w:p>
    <w:p w14:paraId="23BDB614" w14:textId="78AD1492" w:rsidR="004F6513" w:rsidRPr="004F6513" w:rsidRDefault="00E16E0E" w:rsidP="00F9312C">
      <w:pPr>
        <w:spacing w:line="360" w:lineRule="auto"/>
      </w:pPr>
      <w:r>
        <w:t>Policy measures however, are insufficient to prevent or redress traffic situation</w:t>
      </w:r>
      <w:r w:rsidR="006A01E2">
        <w:t>s</w:t>
      </w:r>
      <w:r>
        <w:t xml:space="preserve"> that may endanger pedestrians. The Road Traffic Act and related laws and regulations are necessary for road safety.</w:t>
      </w:r>
    </w:p>
    <w:p w14:paraId="2E7C6435" w14:textId="77777777" w:rsidR="00172A18" w:rsidRPr="004F6513" w:rsidRDefault="00172A18" w:rsidP="00F9312C">
      <w:pPr>
        <w:spacing w:line="360" w:lineRule="auto"/>
        <w:ind w:firstLine="720"/>
      </w:pPr>
    </w:p>
    <w:p w14:paraId="7C7DAE9E" w14:textId="7215FB1F" w:rsidR="005F0C1F" w:rsidRPr="00F9312C" w:rsidRDefault="00496E0A" w:rsidP="00F9312C">
      <w:pPr>
        <w:pStyle w:val="Heading3"/>
        <w:spacing w:line="360" w:lineRule="auto"/>
        <w:rPr>
          <w:b/>
          <w:bCs w:val="0"/>
        </w:rPr>
      </w:pPr>
      <w:r w:rsidRPr="00F9312C">
        <w:rPr>
          <w:b/>
          <w:bCs w:val="0"/>
        </w:rPr>
        <w:t>D</w:t>
      </w:r>
      <w:r w:rsidR="005F0C1F" w:rsidRPr="00F9312C">
        <w:rPr>
          <w:b/>
          <w:bCs w:val="0"/>
        </w:rPr>
        <w:t>4.1</w:t>
      </w:r>
      <w:r w:rsidRPr="00F9312C">
        <w:rPr>
          <w:b/>
          <w:bCs w:val="0"/>
        </w:rPr>
        <w:t xml:space="preserve"> </w:t>
      </w:r>
      <w:proofErr w:type="spellStart"/>
      <w:r w:rsidR="003C042B" w:rsidRPr="00F9312C">
        <w:rPr>
          <w:b/>
          <w:bCs w:val="0"/>
        </w:rPr>
        <w:t>Wegenverkeerswet</w:t>
      </w:r>
      <w:proofErr w:type="spellEnd"/>
      <w:r w:rsidR="003C042B" w:rsidRPr="00F9312C">
        <w:rPr>
          <w:b/>
          <w:bCs w:val="0"/>
        </w:rPr>
        <w:t xml:space="preserve"> </w:t>
      </w:r>
    </w:p>
    <w:p w14:paraId="716A843A" w14:textId="77777777" w:rsidR="00172A18" w:rsidRDefault="00172A18" w:rsidP="00F9312C">
      <w:pPr>
        <w:spacing w:line="360" w:lineRule="auto"/>
      </w:pPr>
    </w:p>
    <w:p w14:paraId="57D6EBAE" w14:textId="1C12A32E" w:rsidR="001D44C4" w:rsidRDefault="001D44C4" w:rsidP="00F9312C">
      <w:pPr>
        <w:spacing w:line="360" w:lineRule="auto"/>
      </w:pPr>
      <w:r>
        <w:t xml:space="preserve">The </w:t>
      </w:r>
      <w:proofErr w:type="spellStart"/>
      <w:r w:rsidR="00F661D9" w:rsidRPr="00F661D9">
        <w:t>Wegenverkeerswet</w:t>
      </w:r>
      <w:proofErr w:type="spellEnd"/>
      <w:r w:rsidR="00F661D9">
        <w:t xml:space="preserve"> (‘</w:t>
      </w:r>
      <w:r w:rsidRPr="00F661D9">
        <w:rPr>
          <w:i/>
          <w:iCs/>
        </w:rPr>
        <w:t>Road Traffic Act</w:t>
      </w:r>
      <w:r w:rsidR="00F661D9">
        <w:t>’</w:t>
      </w:r>
      <w:r>
        <w:t xml:space="preserve">) is the law that holds the rules for road users. </w:t>
      </w:r>
      <w:r w:rsidR="00172A18">
        <w:t xml:space="preserve">See chapter C3.2 for a description. </w:t>
      </w:r>
    </w:p>
    <w:p w14:paraId="5E869FE8" w14:textId="77777777" w:rsidR="00D77E35" w:rsidRDefault="00D77E35" w:rsidP="00F9312C">
      <w:pPr>
        <w:spacing w:line="360" w:lineRule="auto"/>
      </w:pPr>
    </w:p>
    <w:p w14:paraId="0855131D" w14:textId="77777777" w:rsidR="005F0C1F" w:rsidRPr="00361219" w:rsidRDefault="00496E0A" w:rsidP="00F9312C">
      <w:pPr>
        <w:pStyle w:val="Heading2"/>
        <w:spacing w:line="360" w:lineRule="auto"/>
      </w:pPr>
      <w:r w:rsidRPr="00361219">
        <w:t>D</w:t>
      </w:r>
      <w:r w:rsidR="005F0C1F" w:rsidRPr="00361219">
        <w:t>5</w:t>
      </w:r>
      <w:r w:rsidR="00E614DE" w:rsidRPr="00361219">
        <w:t xml:space="preserve"> </w:t>
      </w:r>
      <w:r w:rsidRPr="00361219">
        <w:t>C</w:t>
      </w:r>
      <w:r w:rsidR="005F0C1F" w:rsidRPr="00361219">
        <w:t>ycling, scootering and other travelling on pavements which might endanger pedestrians</w:t>
      </w:r>
    </w:p>
    <w:p w14:paraId="42CB00DF" w14:textId="77777777" w:rsidR="005F0C1F" w:rsidRDefault="005F0C1F" w:rsidP="00F9312C">
      <w:pPr>
        <w:spacing w:line="360" w:lineRule="auto"/>
      </w:pPr>
    </w:p>
    <w:p w14:paraId="00ED53D7" w14:textId="5122A71A" w:rsidR="005F0C1F" w:rsidRPr="00F9312C" w:rsidRDefault="00496E0A" w:rsidP="00F9312C">
      <w:pPr>
        <w:pStyle w:val="Heading3"/>
        <w:spacing w:line="360" w:lineRule="auto"/>
        <w:rPr>
          <w:b/>
          <w:bCs w:val="0"/>
        </w:rPr>
      </w:pPr>
      <w:r w:rsidRPr="00F9312C">
        <w:rPr>
          <w:b/>
          <w:bCs w:val="0"/>
        </w:rPr>
        <w:t>D</w:t>
      </w:r>
      <w:r w:rsidR="005F0C1F" w:rsidRPr="00F9312C">
        <w:rPr>
          <w:b/>
          <w:bCs w:val="0"/>
        </w:rPr>
        <w:t>5.1</w:t>
      </w:r>
      <w:r w:rsidRPr="00F9312C">
        <w:rPr>
          <w:b/>
          <w:bCs w:val="0"/>
        </w:rPr>
        <w:t xml:space="preserve"> </w:t>
      </w:r>
      <w:r w:rsidR="005D658C" w:rsidRPr="00F9312C">
        <w:rPr>
          <w:b/>
          <w:bCs w:val="0"/>
        </w:rPr>
        <w:t>RVV 1990</w:t>
      </w:r>
    </w:p>
    <w:p w14:paraId="397165B7" w14:textId="14ACD6D2" w:rsidR="005D658C" w:rsidRDefault="005D658C" w:rsidP="00F9312C">
      <w:pPr>
        <w:spacing w:line="360" w:lineRule="auto"/>
        <w:ind w:firstLine="720"/>
      </w:pPr>
      <w:r>
        <w:t>See chapter C5.1</w:t>
      </w:r>
    </w:p>
    <w:p w14:paraId="43E697EA" w14:textId="7AAE5A83" w:rsidR="00496E0A" w:rsidRDefault="00496E0A" w:rsidP="00F9312C">
      <w:pPr>
        <w:spacing w:line="360" w:lineRule="auto"/>
        <w:ind w:left="1440"/>
      </w:pPr>
    </w:p>
    <w:p w14:paraId="005EB8A0" w14:textId="77777777" w:rsidR="005F0C1F" w:rsidRDefault="005F0C1F" w:rsidP="00F9312C">
      <w:pPr>
        <w:spacing w:line="360" w:lineRule="auto"/>
      </w:pPr>
    </w:p>
    <w:p w14:paraId="51799862" w14:textId="77777777" w:rsidR="005F0C1F" w:rsidRPr="00361219" w:rsidRDefault="00496E0A" w:rsidP="00F9312C">
      <w:pPr>
        <w:pStyle w:val="Heading2"/>
        <w:spacing w:line="360" w:lineRule="auto"/>
      </w:pPr>
      <w:r w:rsidRPr="00361219">
        <w:t>D</w:t>
      </w:r>
      <w:r w:rsidR="005F0C1F" w:rsidRPr="00361219">
        <w:t xml:space="preserve">6 </w:t>
      </w:r>
      <w:r w:rsidRPr="00361219">
        <w:t xml:space="preserve">Other </w:t>
      </w:r>
      <w:r w:rsidR="005F0C1F" w:rsidRPr="00361219">
        <w:t>issues relating to the design, management or maintenance of streets</w:t>
      </w:r>
    </w:p>
    <w:p w14:paraId="40D7B680" w14:textId="77777777" w:rsidR="00496E0A" w:rsidRDefault="00496E0A" w:rsidP="00F9312C">
      <w:pPr>
        <w:spacing w:line="360" w:lineRule="auto"/>
        <w:ind w:firstLine="720"/>
      </w:pPr>
    </w:p>
    <w:p w14:paraId="5D4E580B" w14:textId="7DF80117" w:rsidR="00213C3B" w:rsidRPr="00F9312C" w:rsidRDefault="00496E0A" w:rsidP="00F9312C">
      <w:pPr>
        <w:pStyle w:val="Heading3"/>
        <w:spacing w:line="360" w:lineRule="auto"/>
        <w:rPr>
          <w:b/>
          <w:bCs w:val="0"/>
          <w:lang w:val="nl-NL"/>
        </w:rPr>
      </w:pPr>
      <w:r w:rsidRPr="00F9312C">
        <w:rPr>
          <w:b/>
          <w:bCs w:val="0"/>
          <w:lang w:val="nl-NL"/>
        </w:rPr>
        <w:t>D</w:t>
      </w:r>
      <w:r w:rsidR="005F0C1F" w:rsidRPr="00F9312C">
        <w:rPr>
          <w:b/>
          <w:bCs w:val="0"/>
          <w:lang w:val="nl-NL"/>
        </w:rPr>
        <w:t>6.1</w:t>
      </w:r>
      <w:r w:rsidRPr="00F9312C">
        <w:rPr>
          <w:b/>
          <w:bCs w:val="0"/>
          <w:lang w:val="nl-NL"/>
        </w:rPr>
        <w:t xml:space="preserve"> </w:t>
      </w:r>
      <w:r w:rsidR="00213C3B" w:rsidRPr="00F9312C">
        <w:rPr>
          <w:b/>
          <w:bCs w:val="0"/>
          <w:lang w:val="nl-NL"/>
        </w:rPr>
        <w:t xml:space="preserve">Besluit administratieve bepalingen inzake het wegverkeer </w:t>
      </w:r>
    </w:p>
    <w:p w14:paraId="5C2FCB96" w14:textId="77777777" w:rsidR="00213C3B" w:rsidRPr="00E9059A" w:rsidRDefault="00213C3B" w:rsidP="00F9312C">
      <w:pPr>
        <w:spacing w:line="360" w:lineRule="auto"/>
        <w:ind w:firstLine="720"/>
        <w:rPr>
          <w:lang w:val="nl-NL"/>
        </w:rPr>
      </w:pPr>
    </w:p>
    <w:p w14:paraId="2D327790" w14:textId="2733B9A1" w:rsidR="00496E0A" w:rsidRPr="001B62CE" w:rsidRDefault="001F023C" w:rsidP="00F9312C">
      <w:pPr>
        <w:spacing w:line="360" w:lineRule="auto"/>
        <w:rPr>
          <w:b/>
          <w:bCs/>
        </w:rPr>
      </w:pPr>
      <w:r>
        <w:rPr>
          <w:b/>
          <w:bCs/>
        </w:rPr>
        <w:t>(</w:t>
      </w:r>
      <w:proofErr w:type="gramStart"/>
      <w:r>
        <w:rPr>
          <w:b/>
          <w:bCs/>
        </w:rPr>
        <w:t>a</w:t>
      </w:r>
      <w:proofErr w:type="gramEnd"/>
      <w:r>
        <w:rPr>
          <w:b/>
          <w:bCs/>
        </w:rPr>
        <w:t>) Description and Examples</w:t>
      </w:r>
    </w:p>
    <w:p w14:paraId="56965D47" w14:textId="5A414E47" w:rsidR="00172A18" w:rsidRDefault="00172A18" w:rsidP="00F9312C">
      <w:pPr>
        <w:spacing w:line="360" w:lineRule="auto"/>
      </w:pPr>
      <w:r>
        <w:t>As a legal tool for road managers</w:t>
      </w:r>
      <w:r w:rsidR="003C042B">
        <w:t xml:space="preserve"> is</w:t>
      </w:r>
      <w:r>
        <w:t xml:space="preserve"> the</w:t>
      </w:r>
      <w:r w:rsidR="003C042B">
        <w:t xml:space="preserve"> </w:t>
      </w:r>
      <w:proofErr w:type="spellStart"/>
      <w:r w:rsidR="003C042B" w:rsidRPr="003C042B">
        <w:t>Besluit</w:t>
      </w:r>
      <w:proofErr w:type="spellEnd"/>
      <w:r w:rsidR="003C042B" w:rsidRPr="003C042B">
        <w:t xml:space="preserve"> </w:t>
      </w:r>
      <w:proofErr w:type="spellStart"/>
      <w:r w:rsidR="003C042B" w:rsidRPr="003C042B">
        <w:t>administratieve</w:t>
      </w:r>
      <w:proofErr w:type="spellEnd"/>
      <w:r w:rsidR="003C042B" w:rsidRPr="003C042B">
        <w:t xml:space="preserve"> </w:t>
      </w:r>
      <w:proofErr w:type="spellStart"/>
      <w:r w:rsidR="003C042B" w:rsidRPr="003C042B">
        <w:t>bepalingen</w:t>
      </w:r>
      <w:proofErr w:type="spellEnd"/>
      <w:r w:rsidR="003C042B" w:rsidRPr="003C042B">
        <w:t xml:space="preserve"> </w:t>
      </w:r>
      <w:proofErr w:type="spellStart"/>
      <w:r w:rsidR="003C042B" w:rsidRPr="003C042B">
        <w:t>inzake</w:t>
      </w:r>
      <w:proofErr w:type="spellEnd"/>
      <w:r w:rsidR="003C042B" w:rsidRPr="003C042B">
        <w:t xml:space="preserve"> het </w:t>
      </w:r>
      <w:proofErr w:type="spellStart"/>
      <w:r w:rsidR="003C042B" w:rsidRPr="003C042B">
        <w:t>wegverkeer</w:t>
      </w:r>
      <w:proofErr w:type="spellEnd"/>
      <w:r w:rsidR="003C042B">
        <w:t xml:space="preserve"> (BABW)</w:t>
      </w:r>
      <w:r>
        <w:t xml:space="preserve"> </w:t>
      </w:r>
      <w:r w:rsidR="003C042B">
        <w:t>(‘</w:t>
      </w:r>
      <w:r w:rsidRPr="005D658C">
        <w:rPr>
          <w:i/>
          <w:iCs/>
        </w:rPr>
        <w:t>Ordinance</w:t>
      </w:r>
      <w:r w:rsidR="005D658C">
        <w:t xml:space="preserve"> </w:t>
      </w:r>
      <w:r w:rsidR="005D658C" w:rsidRPr="00213C3B">
        <w:rPr>
          <w:i/>
          <w:iCs/>
        </w:rPr>
        <w:t>Administrative Provisions on Road Traffic</w:t>
      </w:r>
      <w:r w:rsidR="003C042B">
        <w:rPr>
          <w:i/>
          <w:iCs/>
        </w:rPr>
        <w:t>’)</w:t>
      </w:r>
      <w:r w:rsidR="003C042B">
        <w:t>. The BABW is</w:t>
      </w:r>
      <w:r>
        <w:t xml:space="preserve"> a set of rules addressing the placement of </w:t>
      </w:r>
      <w:r w:rsidR="00213C3B">
        <w:t xml:space="preserve">traffic signs: </w:t>
      </w:r>
      <w:r>
        <w:t>road signs, traffic lights</w:t>
      </w:r>
      <w:r w:rsidR="00213C3B">
        <w:t>, pedestrian crossings</w:t>
      </w:r>
      <w:r>
        <w:t xml:space="preserve"> etc</w:t>
      </w:r>
      <w:r w:rsidR="00213C3B">
        <w:t>.,</w:t>
      </w:r>
      <w:r>
        <w:t xml:space="preserve"> and </w:t>
      </w:r>
      <w:r w:rsidR="00213C3B">
        <w:t xml:space="preserve">other traffic measures such as </w:t>
      </w:r>
      <w:r>
        <w:t>the positioning of traffic regulators.</w:t>
      </w:r>
      <w:r w:rsidR="00213C3B">
        <w:rPr>
          <w:rStyle w:val="FootnoteReference"/>
        </w:rPr>
        <w:footnoteReference w:id="256"/>
      </w:r>
    </w:p>
    <w:p w14:paraId="6A6D4959" w14:textId="77777777" w:rsidR="007A42F7" w:rsidRDefault="007A42F7" w:rsidP="00F9312C">
      <w:pPr>
        <w:spacing w:line="360" w:lineRule="auto"/>
      </w:pPr>
    </w:p>
    <w:p w14:paraId="04218D35" w14:textId="02F537E8" w:rsidR="00496E0A" w:rsidRPr="001B62CE" w:rsidRDefault="001F023C" w:rsidP="00F9312C">
      <w:pPr>
        <w:spacing w:line="360" w:lineRule="auto"/>
        <w:rPr>
          <w:b/>
          <w:bCs/>
        </w:rPr>
      </w:pPr>
      <w:r>
        <w:rPr>
          <w:b/>
          <w:bCs/>
        </w:rPr>
        <w:t xml:space="preserve">(b) </w:t>
      </w:r>
      <w:r w:rsidR="00496E0A" w:rsidRPr="001B62CE">
        <w:rPr>
          <w:b/>
          <w:bCs/>
        </w:rPr>
        <w:t>Remedies, Sanctions and Other Outcomes</w:t>
      </w:r>
    </w:p>
    <w:p w14:paraId="72283466" w14:textId="7DA3D2D7" w:rsidR="00213C3B" w:rsidRDefault="00213C3B" w:rsidP="00F9312C">
      <w:pPr>
        <w:spacing w:line="360" w:lineRule="auto"/>
      </w:pPr>
      <w:r>
        <w:t>A violation of certain sections of the Ordinance is defined as a criminal offence. Specifically, it is a punishable offence to remove traffic signs</w:t>
      </w:r>
      <w:r w:rsidR="00690318">
        <w:t xml:space="preserve"> and to put up road signs or objects that may</w:t>
      </w:r>
      <w:r w:rsidR="00390220">
        <w:t xml:space="preserve"> </w:t>
      </w:r>
      <w:r w:rsidR="00690318">
        <w:t>confuse road users.</w:t>
      </w:r>
      <w:r w:rsidR="00690318">
        <w:rPr>
          <w:rStyle w:val="FootnoteReference"/>
        </w:rPr>
        <w:footnoteReference w:id="257"/>
      </w:r>
    </w:p>
    <w:p w14:paraId="10DC7772" w14:textId="77777777" w:rsidR="007A42F7" w:rsidRDefault="007A42F7" w:rsidP="00F9312C">
      <w:pPr>
        <w:spacing w:line="360" w:lineRule="auto"/>
      </w:pPr>
    </w:p>
    <w:p w14:paraId="1632DF15" w14:textId="2B2E2389" w:rsidR="00496E0A" w:rsidRPr="001B62CE" w:rsidRDefault="001F023C" w:rsidP="00F9312C">
      <w:pPr>
        <w:spacing w:line="360" w:lineRule="auto"/>
        <w:rPr>
          <w:b/>
          <w:bCs/>
        </w:rPr>
      </w:pPr>
      <w:r>
        <w:rPr>
          <w:b/>
          <w:bCs/>
        </w:rPr>
        <w:t>(c) Enforcement</w:t>
      </w:r>
    </w:p>
    <w:p w14:paraId="38A4DE47" w14:textId="57853337" w:rsidR="005F0C1F" w:rsidRDefault="001F023C" w:rsidP="00F9312C">
      <w:pPr>
        <w:spacing w:line="360" w:lineRule="auto"/>
      </w:pPr>
      <w:r>
        <w:t>Enforcement</w:t>
      </w:r>
      <w:r w:rsidR="00690318">
        <w:t xml:space="preserve"> of violations of the Ordinance is carried out by the police.</w:t>
      </w:r>
    </w:p>
    <w:p w14:paraId="135039F7" w14:textId="77777777" w:rsidR="005D658C" w:rsidRDefault="005D658C" w:rsidP="00F9312C">
      <w:pPr>
        <w:spacing w:line="360" w:lineRule="auto"/>
        <w:ind w:firstLine="720"/>
      </w:pPr>
    </w:p>
    <w:p w14:paraId="4B40B602" w14:textId="77777777" w:rsidR="005F05E2" w:rsidRPr="00361219" w:rsidRDefault="005F05E2" w:rsidP="00F9312C">
      <w:pPr>
        <w:pStyle w:val="Heading2"/>
        <w:spacing w:line="360" w:lineRule="auto"/>
      </w:pPr>
      <w:r w:rsidRPr="00361219">
        <w:t xml:space="preserve">D </w:t>
      </w:r>
      <w:r w:rsidR="00237704" w:rsidRPr="00361219">
        <w:t>Noteworthy project-related observations and concerns</w:t>
      </w:r>
    </w:p>
    <w:p w14:paraId="4238BC90" w14:textId="2D2D75EC" w:rsidR="00BE139A" w:rsidRDefault="000223E6" w:rsidP="00F9312C">
      <w:pPr>
        <w:spacing w:line="360" w:lineRule="auto"/>
      </w:pPr>
      <w:r>
        <w:t>With regard to the role of public bodies in preventing and redressing inaccessible public spaces, the following may be noted. Legislation relating to manage blocked pavements and other pedestrian areas exists. To</w:t>
      </w:r>
      <w:r w:rsidR="00D402D3">
        <w:t xml:space="preserve"> a</w:t>
      </w:r>
      <w:r>
        <w:t xml:space="preserve"> large extent, local, provincial and national authorities can apply </w:t>
      </w:r>
      <w:r w:rsidR="00D402D3">
        <w:t xml:space="preserve">and enforce </w:t>
      </w:r>
      <w:r>
        <w:t xml:space="preserve">existing legislation to prevent and solve inaccessibility issues. However, where street design is concerned, much depends on the planning and construction stages. Only recently, awareness about the duty to make streets accessible seems to have </w:t>
      </w:r>
      <w:r w:rsidR="00D402D3">
        <w:t>begun</w:t>
      </w:r>
      <w:r>
        <w:t xml:space="preserve">. With the ratification of CRPD in 2016 and the ensuing initiatives to introduce ‘inclusion agendas’ </w:t>
      </w:r>
      <w:r w:rsidR="00BE139A">
        <w:t>at municipal level,</w:t>
      </w:r>
      <w:r>
        <w:t xml:space="preserve"> </w:t>
      </w:r>
      <w:r w:rsidR="00BE139A">
        <w:t xml:space="preserve">attention for accessibility of public space seems to be growing. In the inter-administrative supervisory system, however, no discernible initiatives have been taken. In 2021, the Environment and Planning Bill will come into force. The new law could make a change in attention for accessibility, because this is a designated theme of national importance. However, as the </w:t>
      </w:r>
      <w:r w:rsidR="00D402D3">
        <w:t>law</w:t>
      </w:r>
      <w:r w:rsidR="00BE139A">
        <w:t xml:space="preserve"> </w:t>
      </w:r>
      <w:r w:rsidR="00D402D3">
        <w:t>and its associated regulations contain</w:t>
      </w:r>
      <w:r w:rsidR="00BE139A">
        <w:t xml:space="preserve"> </w:t>
      </w:r>
      <w:r w:rsidR="00D402D3">
        <w:t>hardly any</w:t>
      </w:r>
      <w:r w:rsidR="00BE139A" w:rsidRPr="00BE139A">
        <w:t xml:space="preserve"> legally enforceable </w:t>
      </w:r>
      <w:r w:rsidR="00D402D3">
        <w:t>provisions, it remains to be seen to what extent changes can be expected.</w:t>
      </w:r>
    </w:p>
    <w:p w14:paraId="76233B5C" w14:textId="77777777" w:rsidR="00E3152B" w:rsidRDefault="00E3152B" w:rsidP="00F9312C">
      <w:pPr>
        <w:spacing w:line="360" w:lineRule="auto"/>
      </w:pPr>
    </w:p>
    <w:p w14:paraId="40A92764" w14:textId="77777777" w:rsidR="005F0C1F" w:rsidRPr="00113BF7" w:rsidRDefault="005F0C1F" w:rsidP="00F9312C">
      <w:pPr>
        <w:pStyle w:val="Heading1"/>
        <w:spacing w:line="360" w:lineRule="auto"/>
      </w:pPr>
      <w:r>
        <w:t>E Cross-cutting i</w:t>
      </w:r>
      <w:r w:rsidRPr="00113BF7">
        <w:t>ssues</w:t>
      </w:r>
    </w:p>
    <w:p w14:paraId="3459019E" w14:textId="77777777" w:rsidR="005F0C1F" w:rsidRDefault="005F0C1F" w:rsidP="00F9312C">
      <w:pPr>
        <w:spacing w:line="360" w:lineRule="auto"/>
      </w:pPr>
    </w:p>
    <w:p w14:paraId="559FDF84" w14:textId="3DDA3AD4" w:rsidR="005F0C1F" w:rsidRPr="00322C96" w:rsidRDefault="00393759" w:rsidP="00F9312C">
      <w:pPr>
        <w:pStyle w:val="Heading2"/>
        <w:spacing w:line="360" w:lineRule="auto"/>
      </w:pPr>
      <w:r w:rsidRPr="00322C96">
        <w:t xml:space="preserve">E1 </w:t>
      </w:r>
      <w:r w:rsidR="00E3152B" w:rsidRPr="00322C96">
        <w:t xml:space="preserve">Key Topical Issues </w:t>
      </w:r>
    </w:p>
    <w:p w14:paraId="714EB1FA" w14:textId="614F9B77" w:rsidR="005F0C1F" w:rsidRDefault="005F0C1F" w:rsidP="00F9312C">
      <w:pPr>
        <w:spacing w:line="360" w:lineRule="auto"/>
      </w:pPr>
    </w:p>
    <w:p w14:paraId="11FF42D3" w14:textId="6089FF4A" w:rsidR="00393759" w:rsidRPr="00F9312C" w:rsidRDefault="00393759" w:rsidP="00F9312C">
      <w:pPr>
        <w:pStyle w:val="Heading3"/>
        <w:spacing w:line="360" w:lineRule="auto"/>
        <w:rPr>
          <w:b/>
          <w:bCs w:val="0"/>
        </w:rPr>
      </w:pPr>
      <w:r w:rsidRPr="00F9312C">
        <w:rPr>
          <w:b/>
          <w:bCs w:val="0"/>
        </w:rPr>
        <w:t>E1.1 Shared Space</w:t>
      </w:r>
    </w:p>
    <w:p w14:paraId="2E3032FB" w14:textId="70D77C99" w:rsidR="00A95318" w:rsidRDefault="00ED2119" w:rsidP="00F9312C">
      <w:pPr>
        <w:spacing w:line="360" w:lineRule="auto"/>
      </w:pPr>
      <w:r>
        <w:t xml:space="preserve">Shared Space is </w:t>
      </w:r>
      <w:r w:rsidR="00322C96">
        <w:t>a</w:t>
      </w:r>
      <w:r>
        <w:t xml:space="preserve"> topic of discussion among</w:t>
      </w:r>
      <w:r w:rsidR="00322C96">
        <w:t xml:space="preserve"> local authorities and</w:t>
      </w:r>
      <w:r>
        <w:t xml:space="preserve"> users of public space.</w:t>
      </w:r>
      <w:r w:rsidR="000E007A">
        <w:rPr>
          <w:rStyle w:val="FootnoteReference"/>
        </w:rPr>
        <w:footnoteReference w:id="258"/>
      </w:r>
      <w:r>
        <w:t xml:space="preserve"> According to the </w:t>
      </w:r>
      <w:r w:rsidRPr="00D7230A">
        <w:rPr>
          <w:i/>
          <w:iCs/>
        </w:rPr>
        <w:t xml:space="preserve">Knowledge </w:t>
      </w:r>
      <w:r w:rsidR="00387E7D" w:rsidRPr="00D7230A">
        <w:rPr>
          <w:i/>
          <w:iCs/>
        </w:rPr>
        <w:t>C</w:t>
      </w:r>
      <w:r w:rsidRPr="00D7230A">
        <w:rPr>
          <w:i/>
          <w:iCs/>
        </w:rPr>
        <w:t>entre Shared Space</w:t>
      </w:r>
      <w:r>
        <w:t xml:space="preserve">, </w:t>
      </w:r>
      <w:r w:rsidR="00D7230A">
        <w:t>shared space</w:t>
      </w:r>
      <w:r>
        <w:t xml:space="preserve"> is an innovative approach for the design and </w:t>
      </w:r>
      <w:proofErr w:type="gramStart"/>
      <w:r>
        <w:t>lay-out</w:t>
      </w:r>
      <w:proofErr w:type="gramEnd"/>
      <w:r>
        <w:t xml:space="preserve"> of public spaces that minimises the segregation between modes of road users. This is done by removing features such as kerbs, road surface markings, traffic signs, and traffic lights. By creating a greater sense of uncertainty and making it unclear who has priority, drivers will reduce their speed, in turn reducing the dominance of vehicles and improving traffic and spatial quality.</w:t>
      </w:r>
      <w:r>
        <w:rPr>
          <w:rStyle w:val="FootnoteReference"/>
        </w:rPr>
        <w:footnoteReference w:id="259"/>
      </w:r>
      <w:r w:rsidR="00F919EF">
        <w:t xml:space="preserve"> </w:t>
      </w:r>
      <w:r w:rsidR="00B0404D">
        <w:t xml:space="preserve">In an increasing number of towns and cities, the shared space concept is applied. However, </w:t>
      </w:r>
      <w:r w:rsidR="00D7230A">
        <w:t>after several incidents and complaints by citizens</w:t>
      </w:r>
      <w:proofErr w:type="gramStart"/>
      <w:r w:rsidR="00D7230A">
        <w:t xml:space="preserve">,  </w:t>
      </w:r>
      <w:r w:rsidR="00B0404D">
        <w:t>some</w:t>
      </w:r>
      <w:proofErr w:type="gramEnd"/>
      <w:r w:rsidR="00B0404D">
        <w:t xml:space="preserve"> cities</w:t>
      </w:r>
      <w:r w:rsidR="00D7230A">
        <w:t xml:space="preserve"> have started to regulate</w:t>
      </w:r>
      <w:r w:rsidR="00B0404D">
        <w:t xml:space="preserve"> shared space areas more strictly</w:t>
      </w:r>
      <w:r w:rsidR="00D7230A">
        <w:t xml:space="preserve">. </w:t>
      </w:r>
      <w:proofErr w:type="gramStart"/>
      <w:r w:rsidR="007F7623">
        <w:t xml:space="preserve">Sometimes </w:t>
      </w:r>
      <w:r w:rsidR="00627EE9">
        <w:t xml:space="preserve"> cyclists</w:t>
      </w:r>
      <w:proofErr w:type="gramEnd"/>
      <w:r w:rsidR="00627EE9">
        <w:t xml:space="preserve"> are banned between certain hours of the day</w:t>
      </w:r>
      <w:r w:rsidR="007F7623">
        <w:t>,</w:t>
      </w:r>
      <w:r w:rsidR="00B0404D">
        <w:rPr>
          <w:rStyle w:val="FootnoteReference"/>
        </w:rPr>
        <w:footnoteReference w:id="260"/>
      </w:r>
      <w:r w:rsidR="007F7623">
        <w:t xml:space="preserve"> in other towns, the areas are being abandoned at all.</w:t>
      </w:r>
      <w:r w:rsidR="00B0404D">
        <w:t xml:space="preserve"> </w:t>
      </w:r>
      <w:r>
        <w:t>For persons with certain types of disabilities, the use of shared space environments is</w:t>
      </w:r>
      <w:r w:rsidR="00A95318">
        <w:t xml:space="preserve"> </w:t>
      </w:r>
      <w:r w:rsidR="00387E7D">
        <w:t>experienced</w:t>
      </w:r>
      <w:r w:rsidR="00A95318">
        <w:t xml:space="preserve"> as</w:t>
      </w:r>
      <w:r>
        <w:t xml:space="preserve"> problematic. Persons with low vision or blindness rely on distinctive, recognizable elements in the environment for their mobility.</w:t>
      </w:r>
      <w:r w:rsidR="00A95318">
        <w:rPr>
          <w:rStyle w:val="FootnoteReference"/>
        </w:rPr>
        <w:footnoteReference w:id="261"/>
      </w:r>
      <w:r>
        <w:t xml:space="preserve"> Shared spaces that do not comply with these principles are hard to use for persons with low vision.</w:t>
      </w:r>
      <w:r w:rsidR="00A95318">
        <w:t xml:space="preserve"> As a result, they may refrain from using this particular area.</w:t>
      </w:r>
      <w:r w:rsidR="00387E7D">
        <w:rPr>
          <w:rStyle w:val="FootnoteReference"/>
        </w:rPr>
        <w:footnoteReference w:id="262"/>
      </w:r>
      <w:r w:rsidR="00A95318">
        <w:t xml:space="preserve"> Because many shared space areas are located in town centres and other areas where various road users mix, this may restrict their mobility.</w:t>
      </w:r>
      <w:r w:rsidR="007F7623">
        <w:t xml:space="preserve"> </w:t>
      </w:r>
    </w:p>
    <w:p w14:paraId="15D3DF1D" w14:textId="77777777" w:rsidR="007639C5" w:rsidRPr="000E007A" w:rsidRDefault="007639C5" w:rsidP="00F9312C">
      <w:pPr>
        <w:spacing w:line="360" w:lineRule="auto"/>
      </w:pPr>
    </w:p>
    <w:p w14:paraId="23FD4F28" w14:textId="730E5AEC" w:rsidR="00A95318" w:rsidRPr="00F9312C" w:rsidRDefault="00E9059A" w:rsidP="00F9312C">
      <w:pPr>
        <w:pStyle w:val="Heading3"/>
        <w:spacing w:line="360" w:lineRule="auto"/>
        <w:rPr>
          <w:b/>
          <w:bCs w:val="0"/>
        </w:rPr>
      </w:pPr>
      <w:r w:rsidRPr="00F9312C">
        <w:rPr>
          <w:b/>
          <w:bCs w:val="0"/>
        </w:rPr>
        <w:t>E1.2 COVID-19 issues</w:t>
      </w:r>
    </w:p>
    <w:p w14:paraId="1753D9C1" w14:textId="77777777" w:rsidR="002D0379" w:rsidRDefault="00E9059A" w:rsidP="00F9312C">
      <w:pPr>
        <w:spacing w:line="360" w:lineRule="auto"/>
      </w:pPr>
      <w:r>
        <w:t>After the outbreak of COVID-19 in March 2020, the Dutch government took a number of emergency measures to curb the spread of the virus</w:t>
      </w:r>
      <w:r w:rsidR="00B3018A">
        <w:t>.</w:t>
      </w:r>
      <w:r>
        <w:t xml:space="preserve"> </w:t>
      </w:r>
      <w:r w:rsidR="00B3018A">
        <w:t>M</w:t>
      </w:r>
      <w:r>
        <w:t>easures involved restrictions in the use of public space. In the Netherlands,</w:t>
      </w:r>
      <w:r w:rsidR="00CB5B80">
        <w:t xml:space="preserve"> individuals were allowed to go out on the street and to visit shops to buy daily necessities</w:t>
      </w:r>
      <w:r w:rsidR="00B3018A">
        <w:t xml:space="preserve"> during the peak of the pandemic</w:t>
      </w:r>
      <w:r w:rsidR="00CB5B80">
        <w:t>. T</w:t>
      </w:r>
      <w:r>
        <w:t>he standard minimum social distance between persons in public space was set at 1.5 m.</w:t>
      </w:r>
      <w:r w:rsidR="00542241">
        <w:rPr>
          <w:rStyle w:val="FootnoteReference"/>
        </w:rPr>
        <w:footnoteReference w:id="263"/>
      </w:r>
      <w:r>
        <w:t xml:space="preserve"> </w:t>
      </w:r>
      <w:proofErr w:type="gramStart"/>
      <w:r w:rsidR="00542241">
        <w:t>T</w:t>
      </w:r>
      <w:r>
        <w:t>his</w:t>
      </w:r>
      <w:proofErr w:type="gramEnd"/>
      <w:r>
        <w:t xml:space="preserve"> distance was made compulsory </w:t>
      </w:r>
      <w:r w:rsidR="00542241">
        <w:t xml:space="preserve">by several </w:t>
      </w:r>
      <w:r w:rsidR="00661D49">
        <w:t xml:space="preserve">consecutive </w:t>
      </w:r>
      <w:r w:rsidR="00542241">
        <w:t>emergency ordinances</w:t>
      </w:r>
      <w:r w:rsidR="00A15CC2">
        <w:t>.</w:t>
      </w:r>
      <w:r w:rsidR="00834C09">
        <w:t xml:space="preserve"> Based on article 7 of the Public Health Act, the Minister for Public Health orders the Regional Safety Authorities to publish Emergency Ordinances. These Authorities</w:t>
      </w:r>
      <w:r w:rsidR="002D0379">
        <w:t>, which consist of several neighbouring municipalities,</w:t>
      </w:r>
      <w:r w:rsidR="00834C09">
        <w:t xml:space="preserve"> </w:t>
      </w:r>
      <w:r w:rsidR="002D0379">
        <w:t>set up and publish these ordinances. They</w:t>
      </w:r>
      <w:r w:rsidR="00834C09">
        <w:t xml:space="preserve"> </w:t>
      </w:r>
      <w:r w:rsidR="002D0379">
        <w:t>are, in collaboration with the municipalities, responsible for implementation and enforcement.</w:t>
      </w:r>
      <w:r w:rsidR="00834C09">
        <w:t xml:space="preserve"> </w:t>
      </w:r>
    </w:p>
    <w:p w14:paraId="4C91C8B4" w14:textId="5E6AFD22" w:rsidR="00B3018A" w:rsidRDefault="00A15CC2" w:rsidP="00F9312C">
      <w:pPr>
        <w:spacing w:line="360" w:lineRule="auto"/>
      </w:pPr>
      <w:r>
        <w:t xml:space="preserve">The measures </w:t>
      </w:r>
      <w:r w:rsidR="00834C09">
        <w:t xml:space="preserve">were </w:t>
      </w:r>
      <w:r w:rsidR="002D0379">
        <w:t>often implemented</w:t>
      </w:r>
      <w:r>
        <w:t xml:space="preserve"> </w:t>
      </w:r>
      <w:r w:rsidR="00834C09">
        <w:t xml:space="preserve">by </w:t>
      </w:r>
      <w:r>
        <w:t>the establishment of one</w:t>
      </w:r>
      <w:r w:rsidR="00B3018A">
        <w:t>-</w:t>
      </w:r>
      <w:r>
        <w:t>way walking routes in tow</w:t>
      </w:r>
      <w:r w:rsidR="00B3018A">
        <w:t>n</w:t>
      </w:r>
      <w:r>
        <w:t xml:space="preserve"> centres, p</w:t>
      </w:r>
      <w:r w:rsidR="00B3018A">
        <w:t>utting up</w:t>
      </w:r>
      <w:r>
        <w:t xml:space="preserve"> </w:t>
      </w:r>
      <w:r w:rsidR="00B3018A">
        <w:t xml:space="preserve">warning </w:t>
      </w:r>
      <w:r>
        <w:t xml:space="preserve">signs with </w:t>
      </w:r>
      <w:r w:rsidR="00B3018A">
        <w:t>information</w:t>
      </w:r>
      <w:r>
        <w:t xml:space="preserve"> about keeping distance and </w:t>
      </w:r>
      <w:r w:rsidR="002D0379">
        <w:t>deploying</w:t>
      </w:r>
      <w:r>
        <w:t xml:space="preserve"> crowd management officials at busy pedestrian areas</w:t>
      </w:r>
      <w:r w:rsidR="00B3018A">
        <w:t xml:space="preserve">. The measures </w:t>
      </w:r>
      <w:r w:rsidR="00E9059A">
        <w:t>c</w:t>
      </w:r>
      <w:r w:rsidR="00542241">
        <w:t>an</w:t>
      </w:r>
      <w:r w:rsidR="00E9059A">
        <w:t xml:space="preserve"> be enforced by BOAs and police.</w:t>
      </w:r>
      <w:r>
        <w:t xml:space="preserve"> </w:t>
      </w:r>
    </w:p>
    <w:p w14:paraId="5BBCE6FD" w14:textId="25827708" w:rsidR="005F36C0" w:rsidRDefault="00CB5B80" w:rsidP="00F9312C">
      <w:pPr>
        <w:spacing w:line="360" w:lineRule="auto"/>
      </w:pPr>
      <w:r>
        <w:t xml:space="preserve">After some time, persons with disabilities and their representative organisations </w:t>
      </w:r>
      <w:r w:rsidR="00B3018A">
        <w:t>rang the alarm</w:t>
      </w:r>
      <w:r>
        <w:t xml:space="preserve"> </w:t>
      </w:r>
      <w:r w:rsidR="00B3018A">
        <w:t>about</w:t>
      </w:r>
      <w:r>
        <w:t xml:space="preserve"> the consequences of the measure</w:t>
      </w:r>
      <w:r w:rsidR="00B3018A">
        <w:t>s</w:t>
      </w:r>
      <w:r>
        <w:t>. For persons with visual impairments, keeping the required distance proved to be difficult</w:t>
      </w:r>
      <w:r w:rsidR="00B3018A">
        <w:t xml:space="preserve"> and reading warning signs is impossible</w:t>
      </w:r>
      <w:r>
        <w:t>. For persons needing personal care, such as help with pushing their wheelchair and other types of assistance, keeping th</w:t>
      </w:r>
      <w:r w:rsidR="00B3018A">
        <w:t>e 1.5 m</w:t>
      </w:r>
      <w:r>
        <w:t xml:space="preserve"> distance from their personal carer proved to be impossible. </w:t>
      </w:r>
      <w:r w:rsidR="00A15CC2">
        <w:t>Several organisations issued guidance leaflets and manuals for public and private managers of public space</w:t>
      </w:r>
      <w:r w:rsidR="00B3018A">
        <w:t>.</w:t>
      </w:r>
      <w:r w:rsidR="00B3018A">
        <w:rPr>
          <w:rStyle w:val="FootnoteReference"/>
        </w:rPr>
        <w:footnoteReference w:id="264"/>
      </w:r>
      <w:r w:rsidR="00B3018A">
        <w:t xml:space="preserve"> </w:t>
      </w:r>
      <w:r>
        <w:t>The National Association of Municipalities issued a manual for crowd control</w:t>
      </w:r>
      <w:r w:rsidR="005F36C0">
        <w:t xml:space="preserve"> during COVID-19 measures</w:t>
      </w:r>
      <w:r>
        <w:t xml:space="preserve">. The manual includes guidance for measures that </w:t>
      </w:r>
      <w:r w:rsidR="00A15CC2">
        <w:t>allow</w:t>
      </w:r>
      <w:r>
        <w:t xml:space="preserve"> </w:t>
      </w:r>
      <w:r w:rsidR="00A15CC2">
        <w:t xml:space="preserve">disabled persons </w:t>
      </w:r>
      <w:r>
        <w:t>t</w:t>
      </w:r>
      <w:r w:rsidR="00A15CC2">
        <w:t>o</w:t>
      </w:r>
      <w:r>
        <w:t xml:space="preserve"> use </w:t>
      </w:r>
      <w:r w:rsidR="00A15CC2">
        <w:t xml:space="preserve">the </w:t>
      </w:r>
      <w:r>
        <w:t>public space.</w:t>
      </w:r>
      <w:r w:rsidR="00A15CC2">
        <w:rPr>
          <w:rStyle w:val="FootnoteReference"/>
        </w:rPr>
        <w:footnoteReference w:id="265"/>
      </w:r>
    </w:p>
    <w:p w14:paraId="191D450D" w14:textId="040E9326" w:rsidR="00661D49" w:rsidRPr="00661D49" w:rsidRDefault="00661D49" w:rsidP="00F9312C">
      <w:pPr>
        <w:spacing w:line="360" w:lineRule="auto"/>
        <w:rPr>
          <w:szCs w:val="24"/>
        </w:rPr>
      </w:pPr>
      <w:r>
        <w:t>The consecutive emergency ord</w:t>
      </w:r>
      <w:r w:rsidR="00834C09">
        <w:t>ers</w:t>
      </w:r>
      <w:r>
        <w:t xml:space="preserve"> issued by the Minister for </w:t>
      </w:r>
      <w:r w:rsidRPr="00661D49">
        <w:rPr>
          <w:rFonts w:cs="Arial"/>
          <w:szCs w:val="24"/>
        </w:rPr>
        <w:t xml:space="preserve">Public Health, Welfare and Sports include some sections relating to persons with disabilities. </w:t>
      </w:r>
      <w:r>
        <w:rPr>
          <w:rFonts w:cs="Arial"/>
          <w:szCs w:val="24"/>
        </w:rPr>
        <w:t>Thus, a</w:t>
      </w:r>
      <w:r w:rsidRPr="00661D49">
        <w:rPr>
          <w:rFonts w:cs="Arial"/>
          <w:szCs w:val="24"/>
        </w:rPr>
        <w:t xml:space="preserve">n exception to the </w:t>
      </w:r>
      <w:proofErr w:type="gramStart"/>
      <w:r w:rsidRPr="00661D49">
        <w:rPr>
          <w:rFonts w:cs="Arial"/>
          <w:szCs w:val="24"/>
        </w:rPr>
        <w:t>1.5 meter</w:t>
      </w:r>
      <w:proofErr w:type="gramEnd"/>
      <w:r w:rsidRPr="00661D49">
        <w:rPr>
          <w:rFonts w:cs="Arial"/>
          <w:szCs w:val="24"/>
        </w:rPr>
        <w:t xml:space="preserve"> requirement </w:t>
      </w:r>
      <w:r>
        <w:rPr>
          <w:rFonts w:cs="Arial"/>
          <w:szCs w:val="24"/>
        </w:rPr>
        <w:t>i</w:t>
      </w:r>
      <w:r w:rsidRPr="00661D49">
        <w:rPr>
          <w:rFonts w:cs="Arial"/>
          <w:szCs w:val="24"/>
        </w:rPr>
        <w:t xml:space="preserve">s granted to persons with a disability, </w:t>
      </w:r>
      <w:r w:rsidR="007639C5">
        <w:rPr>
          <w:rFonts w:cs="Arial"/>
          <w:szCs w:val="24"/>
        </w:rPr>
        <w:t>‘</w:t>
      </w:r>
      <w:r w:rsidRPr="00661D49">
        <w:rPr>
          <w:rFonts w:cs="Arial"/>
          <w:szCs w:val="24"/>
        </w:rPr>
        <w:t>insofar as they cannot keep a distance of 1.5 meters towards their accompanying caregiver</w:t>
      </w:r>
      <w:r w:rsidR="007639C5">
        <w:rPr>
          <w:rFonts w:cs="Arial"/>
          <w:szCs w:val="24"/>
        </w:rPr>
        <w:t>’</w:t>
      </w:r>
      <w:r w:rsidRPr="00661D49">
        <w:rPr>
          <w:rFonts w:cs="Arial"/>
          <w:szCs w:val="24"/>
        </w:rPr>
        <w:t>.</w:t>
      </w:r>
      <w:r w:rsidR="00834C09">
        <w:rPr>
          <w:rFonts w:cs="Arial"/>
          <w:szCs w:val="24"/>
        </w:rPr>
        <w:t xml:space="preserve"> The exception is restricted to persons who are dependent of their carer. Independent persons with disabilities cannot invoke the exception.</w:t>
      </w:r>
    </w:p>
    <w:p w14:paraId="546C2E93" w14:textId="2B998CDF" w:rsidR="00542241" w:rsidRPr="00B3018A" w:rsidRDefault="00542241" w:rsidP="00F9312C">
      <w:pPr>
        <w:spacing w:line="360" w:lineRule="auto"/>
      </w:pPr>
    </w:p>
    <w:p w14:paraId="46CA50CD" w14:textId="52876052" w:rsidR="000E007A" w:rsidRPr="00F9312C" w:rsidRDefault="00ED2119" w:rsidP="00F9312C">
      <w:pPr>
        <w:pStyle w:val="Heading3"/>
        <w:spacing w:line="360" w:lineRule="auto"/>
        <w:rPr>
          <w:b/>
          <w:bCs w:val="0"/>
        </w:rPr>
      </w:pPr>
      <w:r w:rsidRPr="00F9312C">
        <w:rPr>
          <w:b/>
          <w:bCs w:val="0"/>
        </w:rPr>
        <w:t>E1.</w:t>
      </w:r>
      <w:r w:rsidR="00E9059A" w:rsidRPr="00F9312C">
        <w:rPr>
          <w:b/>
          <w:bCs w:val="0"/>
        </w:rPr>
        <w:t>3</w:t>
      </w:r>
      <w:r w:rsidRPr="00F9312C">
        <w:rPr>
          <w:b/>
          <w:bCs w:val="0"/>
        </w:rPr>
        <w:t xml:space="preserve"> </w:t>
      </w:r>
      <w:proofErr w:type="gramStart"/>
      <w:r w:rsidR="00D7230A" w:rsidRPr="00F9312C">
        <w:rPr>
          <w:b/>
          <w:bCs w:val="0"/>
        </w:rPr>
        <w:t>Promoting</w:t>
      </w:r>
      <w:proofErr w:type="gramEnd"/>
      <w:r w:rsidR="00D7230A" w:rsidRPr="00F9312C">
        <w:rPr>
          <w:b/>
          <w:bCs w:val="0"/>
        </w:rPr>
        <w:t xml:space="preserve"> accessibility through law</w:t>
      </w:r>
    </w:p>
    <w:p w14:paraId="4322CF9E" w14:textId="0F1F81FC" w:rsidR="00361219" w:rsidRDefault="00361219" w:rsidP="00F9312C">
      <w:pPr>
        <w:spacing w:line="360" w:lineRule="auto"/>
      </w:pPr>
      <w:r>
        <w:t xml:space="preserve">The main issue </w:t>
      </w:r>
      <w:r w:rsidR="00B568C6">
        <w:t>in</w:t>
      </w:r>
      <w:r>
        <w:t xml:space="preserve"> this report is whether existing laws, ordinances and regulations in the Netherlands are sufficient to make streets, pavements and pedestrian areas accessible for all.</w:t>
      </w:r>
    </w:p>
    <w:p w14:paraId="51E45A2B" w14:textId="527B9AFB" w:rsidR="00133E64" w:rsidRDefault="00D402D3" w:rsidP="00F9312C">
      <w:pPr>
        <w:spacing w:line="360" w:lineRule="auto"/>
      </w:pPr>
      <w:r>
        <w:t>Th</w:t>
      </w:r>
      <w:r w:rsidR="007F7623">
        <w:t>is</w:t>
      </w:r>
      <w:r>
        <w:t xml:space="preserve"> research has brought forward that accessible public spaces in the Netherlands do exist and that attention for accessibility for persons with disabilities, older people and other pedestrians with challenges in the use of public space, is growing. Existing legislation offers possibilities to address situations of inacce</w:t>
      </w:r>
      <w:r w:rsidR="008D6336">
        <w:t>ssibility. Legal pathways</w:t>
      </w:r>
      <w:r>
        <w:t xml:space="preserve"> in the area of administrative law, criminal law and civil liability law </w:t>
      </w:r>
      <w:r w:rsidR="008D6336">
        <w:t xml:space="preserve">offer opportunities </w:t>
      </w:r>
      <w:r>
        <w:t>to challenge obstructed</w:t>
      </w:r>
      <w:r w:rsidR="008D6336">
        <w:t xml:space="preserve"> or otherwise inaccessible </w:t>
      </w:r>
      <w:r>
        <w:t xml:space="preserve">streets. </w:t>
      </w:r>
    </w:p>
    <w:p w14:paraId="51298B40" w14:textId="76163E7D" w:rsidR="00133E64" w:rsidRDefault="00D402D3" w:rsidP="00F9312C">
      <w:pPr>
        <w:spacing w:line="360" w:lineRule="auto"/>
      </w:pPr>
      <w:r>
        <w:t xml:space="preserve">However, </w:t>
      </w:r>
      <w:r w:rsidR="008D6336">
        <w:t>inaccessible public space</w:t>
      </w:r>
      <w:r w:rsidR="00E85238">
        <w:t>s</w:t>
      </w:r>
      <w:r w:rsidR="008D6336">
        <w:t xml:space="preserve"> still exist. </w:t>
      </w:r>
      <w:r w:rsidR="00133E64">
        <w:t xml:space="preserve">In practice, most issues concerning accessibility seem to arise at the municipal level. </w:t>
      </w:r>
      <w:r w:rsidR="00133E64" w:rsidRPr="00133E64">
        <w:t>This</w:t>
      </w:r>
      <w:r w:rsidR="00133E64">
        <w:t xml:space="preserve"> may</w:t>
      </w:r>
      <w:r w:rsidR="00133E64" w:rsidRPr="00133E64">
        <w:t xml:space="preserve"> be explained by the fact that most pedestrians use public spaces in their own immediate environment.</w:t>
      </w:r>
      <w:r w:rsidR="00133E64">
        <w:t xml:space="preserve"> The number of pedestrian public spaces under the responsibility of provincial or the national authorities is comparatively small. That may also explain the relative</w:t>
      </w:r>
      <w:r w:rsidR="004344C4">
        <w:t>ly</w:t>
      </w:r>
      <w:r w:rsidR="00133E64">
        <w:t xml:space="preserve"> </w:t>
      </w:r>
      <w:r w:rsidR="004344C4">
        <w:t>broader</w:t>
      </w:r>
      <w:r w:rsidR="00133E64">
        <w:t xml:space="preserve"> attention to accessibility of public spaces at the municipal level and the lack of laws and regulations regarding accessibility </w:t>
      </w:r>
      <w:r w:rsidR="004344C4">
        <w:t>at provincial and national</w:t>
      </w:r>
      <w:r w:rsidR="00133E64">
        <w:t xml:space="preserve"> level</w:t>
      </w:r>
      <w:r w:rsidR="004344C4">
        <w:t xml:space="preserve">. However, provinces and the national government </w:t>
      </w:r>
      <w:r w:rsidR="00834873">
        <w:t xml:space="preserve">deliver an important contribution </w:t>
      </w:r>
      <w:r w:rsidR="004344C4">
        <w:t>to law making and planning in this area.</w:t>
      </w:r>
      <w:r w:rsidR="00E85238">
        <w:t xml:space="preserve"> National and provincial legislation and planning instruments </w:t>
      </w:r>
    </w:p>
    <w:p w14:paraId="4547C4D9" w14:textId="1FF5CC48" w:rsidR="008D6336" w:rsidRDefault="004344C4" w:rsidP="00F9312C">
      <w:pPr>
        <w:spacing w:line="360" w:lineRule="auto"/>
      </w:pPr>
      <w:r w:rsidRPr="004344C4">
        <w:t>Gaps in l</w:t>
      </w:r>
      <w:r>
        <w:t>aws,</w:t>
      </w:r>
      <w:r w:rsidRPr="004344C4">
        <w:t xml:space="preserve"> regulations</w:t>
      </w:r>
      <w:r>
        <w:t xml:space="preserve"> and other legal instruments</w:t>
      </w:r>
      <w:r w:rsidRPr="004344C4">
        <w:t xml:space="preserve"> </w:t>
      </w:r>
      <w:r>
        <w:t>regarding accessibility</w:t>
      </w:r>
      <w:r w:rsidRPr="004344C4">
        <w:t xml:space="preserve"> can be identified in a number of areas</w:t>
      </w:r>
      <w:r w:rsidR="008D6336">
        <w:t>. These include p</w:t>
      </w:r>
      <w:r w:rsidR="00D402D3">
        <w:t xml:space="preserve">lanning and design, </w:t>
      </w:r>
      <w:r w:rsidR="006202C3">
        <w:t xml:space="preserve">prevention and </w:t>
      </w:r>
      <w:r w:rsidR="00D402D3">
        <w:t>enforcement</w:t>
      </w:r>
      <w:r w:rsidR="008D6336">
        <w:t>.</w:t>
      </w:r>
    </w:p>
    <w:p w14:paraId="41196008" w14:textId="77777777" w:rsidR="00322C96" w:rsidRDefault="00322C96" w:rsidP="00F9312C">
      <w:pPr>
        <w:spacing w:line="360" w:lineRule="auto"/>
        <w:rPr>
          <w:i/>
        </w:rPr>
      </w:pPr>
      <w:r>
        <w:rPr>
          <w:i/>
        </w:rPr>
        <w:t xml:space="preserve"> </w:t>
      </w:r>
    </w:p>
    <w:p w14:paraId="2023FA47" w14:textId="1A5EC788" w:rsidR="008D6336" w:rsidRPr="006202C3" w:rsidRDefault="008D6336" w:rsidP="00F9312C">
      <w:pPr>
        <w:spacing w:line="360" w:lineRule="auto"/>
        <w:rPr>
          <w:i/>
        </w:rPr>
      </w:pPr>
      <w:r w:rsidRPr="006202C3">
        <w:rPr>
          <w:i/>
        </w:rPr>
        <w:t>Planning and design</w:t>
      </w:r>
      <w:r w:rsidR="00361219" w:rsidRPr="006202C3">
        <w:rPr>
          <w:i/>
        </w:rPr>
        <w:t xml:space="preserve"> </w:t>
      </w:r>
    </w:p>
    <w:p w14:paraId="460BFFDE" w14:textId="7C4B3C86" w:rsidR="00361219" w:rsidRDefault="00834873" w:rsidP="00F9312C">
      <w:pPr>
        <w:spacing w:line="360" w:lineRule="auto"/>
      </w:pPr>
      <w:r>
        <w:t>Presumably a</w:t>
      </w:r>
      <w:r w:rsidR="008D6336">
        <w:t>s a result of a pre-existing lack of awareness, public authorities have not paid much attention to accessibility of streets in their planning and design</w:t>
      </w:r>
      <w:r>
        <w:t xml:space="preserve"> over the past decades</w:t>
      </w:r>
      <w:r w:rsidR="008D6336">
        <w:t>. At the national level, but similarly at the provincial and municipal level, traffic safety</w:t>
      </w:r>
      <w:r w:rsidR="00367A12">
        <w:t>, prevention of congestion and, at a later stage, environmental considerations</w:t>
      </w:r>
      <w:r w:rsidR="008D6336">
        <w:t xml:space="preserve"> w</w:t>
      </w:r>
      <w:r w:rsidR="00367A12">
        <w:t>ere</w:t>
      </w:r>
      <w:r w:rsidR="008D6336">
        <w:t xml:space="preserve"> major driver</w:t>
      </w:r>
      <w:r w:rsidR="00367A12">
        <w:t>s</w:t>
      </w:r>
      <w:r w:rsidR="008D6336">
        <w:t xml:space="preserve"> for the design of streets and </w:t>
      </w:r>
      <w:r w:rsidR="00367A12">
        <w:t xml:space="preserve">public spaces. Thinking </w:t>
      </w:r>
      <w:r>
        <w:t>about</w:t>
      </w:r>
      <w:r w:rsidR="00367A12">
        <w:t xml:space="preserve"> mobility has been guided by the idea that cars and public transport were the major mobility means.</w:t>
      </w:r>
      <w:r>
        <w:t xml:space="preserve"> Only later, the conviction that cycling and walking were important means of transport became widespread. Environmental considerations as well as public annoyance of congested inner cities caused other views to take root</w:t>
      </w:r>
      <w:r w:rsidR="00E85238">
        <w:t xml:space="preserve">. </w:t>
      </w:r>
      <w:r w:rsidR="004A26B5">
        <w:t>The forthcoming Environment and Planning Bill is evidence of this slowly changing paradigm</w:t>
      </w:r>
      <w:r w:rsidR="00E85238">
        <w:t xml:space="preserve"> towards other forms of mobility</w:t>
      </w:r>
      <w:r w:rsidR="000545EE">
        <w:t xml:space="preserve">. </w:t>
      </w:r>
      <w:r w:rsidR="004A26B5">
        <w:t xml:space="preserve">Additionally, with the ratification of CRPD in 2016, the </w:t>
      </w:r>
      <w:r w:rsidR="00E85238">
        <w:t>conviction</w:t>
      </w:r>
      <w:r w:rsidR="004A26B5">
        <w:t xml:space="preserve"> that accessibility is an issue </w:t>
      </w:r>
      <w:r w:rsidR="009849DB">
        <w:t>for policy and law making</w:t>
      </w:r>
      <w:r w:rsidR="004A26B5">
        <w:t xml:space="preserve"> </w:t>
      </w:r>
      <w:r w:rsidR="00E85238">
        <w:t>has started to take root.</w:t>
      </w:r>
    </w:p>
    <w:p w14:paraId="7B7D207C" w14:textId="5A8AA169" w:rsidR="009849DB" w:rsidRDefault="009849DB" w:rsidP="00F9312C">
      <w:pPr>
        <w:spacing w:line="360" w:lineRule="auto"/>
      </w:pPr>
      <w:r>
        <w:t xml:space="preserve">However, where accessibility is concerned, the willingness in the fields of planning and design to </w:t>
      </w:r>
      <w:r w:rsidRPr="009849DB">
        <w:t>develop enforceable standards is still low.</w:t>
      </w:r>
      <w:r w:rsidR="000545EE">
        <w:t xml:space="preserve"> The policy measures developed in the national programme </w:t>
      </w:r>
      <w:proofErr w:type="spellStart"/>
      <w:r w:rsidR="000545EE" w:rsidRPr="000545EE">
        <w:rPr>
          <w:i/>
          <w:iCs/>
        </w:rPr>
        <w:t>Onbeperkt</w:t>
      </w:r>
      <w:proofErr w:type="spellEnd"/>
      <w:r w:rsidR="000545EE" w:rsidRPr="000545EE">
        <w:rPr>
          <w:i/>
          <w:iCs/>
        </w:rPr>
        <w:t xml:space="preserve"> </w:t>
      </w:r>
      <w:proofErr w:type="spellStart"/>
      <w:r w:rsidR="000545EE" w:rsidRPr="000545EE">
        <w:rPr>
          <w:i/>
          <w:iCs/>
        </w:rPr>
        <w:t>Meedoen</w:t>
      </w:r>
      <w:proofErr w:type="spellEnd"/>
      <w:r w:rsidR="000545EE" w:rsidRPr="000545EE">
        <w:rPr>
          <w:i/>
          <w:iCs/>
        </w:rPr>
        <w:t>!</w:t>
      </w:r>
      <w:r w:rsidR="000545EE">
        <w:t xml:space="preserve"> </w:t>
      </w:r>
      <w:proofErr w:type="gramStart"/>
      <w:r w:rsidR="000545EE">
        <w:t>are</w:t>
      </w:r>
      <w:proofErr w:type="gramEnd"/>
      <w:r w:rsidR="000545EE">
        <w:t xml:space="preserve"> hopeful developments, despite the fact that most of these are based on voluntary agreements with stakeholders. Legal measures</w:t>
      </w:r>
      <w:r w:rsidR="00244D3F">
        <w:t xml:space="preserve"> regarding accessibility</w:t>
      </w:r>
      <w:r w:rsidR="000545EE">
        <w:t xml:space="preserve"> in the Environment and Planning Bill are limited </w:t>
      </w:r>
      <w:r w:rsidR="00244D3F">
        <w:t xml:space="preserve">in numbers </w:t>
      </w:r>
      <w:r w:rsidR="000545EE">
        <w:t xml:space="preserve">and hardly enforceable. </w:t>
      </w:r>
      <w:r>
        <w:t xml:space="preserve">In that sense, accessibility does not have </w:t>
      </w:r>
      <w:r w:rsidR="00E85238">
        <w:t>the</w:t>
      </w:r>
      <w:r>
        <w:t xml:space="preserve"> similar level of political urgency as e.g. climate change or road safety.</w:t>
      </w:r>
    </w:p>
    <w:p w14:paraId="135F2A4A" w14:textId="77777777" w:rsidR="000E007A" w:rsidRDefault="000E007A" w:rsidP="00F9312C">
      <w:pPr>
        <w:spacing w:line="360" w:lineRule="auto"/>
      </w:pPr>
    </w:p>
    <w:p w14:paraId="628CF2E3" w14:textId="49C6FD47" w:rsidR="006202C3" w:rsidRPr="006202C3" w:rsidRDefault="006202C3" w:rsidP="00F9312C">
      <w:pPr>
        <w:spacing w:line="360" w:lineRule="auto"/>
        <w:rPr>
          <w:i/>
        </w:rPr>
      </w:pPr>
      <w:r>
        <w:rPr>
          <w:i/>
        </w:rPr>
        <w:t xml:space="preserve">Prevention and </w:t>
      </w:r>
      <w:r w:rsidR="001F023C">
        <w:rPr>
          <w:i/>
        </w:rPr>
        <w:t>Enforcement</w:t>
      </w:r>
    </w:p>
    <w:p w14:paraId="2B30BF6D" w14:textId="4B1E0814" w:rsidR="00244D3F" w:rsidRDefault="009849DB" w:rsidP="00F9312C">
      <w:pPr>
        <w:spacing w:line="360" w:lineRule="auto"/>
      </w:pPr>
      <w:r>
        <w:t xml:space="preserve">Following from the data collection in this report, </w:t>
      </w:r>
      <w:r w:rsidR="00E85238">
        <w:t>taking away</w:t>
      </w:r>
      <w:r>
        <w:t xml:space="preserve"> obstacles, hindrance or hazards in public space is a matter of action after </w:t>
      </w:r>
      <w:r w:rsidR="000545EE">
        <w:t xml:space="preserve">situations have become noticeable. As stated above, where planning and design are concerned there seems to be little awareness or willingness to take </w:t>
      </w:r>
      <w:r w:rsidR="00244D3F">
        <w:t xml:space="preserve">enforceable </w:t>
      </w:r>
      <w:r w:rsidR="000545EE">
        <w:t>accessibility</w:t>
      </w:r>
      <w:r w:rsidR="00244D3F">
        <w:t xml:space="preserve"> provisions</w:t>
      </w:r>
      <w:r w:rsidR="000545EE">
        <w:t xml:space="preserve"> into consideration. </w:t>
      </w:r>
    </w:p>
    <w:p w14:paraId="3C227B5C" w14:textId="564E2485" w:rsidR="0097685A" w:rsidRDefault="00244D3F" w:rsidP="00F9312C">
      <w:pPr>
        <w:spacing w:line="360" w:lineRule="auto"/>
      </w:pPr>
      <w:r>
        <w:t>In terms of prevention, existing legislation could be useful</w:t>
      </w:r>
      <w:r w:rsidR="00E85238">
        <w:t>.</w:t>
      </w:r>
      <w:r w:rsidR="00BC1033">
        <w:t xml:space="preserve"> </w:t>
      </w:r>
      <w:proofErr w:type="gramStart"/>
      <w:r w:rsidR="00BC1033">
        <w:t>article</w:t>
      </w:r>
      <w:proofErr w:type="gramEnd"/>
      <w:r w:rsidR="00BC1033">
        <w:t xml:space="preserve"> </w:t>
      </w:r>
      <w:r w:rsidR="00AC007B" w:rsidRPr="00FB08EF">
        <w:rPr>
          <w:szCs w:val="24"/>
        </w:rPr>
        <w:t>3:296 Civil Code</w:t>
      </w:r>
      <w:r w:rsidR="00AC007B">
        <w:t xml:space="preserve"> </w:t>
      </w:r>
      <w:r w:rsidR="006202C3">
        <w:t xml:space="preserve">offers the opportunity to use judicial intervention to prevent hazardous </w:t>
      </w:r>
      <w:r w:rsidR="00672052">
        <w:t>or inaccessible situations</w:t>
      </w:r>
      <w:r>
        <w:t>. However,</w:t>
      </w:r>
      <w:r w:rsidR="00672052">
        <w:t xml:space="preserve"> this route is hardly ever used. As stated in chapter</w:t>
      </w:r>
      <w:r w:rsidR="0097685A">
        <w:t xml:space="preserve"> C1,</w:t>
      </w:r>
      <w:r w:rsidR="00672052">
        <w:t xml:space="preserve"> there is no specific case law in this area, possibly because a civil procedure requires the costly </w:t>
      </w:r>
      <w:r w:rsidR="0097685A">
        <w:t>engagement</w:t>
      </w:r>
      <w:r w:rsidR="00672052">
        <w:t xml:space="preserve"> of an advocate. </w:t>
      </w:r>
    </w:p>
    <w:p w14:paraId="5830D792" w14:textId="6B75EEBB" w:rsidR="006202C3" w:rsidRDefault="0097685A" w:rsidP="00F9312C">
      <w:pPr>
        <w:spacing w:line="360" w:lineRule="auto"/>
      </w:pPr>
      <w:r>
        <w:t xml:space="preserve">That indicates that enforcement by public authorities is an important </w:t>
      </w:r>
      <w:r w:rsidR="00AC007B">
        <w:t xml:space="preserve">way to reach accessibility. </w:t>
      </w:r>
      <w:r w:rsidR="00244D3F">
        <w:t xml:space="preserve">Either on a report by a person who </w:t>
      </w:r>
      <w:r w:rsidR="00E85238">
        <w:t>was confronted with</w:t>
      </w:r>
      <w:r w:rsidR="00244D3F">
        <w:t xml:space="preserve"> an inaccessible situation</w:t>
      </w:r>
      <w:r w:rsidR="00E85238">
        <w:t>,</w:t>
      </w:r>
      <w:r w:rsidR="00244D3F">
        <w:t xml:space="preserve"> or on the initiative of a public authority, enforcement of existing legislation is a serious opportunity to address hazards and unusable public space. </w:t>
      </w:r>
      <w:r w:rsidR="001F023C">
        <w:t>(c) Enforcement</w:t>
      </w:r>
      <w:r w:rsidR="00AC007B">
        <w:t xml:space="preserve"> instruments </w:t>
      </w:r>
      <w:r w:rsidR="00E85238">
        <w:t>do exist and are being used</w:t>
      </w:r>
      <w:r w:rsidR="00AC007B">
        <w:t xml:space="preserve">. In case of a violation of a law or a local decree, administrative enforcement through ‘extraordinary enforcement officers’ (BOAs) is possible. In cases of violation of traffic or other laws, the police </w:t>
      </w:r>
      <w:proofErr w:type="gramStart"/>
      <w:r w:rsidR="00AC007B">
        <w:t>has</w:t>
      </w:r>
      <w:proofErr w:type="gramEnd"/>
      <w:r w:rsidR="00AC007B">
        <w:t xml:space="preserve"> the power to enforce and to impose fines and other sanctions. </w:t>
      </w:r>
      <w:r w:rsidR="00E85238">
        <w:t>However, i</w:t>
      </w:r>
      <w:r w:rsidR="00AC007B">
        <w:t xml:space="preserve">t would require additional research to </w:t>
      </w:r>
      <w:proofErr w:type="gramStart"/>
      <w:r w:rsidR="00AC007B">
        <w:t>find out if and in how many cases, enforcement officers act on hazardous situations and infringements of the law in cases of inaccessible public spaces</w:t>
      </w:r>
      <w:proofErr w:type="gramEnd"/>
      <w:r w:rsidR="00AC007B">
        <w:t xml:space="preserve">. </w:t>
      </w:r>
    </w:p>
    <w:p w14:paraId="680420F3" w14:textId="62CA95B2" w:rsidR="00244D3F" w:rsidRDefault="00244D3F" w:rsidP="00F9312C">
      <w:pPr>
        <w:spacing w:line="360" w:lineRule="auto"/>
      </w:pPr>
      <w:r>
        <w:t xml:space="preserve">It needs to be mentioned that existing equal treatment law </w:t>
      </w:r>
      <w:r w:rsidR="00BF12E0">
        <w:t xml:space="preserve">in the Netherlands </w:t>
      </w:r>
      <w:r>
        <w:t>is not applicable in the public sphere</w:t>
      </w:r>
      <w:r w:rsidR="00BF12E0">
        <w:t>.</w:t>
      </w:r>
      <w:r>
        <w:t xml:space="preserve"> That implies that inaccessibility cannot be addressed by way of </w:t>
      </w:r>
      <w:r w:rsidR="00BF12E0">
        <w:t>non-discrimination law. As a consequence, inaccessibility of public space is</w:t>
      </w:r>
      <w:r>
        <w:t xml:space="preserve"> hardly ever discussed in terms of inequality</w:t>
      </w:r>
      <w:r w:rsidR="00BF12E0">
        <w:t xml:space="preserve"> or discrimination.</w:t>
      </w:r>
    </w:p>
    <w:p w14:paraId="34BF35E8" w14:textId="77777777" w:rsidR="006202C3" w:rsidRDefault="006202C3" w:rsidP="00F9312C">
      <w:pPr>
        <w:spacing w:line="360" w:lineRule="auto"/>
      </w:pPr>
    </w:p>
    <w:p w14:paraId="730EBAA7" w14:textId="09B0E129" w:rsidR="005F0C1F" w:rsidRPr="00F9312C" w:rsidRDefault="000E007A" w:rsidP="00F9312C">
      <w:pPr>
        <w:pStyle w:val="Heading3"/>
        <w:spacing w:line="360" w:lineRule="auto"/>
        <w:rPr>
          <w:b/>
          <w:bCs w:val="0"/>
        </w:rPr>
      </w:pPr>
      <w:r w:rsidRPr="00F9312C">
        <w:rPr>
          <w:b/>
          <w:bCs w:val="0"/>
        </w:rPr>
        <w:t>E1.</w:t>
      </w:r>
      <w:r w:rsidR="00E9059A" w:rsidRPr="00F9312C">
        <w:rPr>
          <w:b/>
          <w:bCs w:val="0"/>
        </w:rPr>
        <w:t>4</w:t>
      </w:r>
      <w:r w:rsidRPr="00F9312C">
        <w:rPr>
          <w:b/>
          <w:bCs w:val="0"/>
        </w:rPr>
        <w:t xml:space="preserve"> </w:t>
      </w:r>
      <w:r w:rsidR="005F0C1F" w:rsidRPr="00F9312C">
        <w:rPr>
          <w:b/>
          <w:bCs w:val="0"/>
        </w:rPr>
        <w:t xml:space="preserve">Strengths and Good Practices  </w:t>
      </w:r>
    </w:p>
    <w:p w14:paraId="1BBECA05" w14:textId="2C4475E5" w:rsidR="00361219" w:rsidRPr="00DB4011" w:rsidRDefault="00361219" w:rsidP="00F9312C">
      <w:pPr>
        <w:spacing w:line="360" w:lineRule="auto"/>
        <w:rPr>
          <w:i/>
        </w:rPr>
      </w:pPr>
      <w:r w:rsidRPr="00DB4011">
        <w:rPr>
          <w:i/>
        </w:rPr>
        <w:t>Strengths:</w:t>
      </w:r>
    </w:p>
    <w:p w14:paraId="7AA8B7A5" w14:textId="36387204" w:rsidR="00484259" w:rsidRDefault="00484259" w:rsidP="00F9312C">
      <w:pPr>
        <w:spacing w:line="360" w:lineRule="auto"/>
      </w:pPr>
      <w:r>
        <w:t>As strengths in the field of addressing inaccessibility of public spaces may be mentioned</w:t>
      </w:r>
      <w:r w:rsidR="001B62CE">
        <w:t>:</w:t>
      </w:r>
      <w:r>
        <w:t xml:space="preserve">  </w:t>
      </w:r>
    </w:p>
    <w:p w14:paraId="11330485" w14:textId="77777777" w:rsidR="00484259" w:rsidRDefault="00484259" w:rsidP="00F9312C">
      <w:pPr>
        <w:pStyle w:val="ListParagraph"/>
        <w:numPr>
          <w:ilvl w:val="0"/>
          <w:numId w:val="30"/>
        </w:numPr>
        <w:spacing w:line="360" w:lineRule="auto"/>
      </w:pPr>
      <w:r>
        <w:t>the r</w:t>
      </w:r>
      <w:r w:rsidR="00361219">
        <w:t>atification of CRPD</w:t>
      </w:r>
      <w:r>
        <w:t xml:space="preserve">, because </w:t>
      </w:r>
    </w:p>
    <w:p w14:paraId="260AA7D9" w14:textId="77777777" w:rsidR="00484259" w:rsidRDefault="00484259" w:rsidP="00F9312C">
      <w:pPr>
        <w:pStyle w:val="ListParagraph"/>
        <w:numPr>
          <w:ilvl w:val="1"/>
          <w:numId w:val="30"/>
        </w:numPr>
        <w:spacing w:line="360" w:lineRule="auto"/>
      </w:pPr>
      <w:r>
        <w:t>it imposes duties on public authorities to address accessibility</w:t>
      </w:r>
    </w:p>
    <w:p w14:paraId="328DD117" w14:textId="5036FE14" w:rsidR="00484259" w:rsidRDefault="00484259" w:rsidP="00F9312C">
      <w:pPr>
        <w:pStyle w:val="ListParagraph"/>
        <w:numPr>
          <w:ilvl w:val="1"/>
          <w:numId w:val="30"/>
        </w:numPr>
        <w:spacing w:line="360" w:lineRule="auto"/>
      </w:pPr>
      <w:r>
        <w:t>it has been an awareness raising instrument</w:t>
      </w:r>
      <w:r w:rsidR="00361219">
        <w:t xml:space="preserve"> </w:t>
      </w:r>
      <w:r>
        <w:t>for the public and other non-state actors</w:t>
      </w:r>
    </w:p>
    <w:p w14:paraId="5FD62AD3" w14:textId="0747FE5A" w:rsidR="00484259" w:rsidRDefault="00484259" w:rsidP="00F9312C">
      <w:pPr>
        <w:pStyle w:val="ListParagraph"/>
        <w:numPr>
          <w:ilvl w:val="0"/>
          <w:numId w:val="30"/>
        </w:numPr>
        <w:spacing w:line="360" w:lineRule="auto"/>
      </w:pPr>
      <w:r>
        <w:t xml:space="preserve">there is </w:t>
      </w:r>
      <w:r w:rsidR="00BF5E4D">
        <w:t>attention for the issue in parliament;</w:t>
      </w:r>
      <w:r w:rsidR="00C539FD">
        <w:t xml:space="preserve"> </w:t>
      </w:r>
    </w:p>
    <w:p w14:paraId="35D3C61F" w14:textId="77777777" w:rsidR="00484259" w:rsidRDefault="00484259" w:rsidP="00F9312C">
      <w:pPr>
        <w:pStyle w:val="ListParagraph"/>
        <w:numPr>
          <w:ilvl w:val="0"/>
          <w:numId w:val="30"/>
        </w:numPr>
        <w:spacing w:line="360" w:lineRule="auto"/>
      </w:pPr>
      <w:r>
        <w:t xml:space="preserve">accessibility is a </w:t>
      </w:r>
      <w:r w:rsidR="00C539FD">
        <w:t xml:space="preserve">national theme in </w:t>
      </w:r>
      <w:r>
        <w:t xml:space="preserve">the National </w:t>
      </w:r>
      <w:r w:rsidR="00C539FD">
        <w:t>Spatial Vision (</w:t>
      </w:r>
      <w:proofErr w:type="spellStart"/>
      <w:r w:rsidR="00C539FD" w:rsidRPr="00484259">
        <w:rPr>
          <w:i/>
          <w:iCs/>
        </w:rPr>
        <w:t>National</w:t>
      </w:r>
      <w:r>
        <w:rPr>
          <w:i/>
          <w:iCs/>
        </w:rPr>
        <w:t>e</w:t>
      </w:r>
      <w:proofErr w:type="spellEnd"/>
      <w:r w:rsidR="00C539FD" w:rsidRPr="00484259">
        <w:rPr>
          <w:i/>
          <w:iCs/>
        </w:rPr>
        <w:t xml:space="preserve"> </w:t>
      </w:r>
      <w:proofErr w:type="spellStart"/>
      <w:r w:rsidR="00C539FD" w:rsidRPr="00484259">
        <w:rPr>
          <w:i/>
          <w:iCs/>
        </w:rPr>
        <w:t>omgevingsvisie</w:t>
      </w:r>
      <w:proofErr w:type="spellEnd"/>
      <w:r w:rsidR="00C539FD">
        <w:t>),</w:t>
      </w:r>
      <w:r w:rsidR="00361219">
        <w:t xml:space="preserve"> </w:t>
      </w:r>
    </w:p>
    <w:p w14:paraId="7679CE36" w14:textId="13FA0A33" w:rsidR="00484259" w:rsidRDefault="00484259" w:rsidP="00F9312C">
      <w:pPr>
        <w:pStyle w:val="ListParagraph"/>
        <w:numPr>
          <w:ilvl w:val="0"/>
          <w:numId w:val="30"/>
        </w:numPr>
        <w:spacing w:line="360" w:lineRule="auto"/>
      </w:pPr>
      <w:r>
        <w:t xml:space="preserve">there are many </w:t>
      </w:r>
      <w:r w:rsidR="00361219">
        <w:t>local initiatives</w:t>
      </w:r>
      <w:r>
        <w:t xml:space="preserve"> to raise the issue of accessibility:</w:t>
      </w:r>
    </w:p>
    <w:p w14:paraId="30B939D9" w14:textId="77777777" w:rsidR="00484259" w:rsidRDefault="00484259" w:rsidP="00F9312C">
      <w:pPr>
        <w:pStyle w:val="ListParagraph"/>
        <w:numPr>
          <w:ilvl w:val="1"/>
          <w:numId w:val="30"/>
        </w:numPr>
        <w:spacing w:line="360" w:lineRule="auto"/>
      </w:pPr>
      <w:r>
        <w:t xml:space="preserve">accessibility is included in most of the </w:t>
      </w:r>
      <w:r w:rsidR="00361219">
        <w:t>local inclusion agenda</w:t>
      </w:r>
      <w:r>
        <w:t>s</w:t>
      </w:r>
      <w:r w:rsidR="00BF5E4D">
        <w:t xml:space="preserve">; </w:t>
      </w:r>
    </w:p>
    <w:p w14:paraId="596B9A92" w14:textId="353A2DC1" w:rsidR="00361219" w:rsidRDefault="00484259" w:rsidP="00F9312C">
      <w:pPr>
        <w:pStyle w:val="ListParagraph"/>
        <w:numPr>
          <w:ilvl w:val="1"/>
          <w:numId w:val="30"/>
        </w:numPr>
        <w:spacing w:line="360" w:lineRule="auto"/>
      </w:pPr>
      <w:r>
        <w:t xml:space="preserve">at the national level and in many towns there exists </w:t>
      </w:r>
      <w:r w:rsidR="00BF5E4D">
        <w:t xml:space="preserve">an active NGO sector </w:t>
      </w:r>
    </w:p>
    <w:p w14:paraId="5F69E8F6" w14:textId="77777777" w:rsidR="00DB4011" w:rsidRPr="00DB4011" w:rsidRDefault="00361219" w:rsidP="00F9312C">
      <w:pPr>
        <w:spacing w:line="360" w:lineRule="auto"/>
        <w:rPr>
          <w:i/>
        </w:rPr>
      </w:pPr>
      <w:r w:rsidRPr="00DB4011">
        <w:rPr>
          <w:i/>
        </w:rPr>
        <w:t xml:space="preserve">Good practices: </w:t>
      </w:r>
    </w:p>
    <w:p w14:paraId="18791D39" w14:textId="0223E5ED" w:rsidR="00484259" w:rsidRDefault="00484259" w:rsidP="00F9312C">
      <w:pPr>
        <w:spacing w:line="360" w:lineRule="auto"/>
      </w:pPr>
      <w:r>
        <w:t>As good practices may be mentioned</w:t>
      </w:r>
      <w:r w:rsidR="001B62CE">
        <w:t>:</w:t>
      </w:r>
    </w:p>
    <w:p w14:paraId="18FE98F5" w14:textId="15676102" w:rsidR="00B568C6" w:rsidRDefault="00B568C6" w:rsidP="00F9312C">
      <w:pPr>
        <w:pStyle w:val="ListParagraph"/>
        <w:numPr>
          <w:ilvl w:val="0"/>
          <w:numId w:val="31"/>
        </w:numPr>
        <w:spacing w:line="360" w:lineRule="auto"/>
      </w:pPr>
      <w:r w:rsidRPr="00BF5E4D">
        <w:t>Local ‘UN Ambassadors’</w:t>
      </w:r>
      <w:r>
        <w:t xml:space="preserve"> </w:t>
      </w:r>
      <w:r w:rsidRPr="00BF5E4D">
        <w:t>putting disability issues o</w:t>
      </w:r>
      <w:r>
        <w:t>n the local agenda;</w:t>
      </w:r>
    </w:p>
    <w:p w14:paraId="59135BAA" w14:textId="1044C097" w:rsidR="00484259" w:rsidRDefault="00484259" w:rsidP="00F9312C">
      <w:pPr>
        <w:pStyle w:val="ListParagraph"/>
        <w:numPr>
          <w:ilvl w:val="0"/>
          <w:numId w:val="31"/>
        </w:numPr>
        <w:spacing w:line="360" w:lineRule="auto"/>
      </w:pPr>
      <w:r>
        <w:t>the N</w:t>
      </w:r>
      <w:r w:rsidR="00C539FD">
        <w:t xml:space="preserve">ational </w:t>
      </w:r>
      <w:r>
        <w:t>A</w:t>
      </w:r>
      <w:r w:rsidR="00C539FD">
        <w:t xml:space="preserve">ction Plan </w:t>
      </w:r>
      <w:proofErr w:type="spellStart"/>
      <w:r w:rsidR="00C539FD" w:rsidRPr="00484259">
        <w:rPr>
          <w:i/>
          <w:iCs/>
        </w:rPr>
        <w:t>Onbeperkt</w:t>
      </w:r>
      <w:proofErr w:type="spellEnd"/>
      <w:r w:rsidR="00C539FD" w:rsidRPr="00484259">
        <w:rPr>
          <w:i/>
          <w:iCs/>
        </w:rPr>
        <w:t xml:space="preserve"> </w:t>
      </w:r>
      <w:proofErr w:type="spellStart"/>
      <w:r w:rsidR="00C539FD" w:rsidRPr="00484259">
        <w:rPr>
          <w:i/>
          <w:iCs/>
        </w:rPr>
        <w:t>meedoen</w:t>
      </w:r>
      <w:proofErr w:type="spellEnd"/>
      <w:r w:rsidR="00B568C6">
        <w:rPr>
          <w:i/>
          <w:iCs/>
        </w:rPr>
        <w:t>!</w:t>
      </w:r>
      <w:r>
        <w:rPr>
          <w:i/>
          <w:iCs/>
        </w:rPr>
        <w:t xml:space="preserve">, </w:t>
      </w:r>
      <w:r>
        <w:t>because it involves</w:t>
      </w:r>
      <w:r w:rsidR="00B568C6">
        <w:t xml:space="preserve"> </w:t>
      </w:r>
      <w:r>
        <w:t>all government departments, private sector organisations and disabled people organisations</w:t>
      </w:r>
      <w:r w:rsidR="00C539FD">
        <w:t xml:space="preserve">; </w:t>
      </w:r>
    </w:p>
    <w:p w14:paraId="7AC6442F" w14:textId="20B221B0" w:rsidR="00484259" w:rsidRDefault="00484259" w:rsidP="00F9312C">
      <w:pPr>
        <w:pStyle w:val="ListParagraph"/>
        <w:numPr>
          <w:ilvl w:val="0"/>
          <w:numId w:val="31"/>
        </w:numPr>
        <w:spacing w:line="360" w:lineRule="auto"/>
      </w:pPr>
      <w:r>
        <w:t xml:space="preserve">In </w:t>
      </w:r>
      <w:r w:rsidR="00361219" w:rsidRPr="00BF5E4D">
        <w:t>Utrecht</w:t>
      </w:r>
      <w:r>
        <w:t xml:space="preserve">: the adoption of the </w:t>
      </w:r>
      <w:r w:rsidR="00361219" w:rsidRPr="00BF5E4D">
        <w:t xml:space="preserve">handbook </w:t>
      </w:r>
      <w:proofErr w:type="spellStart"/>
      <w:r w:rsidR="00BF5E4D" w:rsidRPr="00484259">
        <w:rPr>
          <w:i/>
          <w:iCs/>
        </w:rPr>
        <w:t>Voetpaden</w:t>
      </w:r>
      <w:proofErr w:type="spellEnd"/>
      <w:r w:rsidR="00BF5E4D" w:rsidRPr="00484259">
        <w:rPr>
          <w:i/>
          <w:iCs/>
        </w:rPr>
        <w:t xml:space="preserve"> </w:t>
      </w:r>
      <w:proofErr w:type="spellStart"/>
      <w:r w:rsidR="00BF5E4D" w:rsidRPr="00484259">
        <w:rPr>
          <w:i/>
          <w:iCs/>
        </w:rPr>
        <w:t>voor</w:t>
      </w:r>
      <w:proofErr w:type="spellEnd"/>
      <w:r w:rsidR="00BF5E4D" w:rsidRPr="00484259">
        <w:rPr>
          <w:i/>
          <w:iCs/>
        </w:rPr>
        <w:t xml:space="preserve"> </w:t>
      </w:r>
      <w:proofErr w:type="spellStart"/>
      <w:r w:rsidR="00BF5E4D" w:rsidRPr="00484259">
        <w:rPr>
          <w:i/>
          <w:iCs/>
        </w:rPr>
        <w:t>iedereen</w:t>
      </w:r>
      <w:proofErr w:type="spellEnd"/>
      <w:r w:rsidR="00BF5E4D" w:rsidRPr="00BF5E4D">
        <w:t>,</w:t>
      </w:r>
      <w:r>
        <w:t xml:space="preserve"> for planning and monitoring purposes</w:t>
      </w:r>
      <w:r w:rsidR="00B568C6">
        <w:t>;</w:t>
      </w:r>
    </w:p>
    <w:p w14:paraId="48A2078D" w14:textId="4DC14808" w:rsidR="00361219" w:rsidRPr="00BF5E4D" w:rsidRDefault="00484259" w:rsidP="00F9312C">
      <w:pPr>
        <w:pStyle w:val="ListParagraph"/>
        <w:numPr>
          <w:ilvl w:val="0"/>
          <w:numId w:val="31"/>
        </w:numPr>
        <w:spacing w:line="360" w:lineRule="auto"/>
      </w:pPr>
      <w:r>
        <w:t>In</w:t>
      </w:r>
      <w:r w:rsidR="00BF5E4D" w:rsidRPr="00BF5E4D">
        <w:t xml:space="preserve"> Almere: </w:t>
      </w:r>
      <w:r>
        <w:t xml:space="preserve">the </w:t>
      </w:r>
      <w:r w:rsidR="00BF5E4D" w:rsidRPr="00BF5E4D">
        <w:t xml:space="preserve">VIP </w:t>
      </w:r>
      <w:r>
        <w:t xml:space="preserve">working group which was leading in </w:t>
      </w:r>
      <w:r w:rsidR="00BF5E4D" w:rsidRPr="00BF5E4D">
        <w:t xml:space="preserve">drafting </w:t>
      </w:r>
      <w:r w:rsidR="00B568C6">
        <w:t xml:space="preserve">the new local </w:t>
      </w:r>
      <w:r w:rsidR="00BF5E4D" w:rsidRPr="00BF5E4D">
        <w:t>policy agenda</w:t>
      </w:r>
      <w:r w:rsidR="00B568C6">
        <w:t>.</w:t>
      </w:r>
      <w:r w:rsidR="00361219" w:rsidRPr="00BF5E4D">
        <w:t xml:space="preserve"> </w:t>
      </w:r>
    </w:p>
    <w:p w14:paraId="171B9C2C" w14:textId="77777777" w:rsidR="005F0C1F" w:rsidRPr="00BF5E4D" w:rsidRDefault="005F0C1F" w:rsidP="00F9312C">
      <w:pPr>
        <w:spacing w:line="360" w:lineRule="auto"/>
      </w:pPr>
    </w:p>
    <w:p w14:paraId="1942EF12" w14:textId="4C7D20A4" w:rsidR="005F0C1F" w:rsidRPr="00F9312C" w:rsidRDefault="000E007A" w:rsidP="00F9312C">
      <w:pPr>
        <w:pStyle w:val="Heading3"/>
        <w:spacing w:line="360" w:lineRule="auto"/>
        <w:rPr>
          <w:b/>
          <w:bCs w:val="0"/>
        </w:rPr>
      </w:pPr>
      <w:r w:rsidRPr="00F9312C">
        <w:rPr>
          <w:b/>
          <w:bCs w:val="0"/>
        </w:rPr>
        <w:t>E1.</w:t>
      </w:r>
      <w:r w:rsidR="00E9059A" w:rsidRPr="00F9312C">
        <w:rPr>
          <w:b/>
          <w:bCs w:val="0"/>
        </w:rPr>
        <w:t>5</w:t>
      </w:r>
      <w:r w:rsidRPr="00F9312C">
        <w:rPr>
          <w:b/>
          <w:bCs w:val="0"/>
        </w:rPr>
        <w:t xml:space="preserve"> </w:t>
      </w:r>
      <w:r w:rsidR="005F0C1F" w:rsidRPr="00F9312C">
        <w:rPr>
          <w:b/>
          <w:bCs w:val="0"/>
        </w:rPr>
        <w:t xml:space="preserve">Weaknesses and Concerns </w:t>
      </w:r>
    </w:p>
    <w:p w14:paraId="5DC5062F" w14:textId="77777777" w:rsidR="00DB4011" w:rsidRPr="00DB4011" w:rsidRDefault="00BF5E4D" w:rsidP="00F9312C">
      <w:pPr>
        <w:spacing w:line="360" w:lineRule="auto"/>
        <w:rPr>
          <w:i/>
        </w:rPr>
      </w:pPr>
      <w:r w:rsidRPr="00DB4011">
        <w:rPr>
          <w:i/>
        </w:rPr>
        <w:t xml:space="preserve">Weaknesses: </w:t>
      </w:r>
    </w:p>
    <w:p w14:paraId="123A722C" w14:textId="77777777" w:rsidR="00B568C6" w:rsidRDefault="00B568C6" w:rsidP="00F9312C">
      <w:pPr>
        <w:spacing w:line="360" w:lineRule="auto"/>
      </w:pPr>
      <w:r>
        <w:t>As weaknesses may be mentioned:</w:t>
      </w:r>
    </w:p>
    <w:p w14:paraId="7435C57C" w14:textId="77777777" w:rsidR="00B568C6" w:rsidRDefault="00BF5E4D" w:rsidP="00F9312C">
      <w:pPr>
        <w:pStyle w:val="ListParagraph"/>
        <w:numPr>
          <w:ilvl w:val="0"/>
          <w:numId w:val="32"/>
        </w:numPr>
        <w:spacing w:line="360" w:lineRule="auto"/>
      </w:pPr>
      <w:r>
        <w:t>a preoccupation on the part of government departments about the costs of adjustments in society;</w:t>
      </w:r>
    </w:p>
    <w:p w14:paraId="038A9E56" w14:textId="20CB336A" w:rsidR="00B568C6" w:rsidRDefault="00B568C6" w:rsidP="00F9312C">
      <w:pPr>
        <w:pStyle w:val="ListParagraph"/>
        <w:numPr>
          <w:ilvl w:val="0"/>
          <w:numId w:val="32"/>
        </w:numPr>
        <w:spacing w:line="360" w:lineRule="auto"/>
      </w:pPr>
      <w:r>
        <w:t>the lack of willingness to impose enforceable provisions in the field of accessibility;</w:t>
      </w:r>
      <w:r w:rsidR="00BF5E4D">
        <w:t xml:space="preserve"> </w:t>
      </w:r>
    </w:p>
    <w:p w14:paraId="7CCB966D" w14:textId="77777777" w:rsidR="00B568C6" w:rsidRDefault="00B568C6" w:rsidP="00F9312C">
      <w:pPr>
        <w:pStyle w:val="ListParagraph"/>
        <w:numPr>
          <w:ilvl w:val="0"/>
          <w:numId w:val="32"/>
        </w:numPr>
        <w:spacing w:line="360" w:lineRule="auto"/>
      </w:pPr>
      <w:r>
        <w:t xml:space="preserve">The </w:t>
      </w:r>
      <w:r w:rsidR="00BF5E4D">
        <w:t>action plan</w:t>
      </w:r>
      <w:r>
        <w:t xml:space="preserve"> </w:t>
      </w:r>
      <w:proofErr w:type="spellStart"/>
      <w:r w:rsidRPr="00484259">
        <w:rPr>
          <w:i/>
          <w:iCs/>
        </w:rPr>
        <w:t>Onbeperkt</w:t>
      </w:r>
      <w:proofErr w:type="spellEnd"/>
      <w:r w:rsidRPr="00484259">
        <w:rPr>
          <w:i/>
          <w:iCs/>
        </w:rPr>
        <w:t xml:space="preserve"> </w:t>
      </w:r>
      <w:proofErr w:type="spellStart"/>
      <w:r w:rsidRPr="00484259">
        <w:rPr>
          <w:i/>
          <w:iCs/>
        </w:rPr>
        <w:t>meedoen</w:t>
      </w:r>
      <w:proofErr w:type="spellEnd"/>
      <w:r>
        <w:rPr>
          <w:i/>
          <w:iCs/>
        </w:rPr>
        <w:t>!</w:t>
      </w:r>
      <w:r w:rsidR="00BF5E4D">
        <w:t xml:space="preserve"> with a high degree of voluntariness;</w:t>
      </w:r>
    </w:p>
    <w:p w14:paraId="39DC69C5" w14:textId="33EC27F1" w:rsidR="00BF5E4D" w:rsidRDefault="00B568C6" w:rsidP="00F9312C">
      <w:pPr>
        <w:pStyle w:val="ListParagraph"/>
        <w:numPr>
          <w:ilvl w:val="0"/>
          <w:numId w:val="32"/>
        </w:numPr>
        <w:spacing w:line="360" w:lineRule="auto"/>
      </w:pPr>
      <w:r>
        <w:t>The non-applicability of non-discrimination law in the public domain.</w:t>
      </w:r>
    </w:p>
    <w:p w14:paraId="37DA4A06" w14:textId="7CD3309D" w:rsidR="005F0C1F" w:rsidRDefault="005F0C1F" w:rsidP="00F9312C">
      <w:pPr>
        <w:spacing w:line="360" w:lineRule="auto"/>
      </w:pPr>
    </w:p>
    <w:p w14:paraId="5031D69F" w14:textId="77777777" w:rsidR="00DB4011" w:rsidRPr="00DB4011" w:rsidRDefault="00BF5E4D" w:rsidP="00F9312C">
      <w:pPr>
        <w:spacing w:line="360" w:lineRule="auto"/>
        <w:rPr>
          <w:i/>
        </w:rPr>
      </w:pPr>
      <w:r w:rsidRPr="00DB4011">
        <w:rPr>
          <w:i/>
        </w:rPr>
        <w:t xml:space="preserve">Concerns: </w:t>
      </w:r>
    </w:p>
    <w:p w14:paraId="31A54AA1" w14:textId="51A26C39" w:rsidR="00B568C6" w:rsidRDefault="00B568C6" w:rsidP="00F9312C">
      <w:pPr>
        <w:spacing w:line="360" w:lineRule="auto"/>
      </w:pPr>
      <w:r>
        <w:t>As concerns may be mentioned:</w:t>
      </w:r>
    </w:p>
    <w:p w14:paraId="4C041E05" w14:textId="1549AA3B" w:rsidR="00B568C6" w:rsidRDefault="00BF5E4D" w:rsidP="00F9312C">
      <w:pPr>
        <w:pStyle w:val="ListParagraph"/>
        <w:numPr>
          <w:ilvl w:val="0"/>
          <w:numId w:val="33"/>
        </w:numPr>
        <w:spacing w:line="360" w:lineRule="auto"/>
      </w:pPr>
      <w:r>
        <w:t xml:space="preserve">A lack of willingness </w:t>
      </w:r>
      <w:r w:rsidR="006759F4">
        <w:t xml:space="preserve">on the part of many municipalities </w:t>
      </w:r>
      <w:r>
        <w:t>to draft and implement a</w:t>
      </w:r>
      <w:r w:rsidR="006759F4">
        <w:t xml:space="preserve"> local</w:t>
      </w:r>
      <w:r>
        <w:t xml:space="preserve"> inclusion agenda; </w:t>
      </w:r>
    </w:p>
    <w:p w14:paraId="4CFCF7D6" w14:textId="46A16AEB" w:rsidR="00BF5E4D" w:rsidRDefault="00B568C6" w:rsidP="00F9312C">
      <w:pPr>
        <w:pStyle w:val="ListParagraph"/>
        <w:numPr>
          <w:ilvl w:val="0"/>
          <w:numId w:val="33"/>
        </w:numPr>
        <w:spacing w:line="360" w:lineRule="auto"/>
      </w:pPr>
      <w:r>
        <w:t xml:space="preserve">A </w:t>
      </w:r>
      <w:r w:rsidR="00C539FD">
        <w:t>lack of awareness</w:t>
      </w:r>
      <w:r>
        <w:t xml:space="preserve"> of accessibility</w:t>
      </w:r>
      <w:r w:rsidR="00C539FD">
        <w:t xml:space="preserve"> among enforcement institutions</w:t>
      </w:r>
      <w:r>
        <w:t>.</w:t>
      </w:r>
    </w:p>
    <w:p w14:paraId="22692D5E" w14:textId="77777777" w:rsidR="00153CD5" w:rsidRDefault="00153CD5" w:rsidP="00F9312C">
      <w:pPr>
        <w:spacing w:line="360" w:lineRule="auto"/>
      </w:pPr>
    </w:p>
    <w:p w14:paraId="4C56A2C4" w14:textId="57931315" w:rsidR="005F0C1F" w:rsidRPr="00F9312C" w:rsidRDefault="000E007A" w:rsidP="00F9312C">
      <w:pPr>
        <w:pStyle w:val="Heading3"/>
        <w:spacing w:line="360" w:lineRule="auto"/>
        <w:rPr>
          <w:b/>
          <w:bCs w:val="0"/>
        </w:rPr>
      </w:pPr>
      <w:r w:rsidRPr="00F9312C">
        <w:rPr>
          <w:b/>
          <w:bCs w:val="0"/>
        </w:rPr>
        <w:t>E1.</w:t>
      </w:r>
      <w:r w:rsidR="00E9059A" w:rsidRPr="00F9312C">
        <w:rPr>
          <w:b/>
          <w:bCs w:val="0"/>
        </w:rPr>
        <w:t>6</w:t>
      </w:r>
      <w:r w:rsidRPr="00F9312C">
        <w:rPr>
          <w:b/>
          <w:bCs w:val="0"/>
        </w:rPr>
        <w:t xml:space="preserve"> </w:t>
      </w:r>
      <w:r w:rsidR="005F0C1F" w:rsidRPr="00F9312C">
        <w:rPr>
          <w:b/>
          <w:bCs w:val="0"/>
        </w:rPr>
        <w:t>Recommendations</w:t>
      </w:r>
    </w:p>
    <w:p w14:paraId="32AF2A32" w14:textId="60782369" w:rsidR="005F0C1F" w:rsidRPr="00153F43" w:rsidRDefault="00153F43" w:rsidP="00F9312C">
      <w:pPr>
        <w:spacing w:line="360" w:lineRule="auto"/>
        <w:rPr>
          <w:i/>
        </w:rPr>
      </w:pPr>
      <w:r w:rsidRPr="00153F43">
        <w:rPr>
          <w:i/>
        </w:rPr>
        <w:t>National level:</w:t>
      </w:r>
    </w:p>
    <w:p w14:paraId="7FC8097C" w14:textId="68031C87" w:rsidR="00153F43" w:rsidRDefault="00153F43" w:rsidP="00F9312C">
      <w:pPr>
        <w:spacing w:line="360" w:lineRule="auto"/>
      </w:pPr>
      <w:r w:rsidRPr="006759F4">
        <w:t xml:space="preserve">In </w:t>
      </w:r>
      <w:r w:rsidR="006B0F2D" w:rsidRPr="006759F4">
        <w:t xml:space="preserve">the national </w:t>
      </w:r>
      <w:r w:rsidRPr="006759F4">
        <w:t xml:space="preserve">programme </w:t>
      </w:r>
      <w:proofErr w:type="spellStart"/>
      <w:r w:rsidRPr="006759F4">
        <w:rPr>
          <w:i/>
        </w:rPr>
        <w:t>Onbeperkt</w:t>
      </w:r>
      <w:proofErr w:type="spellEnd"/>
      <w:r w:rsidRPr="006759F4">
        <w:rPr>
          <w:i/>
        </w:rPr>
        <w:t xml:space="preserve"> </w:t>
      </w:r>
      <w:proofErr w:type="spellStart"/>
      <w:r w:rsidRPr="006759F4">
        <w:rPr>
          <w:i/>
        </w:rPr>
        <w:t>Meedoen</w:t>
      </w:r>
      <w:proofErr w:type="spellEnd"/>
      <w:r w:rsidR="006B0F2D" w:rsidRPr="006759F4">
        <w:rPr>
          <w:i/>
        </w:rPr>
        <w:t>!</w:t>
      </w:r>
      <w:r w:rsidR="006759F4" w:rsidRPr="006759F4">
        <w:t xml:space="preserve"> </w:t>
      </w:r>
      <w:proofErr w:type="gramStart"/>
      <w:r w:rsidR="006759F4">
        <w:t>a</w:t>
      </w:r>
      <w:r w:rsidR="006759F4" w:rsidRPr="006759F4">
        <w:t>nd</w:t>
      </w:r>
      <w:proofErr w:type="gramEnd"/>
      <w:r w:rsidR="003C042B">
        <w:t>,</w:t>
      </w:r>
      <w:r w:rsidR="006759F4" w:rsidRPr="006759F4">
        <w:t xml:space="preserve"> more sp</w:t>
      </w:r>
      <w:r w:rsidR="006759F4">
        <w:t>ecific in the Action Plan for Building,</w:t>
      </w:r>
      <w:r w:rsidRPr="006759F4">
        <w:t xml:space="preserve"> </w:t>
      </w:r>
      <w:r w:rsidR="006B0F2D">
        <w:t>create</w:t>
      </w:r>
      <w:r>
        <w:t xml:space="preserve"> more </w:t>
      </w:r>
      <w:r w:rsidR="003C042B">
        <w:t>attention</w:t>
      </w:r>
      <w:r>
        <w:t xml:space="preserve"> for accessibility of public spaces.</w:t>
      </w:r>
      <w:r w:rsidR="006759F4">
        <w:t xml:space="preserve"> Revise the upcoming Spatial and Environmental Planning Bill with a view to enforceable measures for accessible public spaces. </w:t>
      </w:r>
    </w:p>
    <w:p w14:paraId="0DC15543" w14:textId="7F988C96" w:rsidR="00153F43" w:rsidRDefault="00153F43" w:rsidP="00F9312C">
      <w:pPr>
        <w:spacing w:line="360" w:lineRule="auto"/>
      </w:pPr>
    </w:p>
    <w:p w14:paraId="1A5660BD" w14:textId="696A64E6" w:rsidR="00153F43" w:rsidRPr="00153F43" w:rsidRDefault="00153F43" w:rsidP="00F9312C">
      <w:pPr>
        <w:spacing w:line="360" w:lineRule="auto"/>
        <w:rPr>
          <w:i/>
        </w:rPr>
      </w:pPr>
      <w:r w:rsidRPr="00153F43">
        <w:rPr>
          <w:i/>
        </w:rPr>
        <w:t>Provincial level:</w:t>
      </w:r>
    </w:p>
    <w:p w14:paraId="31ADAC5D" w14:textId="0EF8BD5D" w:rsidR="00153F43" w:rsidRDefault="00153F43" w:rsidP="00F9312C">
      <w:pPr>
        <w:spacing w:line="360" w:lineRule="auto"/>
      </w:pPr>
      <w:r>
        <w:t>Include accessibility in existing and future spatial development plans</w:t>
      </w:r>
      <w:r w:rsidR="006759F4">
        <w:t>.</w:t>
      </w:r>
      <w:r>
        <w:t xml:space="preserve"> </w:t>
      </w:r>
      <w:r w:rsidR="006759F4">
        <w:t>C</w:t>
      </w:r>
      <w:r>
        <w:t>heck municipal planning and environmental vis</w:t>
      </w:r>
      <w:r w:rsidR="00393759">
        <w:t>i</w:t>
      </w:r>
      <w:r>
        <w:t>ons on accessibility</w:t>
      </w:r>
      <w:r w:rsidR="006759F4">
        <w:t xml:space="preserve"> of</w:t>
      </w:r>
      <w:r>
        <w:t xml:space="preserve"> public places</w:t>
      </w:r>
      <w:r w:rsidR="006759F4">
        <w:t xml:space="preserve"> and apply inter-administrative supervision when municipalities do not comply with accessibility plans. </w:t>
      </w:r>
    </w:p>
    <w:p w14:paraId="5006B9CB" w14:textId="77777777" w:rsidR="00153F43" w:rsidRDefault="00153F43" w:rsidP="00F9312C">
      <w:pPr>
        <w:spacing w:line="360" w:lineRule="auto"/>
      </w:pPr>
    </w:p>
    <w:p w14:paraId="1268FCD9" w14:textId="10995D4C" w:rsidR="00153F43" w:rsidRPr="00153F43" w:rsidRDefault="00153F43" w:rsidP="00F9312C">
      <w:pPr>
        <w:spacing w:line="360" w:lineRule="auto"/>
        <w:rPr>
          <w:i/>
        </w:rPr>
      </w:pPr>
      <w:r w:rsidRPr="00153F43">
        <w:rPr>
          <w:i/>
        </w:rPr>
        <w:t xml:space="preserve">Municipal level: </w:t>
      </w:r>
    </w:p>
    <w:p w14:paraId="04F296B6" w14:textId="03480663" w:rsidR="005F0C1F" w:rsidRDefault="006759F4" w:rsidP="00F9312C">
      <w:pPr>
        <w:spacing w:line="360" w:lineRule="auto"/>
      </w:pPr>
      <w:r>
        <w:t>A</w:t>
      </w:r>
      <w:r w:rsidR="00153F43">
        <w:t>dopt an Inclusion Agenda</w:t>
      </w:r>
      <w:r>
        <w:t xml:space="preserve"> in those municipalities where this has not been tabled.</w:t>
      </w:r>
      <w:r w:rsidR="00153F43">
        <w:t xml:space="preserve"> </w:t>
      </w:r>
      <w:r>
        <w:t>I</w:t>
      </w:r>
      <w:r w:rsidR="00153F43">
        <w:t>nclude accessibility of public space as a part of the Inclusion Agenda</w:t>
      </w:r>
      <w:r>
        <w:t>.</w:t>
      </w:r>
      <w:r w:rsidR="00153F43">
        <w:t xml:space="preserve"> </w:t>
      </w:r>
      <w:r>
        <w:t>I</w:t>
      </w:r>
      <w:r w:rsidR="00153F43">
        <w:t xml:space="preserve">nclude </w:t>
      </w:r>
      <w:r>
        <w:t>inaccessibility</w:t>
      </w:r>
      <w:r w:rsidR="00153F43">
        <w:t xml:space="preserve"> of pedestrian areas in the APV.</w:t>
      </w:r>
      <w:r>
        <w:t xml:space="preserve"> Instruct enforcement officers to act in cases where a violation of the APV exists.</w:t>
      </w:r>
    </w:p>
    <w:p w14:paraId="698C6FB9" w14:textId="77777777" w:rsidR="00E3152B" w:rsidRDefault="00E3152B" w:rsidP="00F9312C">
      <w:pPr>
        <w:spacing w:line="360" w:lineRule="auto"/>
      </w:pPr>
    </w:p>
    <w:p w14:paraId="067DD74E" w14:textId="77777777" w:rsidR="00850892" w:rsidRDefault="00850892" w:rsidP="00F9312C">
      <w:pPr>
        <w:spacing w:after="200" w:line="360" w:lineRule="auto"/>
        <w:rPr>
          <w:b/>
        </w:rPr>
      </w:pPr>
      <w:r>
        <w:rPr>
          <w:b/>
        </w:rPr>
        <w:br w:type="page"/>
      </w:r>
    </w:p>
    <w:p w14:paraId="4BA70178" w14:textId="77777777" w:rsidR="005F0C1F" w:rsidRPr="00CE4642" w:rsidRDefault="005F0C1F" w:rsidP="00F9312C">
      <w:pPr>
        <w:pStyle w:val="Heading1"/>
        <w:spacing w:line="360" w:lineRule="auto"/>
      </w:pPr>
      <w:r w:rsidRPr="00CE4642">
        <w:t>Bibliography</w:t>
      </w:r>
    </w:p>
    <w:p w14:paraId="2050E60B" w14:textId="60B8426B" w:rsidR="008A5CD8" w:rsidRPr="00CE4642" w:rsidRDefault="008A5CD8" w:rsidP="00F9312C">
      <w:pPr>
        <w:spacing w:line="360" w:lineRule="auto"/>
        <w:rPr>
          <w:b/>
        </w:rPr>
      </w:pPr>
    </w:p>
    <w:p w14:paraId="1E8E21A7" w14:textId="0EE41071" w:rsidR="00B10B33" w:rsidRPr="00CE4642" w:rsidRDefault="00B10B33" w:rsidP="00F9312C">
      <w:pPr>
        <w:spacing w:line="360" w:lineRule="auto"/>
        <w:rPr>
          <w:rFonts w:cs="Arial"/>
          <w:szCs w:val="20"/>
        </w:rPr>
      </w:pPr>
      <w:r w:rsidRPr="00CE4642">
        <w:rPr>
          <w:rFonts w:cs="Arial"/>
          <w:szCs w:val="20"/>
        </w:rPr>
        <w:t xml:space="preserve">L. F. M. </w:t>
      </w:r>
      <w:proofErr w:type="spellStart"/>
      <w:r w:rsidRPr="00CE4642">
        <w:rPr>
          <w:rFonts w:cs="Arial"/>
          <w:szCs w:val="20"/>
        </w:rPr>
        <w:t>Besselink</w:t>
      </w:r>
      <w:proofErr w:type="spellEnd"/>
      <w:r w:rsidR="0071507B" w:rsidRPr="00CE4642">
        <w:rPr>
          <w:rFonts w:cs="Arial"/>
          <w:szCs w:val="20"/>
        </w:rPr>
        <w:t>,</w:t>
      </w:r>
      <w:r w:rsidRPr="00CE4642">
        <w:rPr>
          <w:rFonts w:cs="Arial"/>
          <w:szCs w:val="20"/>
        </w:rPr>
        <w:t xml:space="preserve"> ‘The Kingdom of the Netherlands’ in L. </w:t>
      </w:r>
      <w:proofErr w:type="spellStart"/>
      <w:r w:rsidRPr="00CE4642">
        <w:rPr>
          <w:rFonts w:cs="Arial"/>
          <w:szCs w:val="20"/>
        </w:rPr>
        <w:t>Besselink</w:t>
      </w:r>
      <w:proofErr w:type="spellEnd"/>
      <w:r w:rsidRPr="00CE4642">
        <w:rPr>
          <w:rFonts w:cs="Arial"/>
          <w:szCs w:val="20"/>
        </w:rPr>
        <w:t xml:space="preserve">, P. </w:t>
      </w:r>
      <w:proofErr w:type="spellStart"/>
      <w:r w:rsidRPr="00CE4642">
        <w:rPr>
          <w:rFonts w:cs="Arial"/>
          <w:szCs w:val="20"/>
        </w:rPr>
        <w:t>Bovend’Eert</w:t>
      </w:r>
      <w:proofErr w:type="spellEnd"/>
      <w:r w:rsidRPr="00CE4642">
        <w:rPr>
          <w:rFonts w:cs="Arial"/>
          <w:szCs w:val="20"/>
        </w:rPr>
        <w:t xml:space="preserve">, H. </w:t>
      </w:r>
      <w:proofErr w:type="spellStart"/>
      <w:r w:rsidRPr="00CE4642">
        <w:rPr>
          <w:rFonts w:cs="Arial"/>
          <w:szCs w:val="20"/>
        </w:rPr>
        <w:t>Broeksteeg</w:t>
      </w:r>
      <w:proofErr w:type="spellEnd"/>
      <w:r w:rsidRPr="00CE4642">
        <w:rPr>
          <w:rFonts w:cs="Arial"/>
          <w:szCs w:val="20"/>
        </w:rPr>
        <w:t xml:space="preserve">, R.de Lange, &amp; W. </w:t>
      </w:r>
      <w:proofErr w:type="spellStart"/>
      <w:r w:rsidRPr="00CE4642">
        <w:rPr>
          <w:rFonts w:cs="Arial"/>
          <w:szCs w:val="20"/>
        </w:rPr>
        <w:t>Voermans</w:t>
      </w:r>
      <w:proofErr w:type="spellEnd"/>
      <w:r w:rsidRPr="00CE4642">
        <w:rPr>
          <w:rFonts w:cs="Arial"/>
          <w:szCs w:val="20"/>
        </w:rPr>
        <w:t xml:space="preserve"> (eds.), </w:t>
      </w:r>
      <w:r w:rsidRPr="00CE4642">
        <w:rPr>
          <w:rFonts w:cs="Arial"/>
          <w:i/>
          <w:iCs/>
          <w:szCs w:val="20"/>
        </w:rPr>
        <w:t>Constitutional law of the EU member states</w:t>
      </w:r>
      <w:r w:rsidRPr="00CE4642">
        <w:rPr>
          <w:rFonts w:cs="Arial"/>
          <w:szCs w:val="20"/>
        </w:rPr>
        <w:t xml:space="preserve"> (Kluwer 2014)</w:t>
      </w:r>
    </w:p>
    <w:p w14:paraId="1DE48645" w14:textId="5F56A168" w:rsidR="00B10B33" w:rsidRPr="00BE0368" w:rsidRDefault="00BE0368" w:rsidP="00F9312C">
      <w:pPr>
        <w:spacing w:line="360" w:lineRule="auto"/>
        <w:rPr>
          <w:szCs w:val="24"/>
          <w:lang w:val="nl-NL"/>
        </w:rPr>
      </w:pPr>
      <w:r w:rsidRPr="00BE0368">
        <w:rPr>
          <w:rFonts w:cs="Arial"/>
          <w:szCs w:val="24"/>
          <w:lang w:val="nl-NL"/>
        </w:rPr>
        <w:t xml:space="preserve">T. Bouwman, L. Delmée, J. Michgelsen, </w:t>
      </w:r>
      <w:r w:rsidRPr="00BE0368">
        <w:rPr>
          <w:rFonts w:cs="Arial"/>
          <w:i/>
          <w:iCs/>
          <w:szCs w:val="24"/>
          <w:lang w:val="nl-NL"/>
        </w:rPr>
        <w:t>Adviesrapport Mobiliteit en verkeersveiligheid bij ouderen</w:t>
      </w:r>
      <w:r w:rsidRPr="00BE0368">
        <w:rPr>
          <w:rFonts w:cs="Arial"/>
          <w:szCs w:val="24"/>
          <w:lang w:val="nl-NL"/>
        </w:rPr>
        <w:t xml:space="preserve"> (Consortium Beter Oud, 2019).</w:t>
      </w:r>
    </w:p>
    <w:p w14:paraId="6239AE8F" w14:textId="4E72A8B1" w:rsidR="002B1C53" w:rsidRPr="002C2DBC" w:rsidRDefault="002B1C53" w:rsidP="00F9312C">
      <w:pPr>
        <w:spacing w:line="360" w:lineRule="auto"/>
        <w:rPr>
          <w:rFonts w:eastAsiaTheme="minorHAnsi" w:cs="Arial"/>
          <w:szCs w:val="24"/>
          <w:lang w:val="nl-NL" w:eastAsia="en-US"/>
        </w:rPr>
      </w:pPr>
      <w:r w:rsidRPr="002C2DBC">
        <w:rPr>
          <w:szCs w:val="24"/>
          <w:lang w:val="nl-NL"/>
        </w:rPr>
        <w:t>College voor de Rechten van de Mens</w:t>
      </w:r>
      <w:r w:rsidR="0069102A">
        <w:rPr>
          <w:szCs w:val="24"/>
          <w:lang w:val="nl-NL"/>
        </w:rPr>
        <w:t>,</w:t>
      </w:r>
      <w:r w:rsidRPr="002C2DBC">
        <w:rPr>
          <w:szCs w:val="24"/>
          <w:lang w:val="nl-NL"/>
        </w:rPr>
        <w:t xml:space="preserve"> </w:t>
      </w:r>
      <w:r w:rsidRPr="0069102A">
        <w:rPr>
          <w:rFonts w:eastAsiaTheme="minorHAnsi" w:cs="Arial"/>
          <w:i/>
          <w:iCs/>
          <w:szCs w:val="24"/>
          <w:lang w:val="nl-NL" w:eastAsia="en-US"/>
        </w:rPr>
        <w:t>Advies over de concepten van de Goedkeuringswet en Uitvoeringswet bij het VN-Verdrag inzake de rechten van personen met een handicap</w:t>
      </w:r>
      <w:r w:rsidRPr="002C2DBC">
        <w:rPr>
          <w:rFonts w:eastAsiaTheme="minorHAnsi" w:cs="Arial"/>
          <w:szCs w:val="24"/>
          <w:lang w:val="nl-NL" w:eastAsia="en-US"/>
        </w:rPr>
        <w:t xml:space="preserve"> (</w:t>
      </w:r>
      <w:r w:rsidRPr="002C2DBC">
        <w:rPr>
          <w:szCs w:val="24"/>
          <w:lang w:val="nl-NL"/>
        </w:rPr>
        <w:t>College voor de Rechten van de Mens</w:t>
      </w:r>
      <w:r w:rsidRPr="002C2DBC">
        <w:rPr>
          <w:rFonts w:eastAsiaTheme="minorHAnsi" w:cs="Arial"/>
          <w:szCs w:val="24"/>
          <w:lang w:val="nl-NL" w:eastAsia="en-US"/>
        </w:rPr>
        <w:t xml:space="preserve"> 2013)</w:t>
      </w:r>
    </w:p>
    <w:p w14:paraId="49F96732" w14:textId="1C6D76A6" w:rsidR="002B1C53" w:rsidRPr="002C2DBC" w:rsidRDefault="002B1C53" w:rsidP="00F9312C">
      <w:pPr>
        <w:spacing w:line="360" w:lineRule="auto"/>
        <w:rPr>
          <w:rFonts w:cs="Arial"/>
          <w:szCs w:val="24"/>
          <w:lang w:val="nl-NL"/>
        </w:rPr>
      </w:pPr>
      <w:r w:rsidRPr="002C2DBC">
        <w:rPr>
          <w:rFonts w:cs="Arial"/>
          <w:szCs w:val="24"/>
          <w:lang w:val="nl-NL"/>
        </w:rPr>
        <w:t>College voor de Rechten van de Mens</w:t>
      </w:r>
      <w:r w:rsidR="0071507B" w:rsidRPr="002C2DBC">
        <w:rPr>
          <w:rFonts w:cs="Arial"/>
          <w:szCs w:val="24"/>
          <w:lang w:val="nl-NL"/>
        </w:rPr>
        <w:t>,</w:t>
      </w:r>
      <w:r w:rsidRPr="002C2DBC">
        <w:rPr>
          <w:rFonts w:cs="Arial"/>
          <w:szCs w:val="24"/>
          <w:lang w:val="nl-NL"/>
        </w:rPr>
        <w:t xml:space="preserve"> </w:t>
      </w:r>
      <w:r w:rsidRPr="002C2DBC">
        <w:rPr>
          <w:rFonts w:cs="Arial"/>
          <w:i/>
          <w:iCs/>
          <w:szCs w:val="24"/>
          <w:lang w:val="nl-NL"/>
        </w:rPr>
        <w:t>VN-verdrag Handicap in Nederland 2017. Jaarlijkse rapportage over de naleving van het VN-verdrag handicap in Nederland</w:t>
      </w:r>
      <w:r w:rsidRPr="002C2DBC">
        <w:rPr>
          <w:rFonts w:cs="Arial"/>
          <w:szCs w:val="24"/>
          <w:lang w:val="nl-NL"/>
        </w:rPr>
        <w:t xml:space="preserve"> (College voor de Rechten van de Mens 2017).</w:t>
      </w:r>
    </w:p>
    <w:p w14:paraId="4C99BC20" w14:textId="0BEC1E6E" w:rsidR="00DA724C" w:rsidRPr="002C2DBC" w:rsidRDefault="00DA724C" w:rsidP="00F9312C">
      <w:pPr>
        <w:spacing w:line="360" w:lineRule="auto"/>
        <w:rPr>
          <w:szCs w:val="24"/>
          <w:lang w:val="nl-NL"/>
        </w:rPr>
      </w:pPr>
      <w:r w:rsidRPr="002C2DBC">
        <w:rPr>
          <w:szCs w:val="24"/>
          <w:lang w:val="nl-NL"/>
        </w:rPr>
        <w:t xml:space="preserve">College voor de Rechten van de Mens, </w:t>
      </w:r>
      <w:r w:rsidRPr="002C2DBC">
        <w:rPr>
          <w:i/>
          <w:iCs/>
          <w:szCs w:val="24"/>
          <w:lang w:val="nl-NL"/>
        </w:rPr>
        <w:t>Toegankelijkheid van goederen en diensten. Jaarlijkse rapportage over de naleving van het VN-verdrag Handicap in Nederland</w:t>
      </w:r>
      <w:r w:rsidRPr="002C2DBC">
        <w:rPr>
          <w:szCs w:val="24"/>
          <w:lang w:val="nl-NL"/>
        </w:rPr>
        <w:t xml:space="preserve"> (College voor de Rechten van de Mens 2019)</w:t>
      </w:r>
    </w:p>
    <w:p w14:paraId="24E930CB" w14:textId="01D44FCF" w:rsidR="00337106" w:rsidRPr="00337106" w:rsidRDefault="00337106" w:rsidP="00F9312C">
      <w:pPr>
        <w:spacing w:line="360" w:lineRule="auto"/>
        <w:rPr>
          <w:lang w:val="nl-NL"/>
        </w:rPr>
      </w:pPr>
      <w:r>
        <w:rPr>
          <w:lang w:val="nl-NL"/>
        </w:rPr>
        <w:t xml:space="preserve">CROW, </w:t>
      </w:r>
      <w:r w:rsidRPr="00337106">
        <w:rPr>
          <w:i/>
          <w:iCs/>
          <w:lang w:val="nl-NL"/>
        </w:rPr>
        <w:t>ASVV 2012. Aanbevelingen voor verkeersvoorzieningen binnen de bebouwde kom (publicatie 723)</w:t>
      </w:r>
      <w:r>
        <w:rPr>
          <w:lang w:val="nl-NL"/>
        </w:rPr>
        <w:t xml:space="preserve"> </w:t>
      </w:r>
      <w:r w:rsidRPr="00337106">
        <w:rPr>
          <w:lang w:val="nl-NL"/>
        </w:rPr>
        <w:t>(CROW 2012)</w:t>
      </w:r>
    </w:p>
    <w:p w14:paraId="0A8DE3BA" w14:textId="6851ABDE" w:rsidR="00337106" w:rsidRDefault="00337106" w:rsidP="00F9312C">
      <w:pPr>
        <w:spacing w:line="360" w:lineRule="auto"/>
        <w:rPr>
          <w:lang w:val="nl-NL"/>
        </w:rPr>
      </w:pPr>
      <w:r w:rsidRPr="00073051">
        <w:rPr>
          <w:lang w:val="nl-NL"/>
        </w:rPr>
        <w:t xml:space="preserve">R.J.J. Eshuis, B.J. Diephuis, </w:t>
      </w:r>
      <w:r w:rsidRPr="00337106">
        <w:rPr>
          <w:i/>
          <w:iCs/>
          <w:lang w:val="nl-NL"/>
        </w:rPr>
        <w:t>Factsheet 2018-1. Civiele Rechtspraak</w:t>
      </w:r>
      <w:r>
        <w:rPr>
          <w:lang w:val="nl-NL"/>
        </w:rPr>
        <w:t xml:space="preserve"> (Wetenschappelijk Onderzoeks- en Documentatiecentrum 201</w:t>
      </w:r>
      <w:r w:rsidR="0069102A">
        <w:rPr>
          <w:lang w:val="nl-NL"/>
        </w:rPr>
        <w:t>8</w:t>
      </w:r>
      <w:r>
        <w:rPr>
          <w:lang w:val="nl-NL"/>
        </w:rPr>
        <w:t>)</w:t>
      </w:r>
    </w:p>
    <w:p w14:paraId="0612C452" w14:textId="3A1D986E" w:rsidR="002311CC" w:rsidRPr="002C2DBC" w:rsidRDefault="002311CC" w:rsidP="00F9312C">
      <w:pPr>
        <w:spacing w:line="360" w:lineRule="auto"/>
        <w:rPr>
          <w:szCs w:val="24"/>
          <w:lang w:val="nl-NL"/>
        </w:rPr>
      </w:pPr>
      <w:r w:rsidRPr="002C2DBC">
        <w:rPr>
          <w:szCs w:val="24"/>
          <w:lang w:val="nl-NL"/>
        </w:rPr>
        <w:t>Gemeente Utrecht</w:t>
      </w:r>
      <w:r w:rsidR="0071507B" w:rsidRPr="002C2DBC">
        <w:rPr>
          <w:szCs w:val="24"/>
          <w:lang w:val="nl-NL"/>
        </w:rPr>
        <w:t>,</w:t>
      </w:r>
      <w:r w:rsidRPr="002C2DBC">
        <w:rPr>
          <w:szCs w:val="24"/>
          <w:lang w:val="nl-NL"/>
        </w:rPr>
        <w:t xml:space="preserve"> </w:t>
      </w:r>
      <w:r w:rsidRPr="002C2DBC">
        <w:rPr>
          <w:i/>
          <w:iCs/>
          <w:szCs w:val="24"/>
          <w:lang w:val="nl-NL"/>
        </w:rPr>
        <w:t>Agenda 22, Plan 2012-2018</w:t>
      </w:r>
      <w:r w:rsidRPr="002C2DBC">
        <w:rPr>
          <w:szCs w:val="24"/>
          <w:lang w:val="nl-NL"/>
        </w:rPr>
        <w:t xml:space="preserve"> (Gemeente Utrecht 2012)</w:t>
      </w:r>
    </w:p>
    <w:p w14:paraId="75C5B79A" w14:textId="2E8186D0" w:rsidR="002311CC" w:rsidRPr="002C2DBC" w:rsidRDefault="002311CC" w:rsidP="00F9312C">
      <w:pPr>
        <w:spacing w:line="360" w:lineRule="auto"/>
        <w:rPr>
          <w:szCs w:val="24"/>
          <w:lang w:val="nl-NL"/>
        </w:rPr>
      </w:pPr>
      <w:r w:rsidRPr="002C2DBC">
        <w:rPr>
          <w:szCs w:val="24"/>
          <w:lang w:val="nl-NL"/>
        </w:rPr>
        <w:t>Gemeentebestuur Utrecht</w:t>
      </w:r>
      <w:r w:rsidR="0071507B" w:rsidRPr="002C2DBC">
        <w:rPr>
          <w:szCs w:val="24"/>
          <w:lang w:val="nl-NL"/>
        </w:rPr>
        <w:t xml:space="preserve">, </w:t>
      </w:r>
      <w:r w:rsidRPr="002C2DBC">
        <w:rPr>
          <w:i/>
          <w:iCs/>
          <w:szCs w:val="24"/>
          <w:lang w:val="nl-NL"/>
        </w:rPr>
        <w:t>Ruimte voor iedereen. Coalitieakkoord GroenLinks, D66, ChristenUnie, Utrecht 2018-2022</w:t>
      </w:r>
      <w:r w:rsidRPr="002C2DBC">
        <w:rPr>
          <w:szCs w:val="24"/>
          <w:lang w:val="nl-NL"/>
        </w:rPr>
        <w:t xml:space="preserve"> (Gemeente Utrecht 2018)</w:t>
      </w:r>
    </w:p>
    <w:p w14:paraId="792CB562" w14:textId="41CE990B" w:rsidR="00DA724C" w:rsidRPr="002C2DBC" w:rsidRDefault="00DA724C" w:rsidP="00F9312C">
      <w:pPr>
        <w:spacing w:line="360" w:lineRule="auto"/>
        <w:rPr>
          <w:rFonts w:cs="Arial"/>
          <w:szCs w:val="24"/>
          <w:lang w:val="nl-NL"/>
        </w:rPr>
      </w:pPr>
      <w:r w:rsidRPr="002C2DBC">
        <w:rPr>
          <w:rFonts w:cs="Arial"/>
          <w:color w:val="000000"/>
          <w:szCs w:val="24"/>
          <w:lang w:val="nl-NL"/>
        </w:rPr>
        <w:t xml:space="preserve">R. Gijsen, A. Verweij and C. Van den Brink, </w:t>
      </w:r>
      <w:r w:rsidRPr="002C2DBC">
        <w:rPr>
          <w:rFonts w:cs="Arial"/>
          <w:i/>
          <w:iCs/>
          <w:szCs w:val="24"/>
          <w:lang w:val="nl-NL"/>
        </w:rPr>
        <w:t>Cijferoverzicht Programma Onbeperkt meedoen! Indicatoren voor de actielijnen</w:t>
      </w:r>
      <w:r w:rsidRPr="002C2DBC">
        <w:rPr>
          <w:rFonts w:cs="Arial"/>
          <w:szCs w:val="24"/>
          <w:lang w:val="nl-NL"/>
        </w:rPr>
        <w:t xml:space="preserve"> (RIVM 2019)</w:t>
      </w:r>
    </w:p>
    <w:p w14:paraId="2B64208E" w14:textId="48D216A2" w:rsidR="005311A0" w:rsidRPr="002C2DBC" w:rsidRDefault="005311A0" w:rsidP="00F9312C">
      <w:pPr>
        <w:spacing w:line="360" w:lineRule="auto"/>
        <w:rPr>
          <w:szCs w:val="24"/>
          <w:lang w:val="nl-NL"/>
        </w:rPr>
      </w:pPr>
      <w:r w:rsidRPr="002C2DBC">
        <w:rPr>
          <w:rFonts w:cs="Arial"/>
          <w:szCs w:val="24"/>
          <w:lang w:val="nl-NL"/>
        </w:rPr>
        <w:t xml:space="preserve">R. Grosscurt et al, </w:t>
      </w:r>
      <w:r w:rsidRPr="002C2DBC">
        <w:rPr>
          <w:rFonts w:cs="Arial"/>
          <w:i/>
          <w:iCs/>
          <w:szCs w:val="24"/>
          <w:lang w:val="nl-NL"/>
        </w:rPr>
        <w:t>Meting overkoepelende indicatoren programma Onbeperkt meedoen!</w:t>
      </w:r>
      <w:r w:rsidRPr="002C2DBC">
        <w:rPr>
          <w:rFonts w:cs="Arial"/>
          <w:szCs w:val="24"/>
          <w:lang w:val="nl-NL"/>
        </w:rPr>
        <w:t xml:space="preserve"> (Nivel 2019)</w:t>
      </w:r>
    </w:p>
    <w:p w14:paraId="0AAE6DD5" w14:textId="4B244151" w:rsidR="00B10B33" w:rsidRPr="002C2DBC" w:rsidRDefault="00B10B33" w:rsidP="00F9312C">
      <w:pPr>
        <w:spacing w:line="360" w:lineRule="auto"/>
        <w:rPr>
          <w:b/>
          <w:szCs w:val="24"/>
          <w:lang w:val="nl-NL"/>
        </w:rPr>
      </w:pPr>
      <w:r w:rsidRPr="002C2DBC">
        <w:rPr>
          <w:szCs w:val="24"/>
          <w:lang w:val="nl-NL"/>
        </w:rPr>
        <w:t xml:space="preserve">A. Haan, M. Domenie, </w:t>
      </w:r>
      <w:r w:rsidRPr="002C2DBC">
        <w:rPr>
          <w:i/>
          <w:iCs/>
          <w:szCs w:val="24"/>
          <w:lang w:val="nl-NL"/>
        </w:rPr>
        <w:t>Beleidsscan VN-verdrag Handicap</w:t>
      </w:r>
      <w:r w:rsidRPr="002C2DBC">
        <w:rPr>
          <w:szCs w:val="24"/>
          <w:lang w:val="nl-NL"/>
        </w:rPr>
        <w:t>, (NVRR 2019)</w:t>
      </w:r>
    </w:p>
    <w:p w14:paraId="31D9D0B5" w14:textId="6DFF6BAB" w:rsidR="002311CC" w:rsidRPr="002C2DBC" w:rsidRDefault="002311CC" w:rsidP="00F9312C">
      <w:pPr>
        <w:spacing w:line="360" w:lineRule="auto"/>
        <w:rPr>
          <w:szCs w:val="24"/>
          <w:lang w:val="nl-NL"/>
        </w:rPr>
      </w:pPr>
      <w:r w:rsidRPr="002C2DBC">
        <w:rPr>
          <w:szCs w:val="24"/>
          <w:lang w:val="nl-NL"/>
        </w:rPr>
        <w:t xml:space="preserve">J. Haug and F. Schuurman, </w:t>
      </w:r>
      <w:r w:rsidRPr="002C2DBC">
        <w:rPr>
          <w:i/>
          <w:iCs/>
          <w:szCs w:val="24"/>
          <w:lang w:val="nl-NL"/>
        </w:rPr>
        <w:t>Voetpaden voor iedereen</w:t>
      </w:r>
      <w:r w:rsidRPr="002C2DBC">
        <w:rPr>
          <w:szCs w:val="24"/>
          <w:lang w:val="nl-NL"/>
        </w:rPr>
        <w:t xml:space="preserve"> (BAT 2020)</w:t>
      </w:r>
    </w:p>
    <w:p w14:paraId="0DD3B6AD" w14:textId="03ADDA78" w:rsidR="00B10B33" w:rsidRPr="002C2DBC" w:rsidRDefault="00B10B33" w:rsidP="00F9312C">
      <w:pPr>
        <w:spacing w:line="360" w:lineRule="auto"/>
        <w:rPr>
          <w:szCs w:val="24"/>
        </w:rPr>
      </w:pPr>
      <w:r w:rsidRPr="002C2DBC">
        <w:rPr>
          <w:szCs w:val="24"/>
        </w:rPr>
        <w:t xml:space="preserve">H. </w:t>
      </w:r>
      <w:proofErr w:type="spellStart"/>
      <w:r w:rsidRPr="002C2DBC">
        <w:rPr>
          <w:szCs w:val="24"/>
        </w:rPr>
        <w:t>Havekes</w:t>
      </w:r>
      <w:proofErr w:type="spellEnd"/>
      <w:r w:rsidRPr="002C2DBC">
        <w:rPr>
          <w:szCs w:val="24"/>
        </w:rPr>
        <w:t xml:space="preserve">, </w:t>
      </w:r>
      <w:r w:rsidRPr="002C2DBC">
        <w:rPr>
          <w:i/>
          <w:iCs/>
          <w:szCs w:val="24"/>
        </w:rPr>
        <w:t>Water Governance. The Dutch Water Authority Model</w:t>
      </w:r>
      <w:r w:rsidRPr="002C2DBC">
        <w:rPr>
          <w:szCs w:val="24"/>
        </w:rPr>
        <w:t xml:space="preserve"> (Dutch Water Authorities 2017)</w:t>
      </w:r>
    </w:p>
    <w:p w14:paraId="4D8F787F" w14:textId="155E25EC" w:rsidR="001B56A1" w:rsidRPr="002C2DBC" w:rsidRDefault="001B56A1" w:rsidP="00F9312C">
      <w:pPr>
        <w:spacing w:line="360" w:lineRule="auto"/>
        <w:rPr>
          <w:b/>
          <w:szCs w:val="24"/>
          <w:lang w:val="nl-NL"/>
        </w:rPr>
      </w:pPr>
      <w:r w:rsidRPr="002C2DBC">
        <w:rPr>
          <w:szCs w:val="24"/>
          <w:lang w:val="nl-NL"/>
        </w:rPr>
        <w:t xml:space="preserve">N.M.C.P. Jägers </w:t>
      </w:r>
      <w:r w:rsidR="0031283F" w:rsidRPr="002C2DBC">
        <w:rPr>
          <w:szCs w:val="24"/>
          <w:lang w:val="nl-NL"/>
        </w:rPr>
        <w:t>and</w:t>
      </w:r>
      <w:r w:rsidRPr="002C2DBC">
        <w:rPr>
          <w:szCs w:val="24"/>
          <w:lang w:val="nl-NL"/>
        </w:rPr>
        <w:t xml:space="preserve"> J.P. Loof, ‘Commentaar op artikel 1 van de Grondwet’ in E.M.H. Hirsch Ballin en G. Leenknegt (eds.), </w:t>
      </w:r>
      <w:r w:rsidRPr="002C2DBC">
        <w:rPr>
          <w:i/>
          <w:iCs/>
          <w:szCs w:val="24"/>
          <w:lang w:val="nl-NL"/>
        </w:rPr>
        <w:t>Artikelsgewijs commentaar op de Grondwet</w:t>
      </w:r>
      <w:r w:rsidRPr="002C2DBC">
        <w:rPr>
          <w:szCs w:val="24"/>
          <w:lang w:val="nl-NL"/>
        </w:rPr>
        <w:t xml:space="preserve">, </w:t>
      </w:r>
      <w:r w:rsidRPr="002C2DBC">
        <w:rPr>
          <w:i/>
          <w:iCs/>
          <w:szCs w:val="24"/>
          <w:lang w:val="nl-NL"/>
        </w:rPr>
        <w:t>webeditie 2020</w:t>
      </w:r>
      <w:r w:rsidR="00B10B33" w:rsidRPr="002C2DBC">
        <w:rPr>
          <w:i/>
          <w:iCs/>
          <w:szCs w:val="24"/>
          <w:lang w:val="nl-NL"/>
        </w:rPr>
        <w:t>.</w:t>
      </w:r>
    </w:p>
    <w:p w14:paraId="1E6FC5F2" w14:textId="410992E1" w:rsidR="00337106" w:rsidRPr="0069102A" w:rsidRDefault="00337106" w:rsidP="00F9312C">
      <w:pPr>
        <w:spacing w:line="360" w:lineRule="auto"/>
        <w:rPr>
          <w:b/>
          <w:szCs w:val="24"/>
        </w:rPr>
      </w:pPr>
      <w:r w:rsidRPr="0069102A">
        <w:rPr>
          <w:rFonts w:cs="Arial"/>
          <w:szCs w:val="24"/>
        </w:rPr>
        <w:t xml:space="preserve">R. </w:t>
      </w:r>
      <w:proofErr w:type="spellStart"/>
      <w:r w:rsidRPr="0069102A">
        <w:rPr>
          <w:rFonts w:cs="Arial"/>
          <w:szCs w:val="24"/>
        </w:rPr>
        <w:t>Kegge</w:t>
      </w:r>
      <w:proofErr w:type="spellEnd"/>
      <w:r w:rsidRPr="0069102A">
        <w:rPr>
          <w:rFonts w:cs="Arial"/>
          <w:szCs w:val="24"/>
        </w:rPr>
        <w:t xml:space="preserve">, </w:t>
      </w:r>
      <w:proofErr w:type="spellStart"/>
      <w:r w:rsidRPr="0069102A">
        <w:rPr>
          <w:rFonts w:eastAsiaTheme="minorHAnsi" w:cs="Arial"/>
          <w:i/>
          <w:iCs/>
          <w:szCs w:val="24"/>
          <w:lang w:eastAsia="en-US"/>
        </w:rPr>
        <w:t>Interadministrative</w:t>
      </w:r>
      <w:proofErr w:type="spellEnd"/>
      <w:r w:rsidRPr="0069102A">
        <w:rPr>
          <w:rFonts w:eastAsiaTheme="minorHAnsi" w:cs="Arial"/>
          <w:i/>
          <w:iCs/>
          <w:szCs w:val="24"/>
          <w:lang w:eastAsia="en-US"/>
        </w:rPr>
        <w:t xml:space="preserve"> supervision in spatial planning. A legal study of the benefits and the necessity of the reactive instruction as a supervisory instrument in Dutch spatial planning</w:t>
      </w:r>
      <w:r w:rsidRPr="0069102A">
        <w:rPr>
          <w:rFonts w:cs="Arial"/>
          <w:szCs w:val="24"/>
        </w:rPr>
        <w:t xml:space="preserve"> (</w:t>
      </w:r>
      <w:proofErr w:type="spellStart"/>
      <w:r w:rsidRPr="0069102A">
        <w:rPr>
          <w:rFonts w:cs="Arial"/>
          <w:szCs w:val="24"/>
        </w:rPr>
        <w:t>Stichting</w:t>
      </w:r>
      <w:proofErr w:type="spellEnd"/>
      <w:r w:rsidRPr="0069102A">
        <w:rPr>
          <w:rFonts w:cs="Arial"/>
          <w:szCs w:val="24"/>
        </w:rPr>
        <w:t xml:space="preserve"> </w:t>
      </w:r>
      <w:proofErr w:type="spellStart"/>
      <w:r w:rsidRPr="0069102A">
        <w:rPr>
          <w:rFonts w:cs="Arial"/>
          <w:szCs w:val="24"/>
        </w:rPr>
        <w:t>Instituut</w:t>
      </w:r>
      <w:proofErr w:type="spellEnd"/>
      <w:r w:rsidRPr="0069102A">
        <w:rPr>
          <w:rFonts w:cs="Arial"/>
          <w:szCs w:val="24"/>
        </w:rPr>
        <w:t xml:space="preserve"> </w:t>
      </w:r>
      <w:proofErr w:type="spellStart"/>
      <w:r w:rsidRPr="0069102A">
        <w:rPr>
          <w:rFonts w:cs="Arial"/>
          <w:szCs w:val="24"/>
        </w:rPr>
        <w:t>voor</w:t>
      </w:r>
      <w:proofErr w:type="spellEnd"/>
      <w:r w:rsidRPr="0069102A">
        <w:rPr>
          <w:rFonts w:cs="Arial"/>
          <w:szCs w:val="24"/>
        </w:rPr>
        <w:t xml:space="preserve"> </w:t>
      </w:r>
      <w:proofErr w:type="spellStart"/>
      <w:r w:rsidRPr="0069102A">
        <w:rPr>
          <w:rFonts w:cs="Arial"/>
          <w:szCs w:val="24"/>
        </w:rPr>
        <w:t>Bouwrecht</w:t>
      </w:r>
      <w:proofErr w:type="spellEnd"/>
      <w:r w:rsidRPr="0069102A">
        <w:rPr>
          <w:rFonts w:cs="Arial"/>
          <w:szCs w:val="24"/>
        </w:rPr>
        <w:t xml:space="preserve"> 2015)</w:t>
      </w:r>
    </w:p>
    <w:p w14:paraId="205506DA" w14:textId="3F020555" w:rsidR="0071507B" w:rsidRPr="002C2DBC" w:rsidRDefault="00D66E1F" w:rsidP="00F9312C">
      <w:pPr>
        <w:spacing w:line="360" w:lineRule="auto"/>
        <w:rPr>
          <w:rFonts w:eastAsiaTheme="minorHAnsi" w:cs="Arial"/>
          <w:color w:val="000000"/>
          <w:szCs w:val="24"/>
          <w:lang w:val="nl-NL" w:eastAsia="en-US"/>
        </w:rPr>
      </w:pPr>
      <w:r w:rsidRPr="002C2DBC">
        <w:rPr>
          <w:rFonts w:cs="Arial"/>
          <w:szCs w:val="24"/>
          <w:lang w:val="nl-NL"/>
        </w:rPr>
        <w:t xml:space="preserve">A.L.M. Keirse, </w:t>
      </w:r>
      <w:r w:rsidRPr="002C2DBC">
        <w:rPr>
          <w:rFonts w:eastAsiaTheme="minorHAnsi" w:cs="Arial"/>
          <w:i/>
          <w:iCs/>
          <w:color w:val="000000"/>
          <w:szCs w:val="24"/>
          <w:lang w:val="nl-NL" w:eastAsia="en-US"/>
        </w:rPr>
        <w:t>Mogelijkheden schadevoorkomingsplicht via aansprakelijkheidsrecht, Rapportage voor het Ministerie van Infrastructuur en Milieu</w:t>
      </w:r>
      <w:r w:rsidRPr="002C2DBC">
        <w:rPr>
          <w:rFonts w:eastAsiaTheme="minorHAnsi" w:cs="Arial"/>
          <w:color w:val="000000"/>
          <w:szCs w:val="24"/>
          <w:lang w:val="nl-NL" w:eastAsia="en-US"/>
        </w:rPr>
        <w:t xml:space="preserve"> </w:t>
      </w:r>
      <w:r w:rsidR="0071507B" w:rsidRPr="002C2DBC">
        <w:rPr>
          <w:rFonts w:eastAsiaTheme="minorHAnsi" w:cs="Arial"/>
          <w:color w:val="000000"/>
          <w:szCs w:val="24"/>
          <w:lang w:val="nl-NL" w:eastAsia="en-US"/>
        </w:rPr>
        <w:t>(</w:t>
      </w:r>
      <w:r w:rsidRPr="002C2DBC">
        <w:rPr>
          <w:rFonts w:eastAsiaTheme="minorHAnsi" w:cs="Arial"/>
          <w:color w:val="000000"/>
          <w:szCs w:val="24"/>
          <w:lang w:val="nl-NL" w:eastAsia="en-US"/>
        </w:rPr>
        <w:t>Utrecht Centre for Accountability and Liability Law</w:t>
      </w:r>
      <w:r w:rsidR="0071507B" w:rsidRPr="002C2DBC">
        <w:rPr>
          <w:rFonts w:eastAsiaTheme="minorHAnsi" w:cs="Arial"/>
          <w:color w:val="000000"/>
          <w:szCs w:val="24"/>
          <w:lang w:val="nl-NL" w:eastAsia="en-US"/>
        </w:rPr>
        <w:t xml:space="preserve"> 2016)</w:t>
      </w:r>
    </w:p>
    <w:p w14:paraId="0F18C7DD" w14:textId="6375C498" w:rsidR="005311A0" w:rsidRPr="002C2DBC" w:rsidRDefault="005311A0" w:rsidP="00F9312C">
      <w:pPr>
        <w:spacing w:line="360" w:lineRule="auto"/>
        <w:rPr>
          <w:b/>
          <w:szCs w:val="24"/>
        </w:rPr>
      </w:pPr>
      <w:r w:rsidRPr="002C2DBC">
        <w:rPr>
          <w:szCs w:val="24"/>
        </w:rPr>
        <w:t xml:space="preserve">Ministry of Health, Welfare and Sports: </w:t>
      </w:r>
      <w:proofErr w:type="spellStart"/>
      <w:r w:rsidRPr="002C2DBC">
        <w:rPr>
          <w:i/>
          <w:iCs/>
          <w:szCs w:val="24"/>
        </w:rPr>
        <w:t>Voortgangsrapportage</w:t>
      </w:r>
      <w:proofErr w:type="spellEnd"/>
      <w:r w:rsidRPr="002C2DBC">
        <w:rPr>
          <w:i/>
          <w:iCs/>
          <w:szCs w:val="24"/>
        </w:rPr>
        <w:t xml:space="preserve"> </w:t>
      </w:r>
      <w:proofErr w:type="spellStart"/>
      <w:r w:rsidRPr="002C2DBC">
        <w:rPr>
          <w:i/>
          <w:iCs/>
          <w:szCs w:val="24"/>
        </w:rPr>
        <w:t>Onbeperkt</w:t>
      </w:r>
      <w:proofErr w:type="spellEnd"/>
      <w:r w:rsidRPr="002C2DBC">
        <w:rPr>
          <w:i/>
          <w:iCs/>
          <w:szCs w:val="24"/>
        </w:rPr>
        <w:t xml:space="preserve"> </w:t>
      </w:r>
      <w:proofErr w:type="spellStart"/>
      <w:r w:rsidRPr="002C2DBC">
        <w:rPr>
          <w:i/>
          <w:iCs/>
          <w:szCs w:val="24"/>
        </w:rPr>
        <w:t>Meedoen</w:t>
      </w:r>
      <w:proofErr w:type="spellEnd"/>
      <w:r w:rsidRPr="002C2DBC">
        <w:rPr>
          <w:i/>
          <w:iCs/>
          <w:szCs w:val="24"/>
        </w:rPr>
        <w:t xml:space="preserve"> 2019</w:t>
      </w:r>
      <w:r w:rsidRPr="002C2DBC">
        <w:rPr>
          <w:szCs w:val="24"/>
        </w:rPr>
        <w:t xml:space="preserve"> (Ministry of Health, Welfare and Sports 2019)</w:t>
      </w:r>
    </w:p>
    <w:p w14:paraId="44AA909E" w14:textId="7A2BCD03" w:rsidR="00DA724C" w:rsidRPr="002C2DBC" w:rsidRDefault="00DA724C" w:rsidP="00F9312C">
      <w:pPr>
        <w:spacing w:line="360" w:lineRule="auto"/>
        <w:rPr>
          <w:b/>
          <w:szCs w:val="24"/>
          <w:lang w:val="nl-NL"/>
        </w:rPr>
      </w:pPr>
      <w:r w:rsidRPr="002C2DBC">
        <w:rPr>
          <w:szCs w:val="24"/>
          <w:lang w:val="nl-NL"/>
        </w:rPr>
        <w:t xml:space="preserve">Ministry of Infrastructure and Environment, </w:t>
      </w:r>
      <w:r w:rsidRPr="002C2DBC">
        <w:rPr>
          <w:rFonts w:eastAsiaTheme="minorHAnsi" w:cs="Arial"/>
          <w:i/>
          <w:iCs/>
          <w:color w:val="000000" w:themeColor="text1"/>
          <w:szCs w:val="24"/>
          <w:lang w:val="nl-NL" w:eastAsia="en-US"/>
        </w:rPr>
        <w:t>Structuurvisie Infrastructuur en Ruimte. Nederland concurrerend, bereikbaar, leefbaar en veilig</w:t>
      </w:r>
      <w:r w:rsidRPr="002C2DBC">
        <w:rPr>
          <w:rFonts w:eastAsiaTheme="minorHAnsi" w:cs="Arial"/>
          <w:color w:val="000000" w:themeColor="text1"/>
          <w:szCs w:val="24"/>
          <w:lang w:val="nl-NL" w:eastAsia="en-US"/>
        </w:rPr>
        <w:t xml:space="preserve"> (</w:t>
      </w:r>
      <w:r w:rsidRPr="002C2DBC">
        <w:rPr>
          <w:szCs w:val="24"/>
          <w:lang w:val="nl-NL"/>
        </w:rPr>
        <w:t xml:space="preserve">Ministry </w:t>
      </w:r>
      <w:r w:rsidR="0097599D">
        <w:rPr>
          <w:szCs w:val="24"/>
          <w:lang w:val="nl-NL"/>
        </w:rPr>
        <w:t>for</w:t>
      </w:r>
      <w:r w:rsidRPr="002C2DBC">
        <w:rPr>
          <w:szCs w:val="24"/>
          <w:lang w:val="nl-NL"/>
        </w:rPr>
        <w:t xml:space="preserve"> Infrastructure and </w:t>
      </w:r>
      <w:r w:rsidR="0097599D">
        <w:rPr>
          <w:szCs w:val="24"/>
          <w:lang w:val="nl-NL"/>
        </w:rPr>
        <w:t xml:space="preserve">the </w:t>
      </w:r>
      <w:r w:rsidRPr="002C2DBC">
        <w:rPr>
          <w:szCs w:val="24"/>
          <w:lang w:val="nl-NL"/>
        </w:rPr>
        <w:t>Environment 2012)</w:t>
      </w:r>
    </w:p>
    <w:p w14:paraId="43BB927E" w14:textId="1E7FA6B7" w:rsidR="00DA724C" w:rsidRPr="00CE4642" w:rsidRDefault="00BE0368" w:rsidP="00F9312C">
      <w:pPr>
        <w:spacing w:line="360" w:lineRule="auto"/>
        <w:rPr>
          <w:b/>
          <w:szCs w:val="24"/>
        </w:rPr>
      </w:pPr>
      <w:proofErr w:type="spellStart"/>
      <w:r w:rsidRPr="00515803">
        <w:t>National</w:t>
      </w:r>
      <w:r>
        <w:t>e</w:t>
      </w:r>
      <w:proofErr w:type="spellEnd"/>
      <w:r w:rsidRPr="00515803">
        <w:t xml:space="preserve"> Ombudsman</w:t>
      </w:r>
      <w:r>
        <w:t xml:space="preserve">, </w:t>
      </w:r>
      <w:proofErr w:type="spellStart"/>
      <w:r w:rsidRPr="00BE0368">
        <w:rPr>
          <w:i/>
          <w:iCs/>
        </w:rPr>
        <w:t>Zorgen</w:t>
      </w:r>
      <w:proofErr w:type="spellEnd"/>
      <w:r w:rsidRPr="00BE0368">
        <w:rPr>
          <w:i/>
          <w:iCs/>
        </w:rPr>
        <w:t xml:space="preserve"> </w:t>
      </w:r>
      <w:proofErr w:type="spellStart"/>
      <w:r w:rsidRPr="00BE0368">
        <w:rPr>
          <w:i/>
          <w:iCs/>
        </w:rPr>
        <w:t>voor</w:t>
      </w:r>
      <w:proofErr w:type="spellEnd"/>
      <w:r w:rsidRPr="00BE0368">
        <w:rPr>
          <w:i/>
          <w:iCs/>
        </w:rPr>
        <w:t xml:space="preserve"> Burgers</w:t>
      </w:r>
      <w:r>
        <w:t xml:space="preserve"> (‘</w:t>
      </w:r>
      <w:r w:rsidRPr="00515803">
        <w:rPr>
          <w:i/>
          <w:iCs/>
        </w:rPr>
        <w:t>Care for citizens</w:t>
      </w:r>
      <w:r>
        <w:t>’) (</w:t>
      </w:r>
      <w:proofErr w:type="spellStart"/>
      <w:r w:rsidRPr="00515803">
        <w:t>National</w:t>
      </w:r>
      <w:r>
        <w:t>e</w:t>
      </w:r>
      <w:proofErr w:type="spellEnd"/>
      <w:r w:rsidRPr="00515803">
        <w:t xml:space="preserve"> Ombudsman</w:t>
      </w:r>
      <w:r>
        <w:t xml:space="preserve"> 2018)</w:t>
      </w:r>
    </w:p>
    <w:p w14:paraId="046729AA" w14:textId="7B554557" w:rsidR="009A6322" w:rsidRPr="00CE4642" w:rsidRDefault="009A6322" w:rsidP="00F9312C">
      <w:pPr>
        <w:spacing w:line="360" w:lineRule="auto"/>
        <w:rPr>
          <w:b/>
          <w:szCs w:val="24"/>
          <w:lang w:val="nl-NL"/>
        </w:rPr>
      </w:pPr>
      <w:r w:rsidRPr="002C2DBC">
        <w:rPr>
          <w:szCs w:val="24"/>
        </w:rPr>
        <w:t xml:space="preserve">Netherlands Institute for Human Rights, </w:t>
      </w:r>
      <w:r w:rsidRPr="002C2DBC">
        <w:rPr>
          <w:rStyle w:val="A0"/>
          <w:rFonts w:cs="Arial"/>
          <w:b w:val="0"/>
          <w:i/>
          <w:iCs/>
          <w:sz w:val="24"/>
          <w:szCs w:val="24"/>
        </w:rPr>
        <w:t>Submission to the committee on the Rights of Persons with Disabilities</w:t>
      </w:r>
      <w:r w:rsidRPr="002C2DBC">
        <w:rPr>
          <w:b/>
          <w:i/>
          <w:iCs/>
          <w:szCs w:val="24"/>
        </w:rPr>
        <w:t xml:space="preserve">, </w:t>
      </w:r>
      <w:r w:rsidRPr="002C2DBC">
        <w:rPr>
          <w:i/>
          <w:iCs/>
          <w:szCs w:val="24"/>
        </w:rPr>
        <w:t>concerning the initial report of the Netherlands</w:t>
      </w:r>
      <w:r w:rsidRPr="002C2DBC">
        <w:rPr>
          <w:szCs w:val="24"/>
        </w:rPr>
        <w:t xml:space="preserve">. </w:t>
      </w:r>
      <w:r w:rsidRPr="00CE4642">
        <w:rPr>
          <w:szCs w:val="24"/>
          <w:lang w:val="nl-NL"/>
        </w:rPr>
        <w:t>(Netherlands Institute for Human Rights 2018)</w:t>
      </w:r>
    </w:p>
    <w:p w14:paraId="42FF5242" w14:textId="09CF9BD0" w:rsidR="0069102A" w:rsidRDefault="0069102A" w:rsidP="00F9312C">
      <w:pPr>
        <w:spacing w:line="360" w:lineRule="auto"/>
        <w:rPr>
          <w:rFonts w:cs="Arial"/>
          <w:szCs w:val="24"/>
        </w:rPr>
      </w:pPr>
      <w:r w:rsidRPr="0069102A">
        <w:rPr>
          <w:rFonts w:cs="Arial"/>
          <w:szCs w:val="24"/>
          <w:lang w:val="nl-NL"/>
        </w:rPr>
        <w:t xml:space="preserve">B. Olij and H. van der Does, </w:t>
      </w:r>
      <w:r w:rsidRPr="0069102A">
        <w:rPr>
          <w:rFonts w:cs="Arial"/>
          <w:i/>
          <w:iCs/>
          <w:szCs w:val="24"/>
          <w:lang w:val="nl-NL"/>
        </w:rPr>
        <w:t xml:space="preserve">Verkeersongevallen 2018, SEH-bezoeken. </w:t>
      </w:r>
      <w:r w:rsidRPr="0069102A">
        <w:rPr>
          <w:rFonts w:cs="Arial"/>
          <w:i/>
          <w:iCs/>
          <w:szCs w:val="24"/>
        </w:rPr>
        <w:t>Rapport 818</w:t>
      </w:r>
      <w:r w:rsidRPr="0069102A">
        <w:rPr>
          <w:rFonts w:cs="Arial"/>
          <w:szCs w:val="24"/>
        </w:rPr>
        <w:t xml:space="preserve"> (</w:t>
      </w:r>
      <w:proofErr w:type="spellStart"/>
      <w:r w:rsidRPr="0069102A">
        <w:rPr>
          <w:rFonts w:cs="Arial"/>
          <w:szCs w:val="24"/>
        </w:rPr>
        <w:t>VeiligheidNL</w:t>
      </w:r>
      <w:proofErr w:type="spellEnd"/>
      <w:r w:rsidRPr="0069102A">
        <w:rPr>
          <w:rFonts w:cs="Arial"/>
          <w:szCs w:val="24"/>
        </w:rPr>
        <w:t xml:space="preserve"> 2019)</w:t>
      </w:r>
    </w:p>
    <w:p w14:paraId="3BB1425D" w14:textId="1DD6E617" w:rsidR="009A6322" w:rsidRPr="002C2DBC" w:rsidRDefault="009A6322" w:rsidP="00F9312C">
      <w:pPr>
        <w:spacing w:line="360" w:lineRule="auto"/>
        <w:rPr>
          <w:rStyle w:val="st"/>
          <w:szCs w:val="24"/>
        </w:rPr>
      </w:pPr>
      <w:r w:rsidRPr="002C2DBC">
        <w:rPr>
          <w:szCs w:val="24"/>
        </w:rPr>
        <w:t xml:space="preserve">Barbara M. </w:t>
      </w:r>
      <w:proofErr w:type="spellStart"/>
      <w:r w:rsidRPr="002C2DBC">
        <w:rPr>
          <w:szCs w:val="24"/>
        </w:rPr>
        <w:t>Oomen</w:t>
      </w:r>
      <w:proofErr w:type="spellEnd"/>
      <w:r w:rsidRPr="002C2DBC">
        <w:rPr>
          <w:szCs w:val="24"/>
        </w:rPr>
        <w:t xml:space="preserve">, ‘Between Signing and Ratifying: </w:t>
      </w:r>
      <w:proofErr w:type="spellStart"/>
      <w:r w:rsidRPr="002C2DBC">
        <w:rPr>
          <w:szCs w:val="24"/>
        </w:rPr>
        <w:t>Preratification</w:t>
      </w:r>
      <w:proofErr w:type="spellEnd"/>
      <w:r w:rsidRPr="002C2DBC">
        <w:rPr>
          <w:szCs w:val="24"/>
        </w:rPr>
        <w:t xml:space="preserve"> Politics, the Disability Convention, and the Dutch’ [2018] </w:t>
      </w:r>
      <w:r w:rsidR="002C2DBC" w:rsidRPr="002C2DBC">
        <w:rPr>
          <w:szCs w:val="24"/>
        </w:rPr>
        <w:t xml:space="preserve">in: </w:t>
      </w:r>
      <w:r w:rsidRPr="002C2DBC">
        <w:rPr>
          <w:szCs w:val="24"/>
        </w:rPr>
        <w:t xml:space="preserve">Human Rights Quarterly, </w:t>
      </w:r>
      <w:r w:rsidRPr="002C2DBC">
        <w:rPr>
          <w:rStyle w:val="st"/>
          <w:szCs w:val="24"/>
        </w:rPr>
        <w:t>40 (2)</w:t>
      </w:r>
    </w:p>
    <w:p w14:paraId="5C07B1A8" w14:textId="052D82C3" w:rsidR="005311A0" w:rsidRPr="002C2DBC" w:rsidRDefault="005311A0" w:rsidP="00F9312C">
      <w:pPr>
        <w:spacing w:line="360" w:lineRule="auto"/>
        <w:rPr>
          <w:szCs w:val="24"/>
          <w:lang w:val="nl-NL"/>
        </w:rPr>
      </w:pPr>
      <w:r w:rsidRPr="002C2DBC">
        <w:rPr>
          <w:szCs w:val="24"/>
          <w:lang w:val="nl-NL"/>
        </w:rPr>
        <w:t xml:space="preserve">Openbaar Ministerie, </w:t>
      </w:r>
      <w:r w:rsidRPr="002C2DBC">
        <w:rPr>
          <w:i/>
          <w:iCs/>
          <w:szCs w:val="24"/>
          <w:lang w:val="nl-NL"/>
        </w:rPr>
        <w:t>Cijfers in Beeld 2019. Overzicht discriminatiecijfers Openbaar Ministerie</w:t>
      </w:r>
      <w:r w:rsidRPr="002C2DBC">
        <w:rPr>
          <w:szCs w:val="24"/>
          <w:lang w:val="nl-NL"/>
        </w:rPr>
        <w:t xml:space="preserve">  (Openbaar Ministerie 2020)</w:t>
      </w:r>
    </w:p>
    <w:p w14:paraId="28BF7614" w14:textId="69B87A42" w:rsidR="002B1C53" w:rsidRPr="002C2DBC" w:rsidRDefault="002B1C53" w:rsidP="00F9312C">
      <w:pPr>
        <w:spacing w:line="360" w:lineRule="auto"/>
        <w:rPr>
          <w:szCs w:val="24"/>
          <w:lang w:val="nl-NL"/>
        </w:rPr>
      </w:pPr>
      <w:r w:rsidRPr="002C2DBC">
        <w:rPr>
          <w:szCs w:val="24"/>
          <w:lang w:val="nl-NL"/>
        </w:rPr>
        <w:t>PBT Consult</w:t>
      </w:r>
      <w:r w:rsidR="002C2DBC" w:rsidRPr="002C2DBC">
        <w:rPr>
          <w:szCs w:val="24"/>
          <w:lang w:val="nl-NL"/>
        </w:rPr>
        <w:t>,</w:t>
      </w:r>
      <w:r w:rsidRPr="002C2DBC">
        <w:rPr>
          <w:szCs w:val="24"/>
          <w:lang w:val="nl-NL"/>
        </w:rPr>
        <w:t xml:space="preserve"> </w:t>
      </w:r>
      <w:r w:rsidRPr="002C2DBC">
        <w:rPr>
          <w:i/>
          <w:iCs/>
          <w:szCs w:val="24"/>
          <w:lang w:val="nl-NL"/>
        </w:rPr>
        <w:t xml:space="preserve">Integrale Standaard Toegankelijkheid 2018 </w:t>
      </w:r>
      <w:r w:rsidRPr="002C2DBC">
        <w:rPr>
          <w:szCs w:val="24"/>
          <w:lang w:val="nl-NL"/>
        </w:rPr>
        <w:t>(PBT Consult 2018)</w:t>
      </w:r>
    </w:p>
    <w:p w14:paraId="73F2078D" w14:textId="23A4B14A" w:rsidR="00B10B33" w:rsidRPr="00CE4642" w:rsidRDefault="00B10B33" w:rsidP="00F9312C">
      <w:pPr>
        <w:spacing w:line="360" w:lineRule="auto"/>
        <w:rPr>
          <w:rFonts w:cs="Arial"/>
          <w:szCs w:val="24"/>
          <w:lang w:val="nl-NL"/>
        </w:rPr>
      </w:pPr>
      <w:r w:rsidRPr="002C2DBC">
        <w:rPr>
          <w:szCs w:val="24"/>
          <w:lang w:val="nl-NL"/>
        </w:rPr>
        <w:t xml:space="preserve">K. </w:t>
      </w:r>
      <w:r w:rsidRPr="002C2DBC">
        <w:rPr>
          <w:rFonts w:cs="Arial"/>
          <w:szCs w:val="24"/>
          <w:lang w:val="nl-NL"/>
        </w:rPr>
        <w:t xml:space="preserve">Peijs, </w:t>
      </w:r>
      <w:r w:rsidRPr="002C2DBC">
        <w:rPr>
          <w:rFonts w:cs="Arial"/>
          <w:i/>
          <w:iCs/>
          <w:szCs w:val="24"/>
          <w:lang w:val="nl-NL"/>
        </w:rPr>
        <w:t>Bestuurlijke verkenning waterschapswegen. Waar een wil is, is een weg</w:t>
      </w:r>
      <w:r w:rsidRPr="002C2DBC">
        <w:rPr>
          <w:rFonts w:cs="Arial"/>
          <w:szCs w:val="24"/>
          <w:lang w:val="nl-NL"/>
        </w:rPr>
        <w:t xml:space="preserve">. </w:t>
      </w:r>
      <w:r w:rsidRPr="00CE4642">
        <w:rPr>
          <w:rFonts w:cs="Arial"/>
          <w:szCs w:val="24"/>
          <w:lang w:val="nl-NL"/>
        </w:rPr>
        <w:t>(Ministry for Infrastructure and the Environment 2018)</w:t>
      </w:r>
    </w:p>
    <w:p w14:paraId="429BF13D" w14:textId="41543125" w:rsidR="00BE0368" w:rsidRPr="00BE0368" w:rsidRDefault="00BE0368" w:rsidP="00F9312C">
      <w:pPr>
        <w:spacing w:line="360" w:lineRule="auto"/>
        <w:rPr>
          <w:lang w:val="nl-NL"/>
        </w:rPr>
      </w:pPr>
      <w:r w:rsidRPr="00BF4BE6">
        <w:rPr>
          <w:lang w:val="nl-NL"/>
        </w:rPr>
        <w:t xml:space="preserve">G. de Ruiter et al, </w:t>
      </w:r>
      <w:r w:rsidRPr="00BE0368">
        <w:rPr>
          <w:i/>
          <w:iCs/>
          <w:lang w:val="nl-NL"/>
        </w:rPr>
        <w:t>Zorgthermometer ggz</w:t>
      </w:r>
      <w:r>
        <w:rPr>
          <w:lang w:val="nl-NL"/>
        </w:rPr>
        <w:t xml:space="preserve"> </w:t>
      </w:r>
      <w:r w:rsidRPr="00BE0368">
        <w:rPr>
          <w:lang w:val="nl-NL"/>
        </w:rPr>
        <w:t>(Vektis 2017)</w:t>
      </w:r>
    </w:p>
    <w:p w14:paraId="00323449" w14:textId="3209B449" w:rsidR="002B1C53" w:rsidRPr="002C2DBC" w:rsidRDefault="002B1C53" w:rsidP="00F9312C">
      <w:pPr>
        <w:spacing w:line="360" w:lineRule="auto"/>
        <w:rPr>
          <w:rFonts w:cs="Arial"/>
          <w:szCs w:val="24"/>
          <w:lang w:val="nl-NL"/>
        </w:rPr>
      </w:pPr>
      <w:r w:rsidRPr="002C2DBC">
        <w:rPr>
          <w:szCs w:val="24"/>
          <w:lang w:val="nl-NL"/>
        </w:rPr>
        <w:t>Samenwerkende BRU-gemeenten</w:t>
      </w:r>
      <w:r w:rsidR="00EF372C">
        <w:rPr>
          <w:szCs w:val="24"/>
          <w:lang w:val="nl-NL"/>
        </w:rPr>
        <w:t>,</w:t>
      </w:r>
      <w:r w:rsidRPr="002C2DBC">
        <w:rPr>
          <w:szCs w:val="24"/>
          <w:lang w:val="nl-NL"/>
        </w:rPr>
        <w:t xml:space="preserve"> </w:t>
      </w:r>
      <w:r w:rsidRPr="002C2DBC">
        <w:rPr>
          <w:i/>
          <w:iCs/>
          <w:szCs w:val="24"/>
          <w:lang w:val="nl-NL"/>
        </w:rPr>
        <w:t>Snel, betrouwbaar en effectief. OV visie voor de regio Utrecht</w:t>
      </w:r>
      <w:r w:rsidRPr="002C2DBC">
        <w:rPr>
          <w:szCs w:val="24"/>
          <w:lang w:val="nl-NL"/>
        </w:rPr>
        <w:t xml:space="preserve"> (Bestuur Regio Utrecht 2012)</w:t>
      </w:r>
    </w:p>
    <w:p w14:paraId="0FAFB62B" w14:textId="1B9D95DA" w:rsidR="005F36C0" w:rsidRPr="005F36C0" w:rsidRDefault="005F36C0" w:rsidP="00F9312C">
      <w:pPr>
        <w:spacing w:line="360" w:lineRule="auto"/>
        <w:rPr>
          <w:szCs w:val="24"/>
          <w:lang w:val="nl-NL"/>
        </w:rPr>
      </w:pPr>
      <w:r w:rsidRPr="005F36C0">
        <w:rPr>
          <w:rFonts w:cs="Arial"/>
          <w:szCs w:val="24"/>
          <w:lang w:val="nl-NL"/>
        </w:rPr>
        <w:t xml:space="preserve">S. Schaap and M. Dijkshoorn, </w:t>
      </w:r>
      <w:r w:rsidRPr="005F36C0">
        <w:rPr>
          <w:rFonts w:cs="Arial"/>
          <w:i/>
          <w:iCs/>
          <w:szCs w:val="24"/>
          <w:lang w:val="nl-NL"/>
        </w:rPr>
        <w:t>Reguleren van drukte in de openbare ruimte. Handreiking crowd management bij het verantwoord openstellen</w:t>
      </w:r>
      <w:r w:rsidRPr="005F36C0">
        <w:rPr>
          <w:rFonts w:cs="Arial"/>
          <w:szCs w:val="24"/>
          <w:lang w:val="nl-NL"/>
        </w:rPr>
        <w:t>. (Vereniging Nederlandse Gemeenten 2020)</w:t>
      </w:r>
    </w:p>
    <w:p w14:paraId="65A17D00" w14:textId="4603826F" w:rsidR="0069102A" w:rsidRPr="0069102A" w:rsidRDefault="0069102A" w:rsidP="00F9312C">
      <w:pPr>
        <w:spacing w:line="360" w:lineRule="auto"/>
        <w:rPr>
          <w:szCs w:val="20"/>
          <w:lang w:val="nl-NL"/>
        </w:rPr>
      </w:pPr>
      <w:r w:rsidRPr="00A555E0">
        <w:rPr>
          <w:szCs w:val="20"/>
          <w:lang w:val="nl-NL"/>
        </w:rPr>
        <w:t>J.P. Schepers and R</w:t>
      </w:r>
      <w:r w:rsidR="0097599D">
        <w:rPr>
          <w:szCs w:val="20"/>
          <w:lang w:val="nl-NL"/>
        </w:rPr>
        <w:t>.</w:t>
      </w:r>
      <w:r w:rsidRPr="00A555E0">
        <w:rPr>
          <w:szCs w:val="20"/>
          <w:lang w:val="nl-NL"/>
        </w:rPr>
        <w:t xml:space="preserve"> Methorst, </w:t>
      </w:r>
      <w:r w:rsidRPr="0069102A">
        <w:rPr>
          <w:rFonts w:eastAsiaTheme="minorHAnsi" w:cs="Arial"/>
          <w:i/>
          <w:iCs/>
          <w:color w:val="000000"/>
          <w:szCs w:val="20"/>
          <w:lang w:val="nl-NL" w:eastAsia="en-US"/>
        </w:rPr>
        <w:t>Voetgangersveiligheid erkenning van onveiligheid, oorzaken en beleidsmogelijkheden</w:t>
      </w:r>
      <w:r w:rsidRPr="00A555E0">
        <w:rPr>
          <w:rFonts w:eastAsiaTheme="minorHAnsi" w:cs="Arial"/>
          <w:color w:val="000000"/>
          <w:szCs w:val="20"/>
          <w:lang w:val="nl-NL" w:eastAsia="en-US"/>
        </w:rPr>
        <w:t xml:space="preserve"> </w:t>
      </w:r>
      <w:r>
        <w:rPr>
          <w:szCs w:val="20"/>
          <w:lang w:val="nl-NL"/>
        </w:rPr>
        <w:t>(</w:t>
      </w:r>
      <w:r w:rsidRPr="0069102A">
        <w:rPr>
          <w:szCs w:val="20"/>
          <w:lang w:val="nl-NL"/>
        </w:rPr>
        <w:t>SWOV 2012)</w:t>
      </w:r>
    </w:p>
    <w:p w14:paraId="24A8B37D" w14:textId="3E1A0B73" w:rsidR="0031283F" w:rsidRPr="002C2DBC" w:rsidRDefault="0031283F" w:rsidP="00F9312C">
      <w:pPr>
        <w:spacing w:line="360" w:lineRule="auto"/>
        <w:rPr>
          <w:b/>
          <w:szCs w:val="24"/>
          <w:lang w:val="nl-NL"/>
        </w:rPr>
      </w:pPr>
      <w:r w:rsidRPr="002C2DBC">
        <w:rPr>
          <w:rFonts w:cs="Arial"/>
          <w:szCs w:val="24"/>
          <w:lang w:val="nl-NL"/>
        </w:rPr>
        <w:t xml:space="preserve">J. Schoonheim and J. Smits, </w:t>
      </w:r>
      <w:r w:rsidRPr="002C2DBC">
        <w:rPr>
          <w:rFonts w:cs="Arial"/>
          <w:i/>
          <w:iCs/>
          <w:szCs w:val="24"/>
          <w:lang w:val="nl-NL"/>
        </w:rPr>
        <w:t>Schaduwrapportage Verdrag inzake de rechten van personen met een handicap in Nederland</w:t>
      </w:r>
      <w:r w:rsidRPr="002C2DBC">
        <w:rPr>
          <w:rFonts w:cs="Arial"/>
          <w:szCs w:val="24"/>
          <w:lang w:val="nl-NL"/>
        </w:rPr>
        <w:t xml:space="preserve"> (Ieder(in) 2019)</w:t>
      </w:r>
    </w:p>
    <w:p w14:paraId="0093F1E2" w14:textId="222D0238" w:rsidR="005311A0" w:rsidRPr="002C2DBC" w:rsidRDefault="005311A0" w:rsidP="00F9312C">
      <w:pPr>
        <w:spacing w:line="360" w:lineRule="auto"/>
        <w:rPr>
          <w:szCs w:val="24"/>
        </w:rPr>
      </w:pPr>
      <w:r w:rsidRPr="002C2DBC">
        <w:rPr>
          <w:szCs w:val="24"/>
        </w:rPr>
        <w:t>L. Waddington, ‘The domestication of the CRPD, Domestic Legal Status of the CRPD and relevance for Court Judgments’, in Waddington, L. and Lawson, A. (</w:t>
      </w:r>
      <w:proofErr w:type="spellStart"/>
      <w:r w:rsidRPr="002C2DBC">
        <w:rPr>
          <w:szCs w:val="24"/>
        </w:rPr>
        <w:t>eds</w:t>
      </w:r>
      <w:proofErr w:type="spellEnd"/>
      <w:r w:rsidRPr="002C2DBC">
        <w:rPr>
          <w:szCs w:val="24"/>
        </w:rPr>
        <w:t xml:space="preserve">), </w:t>
      </w:r>
      <w:r w:rsidRPr="002C2DBC">
        <w:rPr>
          <w:i/>
          <w:szCs w:val="24"/>
        </w:rPr>
        <w:t xml:space="preserve">The UN Convention on </w:t>
      </w:r>
      <w:proofErr w:type="spellStart"/>
      <w:r w:rsidRPr="002C2DBC">
        <w:rPr>
          <w:i/>
          <w:szCs w:val="24"/>
        </w:rPr>
        <w:t>te</w:t>
      </w:r>
      <w:proofErr w:type="spellEnd"/>
      <w:r w:rsidRPr="002C2DBC">
        <w:rPr>
          <w:i/>
          <w:szCs w:val="24"/>
        </w:rPr>
        <w:t xml:space="preserve"> Rights of Persons with Disabilities, A comparative analysis of the Role of Courts, </w:t>
      </w:r>
      <w:r w:rsidRPr="002C2DBC">
        <w:rPr>
          <w:szCs w:val="24"/>
        </w:rPr>
        <w:t>(Oxford University Press 2018)</w:t>
      </w:r>
    </w:p>
    <w:p w14:paraId="3D179EC9" w14:textId="08361824" w:rsidR="005311A0" w:rsidRDefault="005311A0" w:rsidP="00F9312C">
      <w:pPr>
        <w:spacing w:line="360" w:lineRule="auto"/>
      </w:pPr>
      <w:r w:rsidRPr="002523C3">
        <w:t xml:space="preserve">G. </w:t>
      </w:r>
      <w:proofErr w:type="spellStart"/>
      <w:r w:rsidRPr="002523C3">
        <w:t>Walz</w:t>
      </w:r>
      <w:proofErr w:type="spellEnd"/>
      <w:r w:rsidRPr="002523C3">
        <w:t xml:space="preserve">, S. van Bon and B. </w:t>
      </w:r>
      <w:proofErr w:type="spellStart"/>
      <w:r w:rsidRPr="002523C3">
        <w:t>Fiere</w:t>
      </w:r>
      <w:proofErr w:type="spellEnd"/>
      <w:r>
        <w:t xml:space="preserve">, </w:t>
      </w:r>
      <w:proofErr w:type="spellStart"/>
      <w:r w:rsidRPr="005F4978">
        <w:rPr>
          <w:i/>
          <w:iCs/>
        </w:rPr>
        <w:t>Discriminatiecijfers</w:t>
      </w:r>
      <w:proofErr w:type="spellEnd"/>
      <w:r w:rsidRPr="005F4978">
        <w:rPr>
          <w:i/>
          <w:iCs/>
        </w:rPr>
        <w:t xml:space="preserve"> in 2019</w:t>
      </w:r>
      <w:r>
        <w:t>, (Art.1 2020)</w:t>
      </w:r>
    </w:p>
    <w:p w14:paraId="42A0708C" w14:textId="77777777" w:rsidR="007639C5" w:rsidRDefault="007639C5" w:rsidP="00F9312C">
      <w:pPr>
        <w:spacing w:line="360" w:lineRule="auto"/>
        <w:rPr>
          <w:b/>
        </w:rPr>
      </w:pPr>
    </w:p>
    <w:p w14:paraId="60F03CB2" w14:textId="7D29AB60" w:rsidR="005F0C1F" w:rsidRPr="00CE4642" w:rsidRDefault="005F0C1F" w:rsidP="00F9312C">
      <w:pPr>
        <w:pStyle w:val="Heading1"/>
        <w:spacing w:line="360" w:lineRule="auto"/>
      </w:pPr>
      <w:r w:rsidRPr="00CE4642">
        <w:t>Table of Legislation</w:t>
      </w:r>
    </w:p>
    <w:p w14:paraId="18D1A323" w14:textId="203B492E" w:rsidR="008A5CD8" w:rsidRPr="00D7230A" w:rsidRDefault="008A5CD8" w:rsidP="00F9312C">
      <w:pPr>
        <w:pStyle w:val="Heading2"/>
        <w:spacing w:line="360" w:lineRule="auto"/>
        <w:rPr>
          <w:lang w:val="nl-NL"/>
        </w:rPr>
      </w:pPr>
      <w:r w:rsidRPr="00D7230A">
        <w:rPr>
          <w:lang w:val="nl-NL"/>
        </w:rPr>
        <w:t>Laws</w:t>
      </w:r>
    </w:p>
    <w:p w14:paraId="2DBA6DA4" w14:textId="59BBA8CC" w:rsidR="007424CE" w:rsidRPr="007424CE" w:rsidRDefault="007424CE" w:rsidP="00F9312C">
      <w:pPr>
        <w:spacing w:line="360" w:lineRule="auto"/>
        <w:rPr>
          <w:bCs/>
          <w:lang w:val="nl-NL"/>
        </w:rPr>
      </w:pPr>
      <w:r w:rsidRPr="007424CE">
        <w:rPr>
          <w:bCs/>
          <w:lang w:val="nl-NL"/>
        </w:rPr>
        <w:t>Algemene wet gelijke behandeling</w:t>
      </w:r>
    </w:p>
    <w:p w14:paraId="6826222E" w14:textId="074D8458" w:rsidR="007424CE" w:rsidRPr="00DE35BE" w:rsidRDefault="007424CE" w:rsidP="00F9312C">
      <w:pPr>
        <w:spacing w:line="360" w:lineRule="auto"/>
        <w:rPr>
          <w:bCs/>
          <w:lang w:val="nl-NL"/>
        </w:rPr>
      </w:pPr>
      <w:r w:rsidRPr="00DE35BE">
        <w:rPr>
          <w:bCs/>
          <w:lang w:val="nl-NL"/>
        </w:rPr>
        <w:t>Algemene wet bestuursrecht</w:t>
      </w:r>
    </w:p>
    <w:p w14:paraId="30A7FE24" w14:textId="3DA4C0CB" w:rsidR="005D7CCC" w:rsidRDefault="005D7CCC" w:rsidP="00F9312C">
      <w:pPr>
        <w:spacing w:line="360" w:lineRule="auto"/>
        <w:rPr>
          <w:bCs/>
          <w:lang w:val="nl-NL"/>
        </w:rPr>
      </w:pPr>
      <w:r>
        <w:rPr>
          <w:bCs/>
          <w:lang w:val="nl-NL"/>
        </w:rPr>
        <w:t>Burgerlijk wetboek</w:t>
      </w:r>
    </w:p>
    <w:p w14:paraId="79617BF6" w14:textId="2DB5A2DB" w:rsidR="007424CE" w:rsidRDefault="007424CE" w:rsidP="00F9312C">
      <w:pPr>
        <w:spacing w:line="360" w:lineRule="auto"/>
        <w:rPr>
          <w:bCs/>
          <w:lang w:val="nl-NL"/>
        </w:rPr>
      </w:pPr>
      <w:r>
        <w:rPr>
          <w:bCs/>
          <w:lang w:val="nl-NL"/>
        </w:rPr>
        <w:t>Gemeentewet</w:t>
      </w:r>
    </w:p>
    <w:p w14:paraId="3C0000A3" w14:textId="1AAD7E5A" w:rsidR="005D7CCC" w:rsidRDefault="005D7CCC" w:rsidP="00F9312C">
      <w:pPr>
        <w:spacing w:line="360" w:lineRule="auto"/>
        <w:rPr>
          <w:bCs/>
          <w:lang w:val="nl-NL"/>
        </w:rPr>
      </w:pPr>
      <w:r w:rsidRPr="007337B7">
        <w:rPr>
          <w:rFonts w:eastAsiaTheme="minorHAnsi" w:cs="Arial"/>
          <w:szCs w:val="20"/>
          <w:lang w:val="nl-NL" w:eastAsia="en-US"/>
        </w:rPr>
        <w:t>Goedkeuringswet VN-verdrag inzake de rechten van personen met een handicap</w:t>
      </w:r>
      <w:r>
        <w:rPr>
          <w:rFonts w:eastAsiaTheme="minorHAnsi" w:cs="Arial"/>
          <w:szCs w:val="20"/>
          <w:lang w:val="nl-NL" w:eastAsia="en-US"/>
        </w:rPr>
        <w:t xml:space="preserve"> (2013)</w:t>
      </w:r>
    </w:p>
    <w:p w14:paraId="5A0BEC42" w14:textId="63956964" w:rsidR="00036CE1" w:rsidRDefault="00036CE1" w:rsidP="00F9312C">
      <w:pPr>
        <w:spacing w:line="360" w:lineRule="auto"/>
        <w:rPr>
          <w:bCs/>
          <w:lang w:val="nl-NL"/>
        </w:rPr>
      </w:pPr>
      <w:r>
        <w:rPr>
          <w:bCs/>
          <w:lang w:val="nl-NL"/>
        </w:rPr>
        <w:t>Grondwet</w:t>
      </w:r>
    </w:p>
    <w:p w14:paraId="4178F87C" w14:textId="70ADB9E7" w:rsidR="007424CE" w:rsidRDefault="007424CE" w:rsidP="00F9312C">
      <w:pPr>
        <w:spacing w:line="360" w:lineRule="auto"/>
        <w:rPr>
          <w:bCs/>
          <w:lang w:val="nl-NL"/>
        </w:rPr>
      </w:pPr>
      <w:r w:rsidRPr="007424CE">
        <w:rPr>
          <w:bCs/>
          <w:lang w:val="nl-NL"/>
        </w:rPr>
        <w:t>Pol</w:t>
      </w:r>
      <w:r>
        <w:rPr>
          <w:bCs/>
          <w:lang w:val="nl-NL"/>
        </w:rPr>
        <w:t>itiewet</w:t>
      </w:r>
    </w:p>
    <w:p w14:paraId="469FB1B9" w14:textId="4EB313A9" w:rsidR="007424CE" w:rsidRPr="007424CE" w:rsidRDefault="007424CE" w:rsidP="00F9312C">
      <w:pPr>
        <w:spacing w:line="360" w:lineRule="auto"/>
        <w:rPr>
          <w:bCs/>
          <w:lang w:val="nl-NL"/>
        </w:rPr>
      </w:pPr>
      <w:r>
        <w:rPr>
          <w:bCs/>
          <w:lang w:val="nl-NL"/>
        </w:rPr>
        <w:t>Provinciewet</w:t>
      </w:r>
    </w:p>
    <w:p w14:paraId="46F49F41" w14:textId="52930D51" w:rsidR="005D7CCC" w:rsidRDefault="005D7CCC" w:rsidP="00F9312C">
      <w:pPr>
        <w:spacing w:line="360" w:lineRule="auto"/>
        <w:rPr>
          <w:bCs/>
          <w:lang w:val="nl-NL"/>
        </w:rPr>
      </w:pPr>
      <w:r w:rsidRPr="007337B7">
        <w:rPr>
          <w:rFonts w:eastAsiaTheme="minorHAnsi" w:cs="Arial"/>
          <w:szCs w:val="20"/>
          <w:lang w:val="nl-NL" w:eastAsia="en-US"/>
        </w:rPr>
        <w:t>Uitvoeringswet</w:t>
      </w:r>
      <w:r>
        <w:rPr>
          <w:rFonts w:eastAsiaTheme="minorHAnsi" w:cs="Arial"/>
          <w:szCs w:val="20"/>
          <w:lang w:val="nl-NL" w:eastAsia="en-US"/>
        </w:rPr>
        <w:t xml:space="preserve"> </w:t>
      </w:r>
      <w:r w:rsidRPr="007337B7">
        <w:rPr>
          <w:rFonts w:eastAsiaTheme="minorHAnsi" w:cs="Arial"/>
          <w:szCs w:val="20"/>
          <w:lang w:val="nl-NL" w:eastAsia="en-US"/>
        </w:rPr>
        <w:t>VN-verdrag inzake de rechten van personen met een handicap</w:t>
      </w:r>
      <w:r>
        <w:rPr>
          <w:rFonts w:eastAsiaTheme="minorHAnsi" w:cs="Arial"/>
          <w:szCs w:val="20"/>
          <w:lang w:val="nl-NL" w:eastAsia="en-US"/>
        </w:rPr>
        <w:t xml:space="preserve"> (2013)</w:t>
      </w:r>
    </w:p>
    <w:p w14:paraId="0C72E886" w14:textId="437EEC97" w:rsidR="00826780" w:rsidRDefault="00826780" w:rsidP="00F9312C">
      <w:pPr>
        <w:spacing w:line="360" w:lineRule="auto"/>
        <w:rPr>
          <w:bCs/>
          <w:lang w:val="nl-NL"/>
        </w:rPr>
      </w:pPr>
      <w:r>
        <w:rPr>
          <w:bCs/>
          <w:lang w:val="nl-NL"/>
        </w:rPr>
        <w:t>Waterschapswet</w:t>
      </w:r>
    </w:p>
    <w:p w14:paraId="2301905F" w14:textId="7F7AB9D2" w:rsidR="007424CE" w:rsidRPr="007424CE" w:rsidRDefault="007424CE" w:rsidP="00F9312C">
      <w:pPr>
        <w:spacing w:line="360" w:lineRule="auto"/>
        <w:rPr>
          <w:bCs/>
          <w:lang w:val="nl-NL"/>
        </w:rPr>
      </w:pPr>
      <w:r w:rsidRPr="007424CE">
        <w:rPr>
          <w:bCs/>
          <w:lang w:val="nl-NL"/>
        </w:rPr>
        <w:t>Wegenwet</w:t>
      </w:r>
    </w:p>
    <w:p w14:paraId="1EB6F158" w14:textId="4A10AEA9" w:rsidR="007424CE" w:rsidRDefault="007424CE" w:rsidP="00F9312C">
      <w:pPr>
        <w:spacing w:line="360" w:lineRule="auto"/>
        <w:rPr>
          <w:bCs/>
          <w:lang w:val="nl-NL"/>
        </w:rPr>
      </w:pPr>
      <w:r w:rsidRPr="007424CE">
        <w:rPr>
          <w:bCs/>
          <w:lang w:val="nl-NL"/>
        </w:rPr>
        <w:t>Wegenverkeerswet</w:t>
      </w:r>
    </w:p>
    <w:p w14:paraId="5B34A9F4" w14:textId="6F3BC36B" w:rsidR="00826780" w:rsidRPr="00DE35BE" w:rsidRDefault="00826780" w:rsidP="00F9312C">
      <w:pPr>
        <w:spacing w:line="360" w:lineRule="auto"/>
        <w:rPr>
          <w:szCs w:val="24"/>
          <w:lang w:val="nl-NL"/>
        </w:rPr>
      </w:pPr>
      <w:r w:rsidRPr="00DE35BE">
        <w:rPr>
          <w:lang w:val="nl-NL"/>
        </w:rPr>
        <w:t>Wet personenvervoer 2000</w:t>
      </w:r>
    </w:p>
    <w:p w14:paraId="6240BE69" w14:textId="3522D2AB" w:rsidR="005D7CCC" w:rsidRPr="00DE35BE" w:rsidRDefault="005D7CCC" w:rsidP="00F9312C">
      <w:pPr>
        <w:spacing w:line="360" w:lineRule="auto"/>
        <w:rPr>
          <w:lang w:val="nl-NL"/>
        </w:rPr>
      </w:pPr>
      <w:r w:rsidRPr="00DE35BE">
        <w:rPr>
          <w:szCs w:val="24"/>
          <w:lang w:val="nl-NL"/>
        </w:rPr>
        <w:t>Wet gemeentelijke antidiscriminatievoorzieningen</w:t>
      </w:r>
    </w:p>
    <w:p w14:paraId="4A01F053" w14:textId="4888714A" w:rsidR="005D7CCC" w:rsidRPr="005D7CCC" w:rsidRDefault="005D7CCC" w:rsidP="00F9312C">
      <w:pPr>
        <w:spacing w:line="360" w:lineRule="auto"/>
        <w:rPr>
          <w:bCs/>
          <w:iCs/>
          <w:lang w:val="nl-NL"/>
        </w:rPr>
      </w:pPr>
      <w:r w:rsidRPr="005D7CCC">
        <w:rPr>
          <w:iCs/>
          <w:lang w:val="nl-NL"/>
        </w:rPr>
        <w:t>Wet herverdeling wegenbeheer 1992</w:t>
      </w:r>
    </w:p>
    <w:p w14:paraId="1E9B0EFD" w14:textId="7FF3FDC3" w:rsidR="007424CE" w:rsidRDefault="007424CE" w:rsidP="00F9312C">
      <w:pPr>
        <w:spacing w:line="360" w:lineRule="auto"/>
        <w:rPr>
          <w:bCs/>
          <w:lang w:val="nl-NL"/>
        </w:rPr>
      </w:pPr>
      <w:r>
        <w:rPr>
          <w:bCs/>
          <w:lang w:val="nl-NL"/>
        </w:rPr>
        <w:t>Wet ruimtelijke ordening</w:t>
      </w:r>
    </w:p>
    <w:p w14:paraId="14AC5764" w14:textId="17054AE4" w:rsidR="007424CE" w:rsidRPr="007424CE" w:rsidRDefault="007424CE" w:rsidP="00F9312C">
      <w:pPr>
        <w:spacing w:line="360" w:lineRule="auto"/>
        <w:rPr>
          <w:bCs/>
          <w:lang w:val="nl-NL"/>
        </w:rPr>
      </w:pPr>
      <w:r w:rsidRPr="007424CE">
        <w:rPr>
          <w:bCs/>
          <w:lang w:val="nl-NL"/>
        </w:rPr>
        <w:t>Wetboek van strafrecht</w:t>
      </w:r>
    </w:p>
    <w:p w14:paraId="11DE2919" w14:textId="2E20BB58" w:rsidR="007424CE" w:rsidRDefault="007424CE" w:rsidP="00F9312C">
      <w:pPr>
        <w:spacing w:line="360" w:lineRule="auto"/>
        <w:rPr>
          <w:bCs/>
          <w:lang w:val="nl-NL"/>
        </w:rPr>
      </w:pPr>
      <w:r w:rsidRPr="007424CE">
        <w:rPr>
          <w:bCs/>
          <w:lang w:val="nl-NL"/>
        </w:rPr>
        <w:t>Wetboek van strafvordering</w:t>
      </w:r>
    </w:p>
    <w:p w14:paraId="2725F84A" w14:textId="385FA75F" w:rsidR="00036CE1" w:rsidRPr="007424CE" w:rsidRDefault="00036CE1" w:rsidP="00F9312C">
      <w:pPr>
        <w:spacing w:line="360" w:lineRule="auto"/>
        <w:rPr>
          <w:bCs/>
          <w:lang w:val="nl-NL"/>
        </w:rPr>
      </w:pPr>
      <w:r>
        <w:rPr>
          <w:bCs/>
          <w:lang w:val="nl-NL"/>
        </w:rPr>
        <w:t>Woningwet</w:t>
      </w:r>
    </w:p>
    <w:p w14:paraId="428951AA" w14:textId="77777777" w:rsidR="00D7230A" w:rsidRDefault="00D7230A" w:rsidP="00F9312C">
      <w:pPr>
        <w:spacing w:line="360" w:lineRule="auto"/>
        <w:rPr>
          <w:bCs/>
          <w:i/>
          <w:iCs/>
          <w:lang w:val="nl-NL"/>
        </w:rPr>
      </w:pPr>
    </w:p>
    <w:p w14:paraId="4050F57F" w14:textId="3BFBB631" w:rsidR="008A5CD8" w:rsidRPr="00D7230A" w:rsidRDefault="008A5CD8" w:rsidP="00F9312C">
      <w:pPr>
        <w:pStyle w:val="Heading2"/>
        <w:spacing w:line="360" w:lineRule="auto"/>
        <w:rPr>
          <w:lang w:val="nl-NL"/>
        </w:rPr>
      </w:pPr>
      <w:r w:rsidRPr="00D7230A">
        <w:rPr>
          <w:lang w:val="nl-NL"/>
        </w:rPr>
        <w:t>Regulations and decrees</w:t>
      </w:r>
    </w:p>
    <w:p w14:paraId="3D47598A" w14:textId="70C369E5" w:rsidR="007424CE" w:rsidRDefault="007424CE" w:rsidP="00F9312C">
      <w:pPr>
        <w:spacing w:line="360" w:lineRule="auto"/>
        <w:rPr>
          <w:lang w:val="nl-NL"/>
        </w:rPr>
      </w:pPr>
      <w:r>
        <w:rPr>
          <w:lang w:val="nl-NL"/>
        </w:rPr>
        <w:t>Algemene Plaatselijke Verordening Almere</w:t>
      </w:r>
    </w:p>
    <w:p w14:paraId="13C26696" w14:textId="7235FB67" w:rsidR="007424CE" w:rsidRDefault="007424CE" w:rsidP="00F9312C">
      <w:pPr>
        <w:spacing w:line="360" w:lineRule="auto"/>
        <w:rPr>
          <w:lang w:val="nl-NL"/>
        </w:rPr>
      </w:pPr>
      <w:r>
        <w:rPr>
          <w:lang w:val="nl-NL"/>
        </w:rPr>
        <w:t>Algemene Plaatselijke Verordening Utrecht</w:t>
      </w:r>
    </w:p>
    <w:p w14:paraId="3FD52B8C" w14:textId="74AA7949" w:rsidR="008A5CD8" w:rsidRDefault="008A5CD8" w:rsidP="00F9312C">
      <w:pPr>
        <w:spacing w:line="360" w:lineRule="auto"/>
        <w:rPr>
          <w:lang w:val="nl-NL"/>
        </w:rPr>
      </w:pPr>
      <w:r w:rsidRPr="00690318">
        <w:rPr>
          <w:lang w:val="nl-NL"/>
        </w:rPr>
        <w:t>Besluit administratieve bepalingen inzake het wegverkeer</w:t>
      </w:r>
      <w:r>
        <w:rPr>
          <w:lang w:val="nl-NL"/>
        </w:rPr>
        <w:t xml:space="preserve"> </w:t>
      </w:r>
    </w:p>
    <w:p w14:paraId="190AE8C3" w14:textId="3DCB0ED1" w:rsidR="005D7CCC" w:rsidRPr="005D7CCC" w:rsidRDefault="005D7CCC" w:rsidP="00F9312C">
      <w:pPr>
        <w:spacing w:line="360" w:lineRule="auto"/>
        <w:rPr>
          <w:lang w:val="nl-NL"/>
        </w:rPr>
      </w:pPr>
      <w:r w:rsidRPr="005D7CCC">
        <w:rPr>
          <w:lang w:val="nl-NL"/>
        </w:rPr>
        <w:t xml:space="preserve">Besluit </w:t>
      </w:r>
      <w:r>
        <w:rPr>
          <w:lang w:val="nl-NL"/>
        </w:rPr>
        <w:t>algemene toegankelijkheid</w:t>
      </w:r>
    </w:p>
    <w:p w14:paraId="63C9722E" w14:textId="6927E4B1" w:rsidR="005D7CCC" w:rsidRDefault="005D7CCC" w:rsidP="00F9312C">
      <w:pPr>
        <w:spacing w:line="360" w:lineRule="auto"/>
        <w:rPr>
          <w:lang w:val="nl-NL"/>
        </w:rPr>
      </w:pPr>
      <w:r w:rsidRPr="005D7CCC">
        <w:rPr>
          <w:lang w:val="nl-NL"/>
        </w:rPr>
        <w:t>Besluit toegankelijkheid openbaar vervoer</w:t>
      </w:r>
    </w:p>
    <w:p w14:paraId="6A10D545" w14:textId="7259E2D2" w:rsidR="007424CE" w:rsidRDefault="007424CE" w:rsidP="00F9312C">
      <w:pPr>
        <w:spacing w:line="360" w:lineRule="auto"/>
        <w:rPr>
          <w:lang w:val="nl-NL"/>
        </w:rPr>
      </w:pPr>
      <w:r>
        <w:rPr>
          <w:lang w:val="nl-NL"/>
        </w:rPr>
        <w:t>Bouwbesluit</w:t>
      </w:r>
    </w:p>
    <w:p w14:paraId="226A30A7" w14:textId="572D55F7" w:rsidR="007424CE" w:rsidRDefault="007424CE" w:rsidP="00F9312C">
      <w:pPr>
        <w:spacing w:line="360" w:lineRule="auto"/>
        <w:rPr>
          <w:lang w:val="nl-NL"/>
        </w:rPr>
      </w:pPr>
      <w:r>
        <w:rPr>
          <w:lang w:val="nl-NL"/>
        </w:rPr>
        <w:t>Bouwverordening Almere</w:t>
      </w:r>
    </w:p>
    <w:p w14:paraId="032C4281" w14:textId="387DB7AD" w:rsidR="007424CE" w:rsidRDefault="007424CE" w:rsidP="00F9312C">
      <w:pPr>
        <w:spacing w:line="360" w:lineRule="auto"/>
        <w:rPr>
          <w:lang w:val="nl-NL"/>
        </w:rPr>
      </w:pPr>
      <w:r>
        <w:rPr>
          <w:lang w:val="nl-NL"/>
        </w:rPr>
        <w:t>Bouwverordening Utrecht</w:t>
      </w:r>
    </w:p>
    <w:p w14:paraId="1ECE5177" w14:textId="6E2E9189" w:rsidR="005D7CCC" w:rsidRDefault="005D7CCC" w:rsidP="00F9312C">
      <w:pPr>
        <w:spacing w:line="360" w:lineRule="auto"/>
        <w:rPr>
          <w:lang w:val="nl-NL"/>
        </w:rPr>
      </w:pPr>
      <w:r w:rsidRPr="00DE35BE">
        <w:rPr>
          <w:lang w:val="nl-NL"/>
        </w:rPr>
        <w:t>Omgevingsprogramma Flevoland</w:t>
      </w:r>
    </w:p>
    <w:p w14:paraId="6DED1BD2" w14:textId="013DFAB2" w:rsidR="007424CE" w:rsidRDefault="007424CE" w:rsidP="00F9312C">
      <w:pPr>
        <w:spacing w:line="360" w:lineRule="auto"/>
        <w:rPr>
          <w:lang w:val="nl-NL"/>
        </w:rPr>
      </w:pPr>
      <w:r>
        <w:rPr>
          <w:lang w:val="nl-NL"/>
        </w:rPr>
        <w:t>Reglement verkeersregels en verkeerstekens 1990 (RVV1990)</w:t>
      </w:r>
    </w:p>
    <w:p w14:paraId="1B6AA343" w14:textId="123FFC3A" w:rsidR="005D7CCC" w:rsidRPr="00CE4642" w:rsidRDefault="005D7CCC" w:rsidP="00F9312C">
      <w:pPr>
        <w:spacing w:line="360" w:lineRule="auto"/>
        <w:rPr>
          <w:b/>
        </w:rPr>
      </w:pPr>
      <w:proofErr w:type="spellStart"/>
      <w:r w:rsidRPr="00CE4642">
        <w:t>Wegenverordening</w:t>
      </w:r>
      <w:proofErr w:type="spellEnd"/>
      <w:r w:rsidRPr="00CE4642">
        <w:t xml:space="preserve"> </w:t>
      </w:r>
      <w:proofErr w:type="spellStart"/>
      <w:r w:rsidRPr="00CE4642">
        <w:t>provincie</w:t>
      </w:r>
      <w:proofErr w:type="spellEnd"/>
      <w:r w:rsidRPr="00CE4642">
        <w:t xml:space="preserve"> Utrecht 2010</w:t>
      </w:r>
    </w:p>
    <w:p w14:paraId="1025C4EA" w14:textId="77777777" w:rsidR="008A5CD8" w:rsidRPr="00CE4642" w:rsidRDefault="008A5CD8" w:rsidP="00F9312C">
      <w:pPr>
        <w:spacing w:line="360" w:lineRule="auto"/>
        <w:rPr>
          <w:b/>
        </w:rPr>
      </w:pPr>
    </w:p>
    <w:p w14:paraId="7B556C46" w14:textId="77777777" w:rsidR="005F0C1F" w:rsidRPr="00CE4642" w:rsidRDefault="005F0C1F" w:rsidP="00F9312C">
      <w:pPr>
        <w:pStyle w:val="Heading2"/>
        <w:spacing w:line="360" w:lineRule="auto"/>
      </w:pPr>
      <w:r w:rsidRPr="00CE4642">
        <w:t>Table of Cases</w:t>
      </w:r>
    </w:p>
    <w:p w14:paraId="68C6623C" w14:textId="3710199D" w:rsidR="00F4716B" w:rsidRPr="00F4716B" w:rsidRDefault="00F4716B" w:rsidP="00F9312C">
      <w:pPr>
        <w:pStyle w:val="FootnoteText"/>
        <w:spacing w:line="360" w:lineRule="auto"/>
        <w:rPr>
          <w:sz w:val="24"/>
          <w:szCs w:val="24"/>
        </w:rPr>
      </w:pPr>
      <w:r w:rsidRPr="00F4716B">
        <w:rPr>
          <w:rStyle w:val="langblock"/>
          <w:sz w:val="24"/>
          <w:szCs w:val="24"/>
          <w:lang w:val="en"/>
        </w:rPr>
        <w:t>Administrative Jurisdiction Division Council of State</w:t>
      </w:r>
      <w:r w:rsidRPr="00F4716B">
        <w:rPr>
          <w:sz w:val="24"/>
          <w:szCs w:val="24"/>
        </w:rPr>
        <w:t xml:space="preserve"> 5 March 2008, ECLI</w:t>
      </w:r>
      <w:proofErr w:type="gramStart"/>
      <w:r w:rsidRPr="00F4716B">
        <w:rPr>
          <w:sz w:val="24"/>
          <w:szCs w:val="24"/>
        </w:rPr>
        <w:t>:NL:RVS:2008:BC6035</w:t>
      </w:r>
      <w:proofErr w:type="gramEnd"/>
    </w:p>
    <w:p w14:paraId="48164EAA" w14:textId="1AD4AA93" w:rsidR="00E1778A" w:rsidRDefault="00E1778A" w:rsidP="00F9312C">
      <w:pPr>
        <w:spacing w:line="360" w:lineRule="auto"/>
      </w:pPr>
      <w:r w:rsidRPr="00114345">
        <w:t>A</w:t>
      </w:r>
      <w:r>
        <w:t>dministrative Jurisdiction Division Council of State, 8 July 2009, ECLI</w:t>
      </w:r>
      <w:proofErr w:type="gramStart"/>
      <w:r>
        <w:t>:NL:RVS:2009:BJ1901</w:t>
      </w:r>
      <w:proofErr w:type="gramEnd"/>
    </w:p>
    <w:p w14:paraId="0C1F94C8" w14:textId="7FB37545" w:rsidR="00F4716B" w:rsidRDefault="00F4716B" w:rsidP="00F9312C">
      <w:pPr>
        <w:spacing w:line="360" w:lineRule="auto"/>
        <w:rPr>
          <w:rFonts w:eastAsiaTheme="minorHAnsi" w:cs="Arial"/>
          <w:color w:val="000000"/>
          <w:szCs w:val="20"/>
          <w:lang w:eastAsia="en-US"/>
        </w:rPr>
      </w:pPr>
      <w:r>
        <w:rPr>
          <w:rStyle w:val="langblock"/>
          <w:lang w:val="en"/>
        </w:rPr>
        <w:t>Administrative Jurisdiction Division Council of State</w:t>
      </w:r>
      <w:r w:rsidRPr="00E863B7">
        <w:rPr>
          <w:rFonts w:eastAsiaTheme="minorHAnsi" w:cs="Arial"/>
          <w:color w:val="000000"/>
          <w:szCs w:val="20"/>
          <w:lang w:eastAsia="en-US"/>
        </w:rPr>
        <w:t xml:space="preserve"> 18 February 2018, ECLI</w:t>
      </w:r>
      <w:proofErr w:type="gramStart"/>
      <w:r w:rsidRPr="00E863B7">
        <w:rPr>
          <w:rFonts w:eastAsiaTheme="minorHAnsi" w:cs="Arial"/>
          <w:color w:val="000000"/>
          <w:szCs w:val="20"/>
          <w:lang w:eastAsia="en-US"/>
        </w:rPr>
        <w:t>:NL:RVS:2018:590</w:t>
      </w:r>
      <w:proofErr w:type="gramEnd"/>
    </w:p>
    <w:p w14:paraId="346BEBDD" w14:textId="77777777" w:rsidR="00F4716B" w:rsidRPr="00850892" w:rsidRDefault="00F4716B" w:rsidP="00F9312C">
      <w:pPr>
        <w:spacing w:line="360" w:lineRule="auto"/>
      </w:pPr>
      <w:r w:rsidRPr="00850892">
        <w:rPr>
          <w:rFonts w:eastAsia="Times New Roman"/>
          <w:lang w:eastAsia="nl-NL"/>
        </w:rPr>
        <w:t xml:space="preserve">Appeal Court Arnhem-Leeuwarden 4 February 2019, </w:t>
      </w:r>
      <w:r w:rsidRPr="00850892">
        <w:t>ECLI</w:t>
      </w:r>
      <w:proofErr w:type="gramStart"/>
      <w:r w:rsidRPr="00850892">
        <w:t>:NL:GHARL:2019:981</w:t>
      </w:r>
      <w:proofErr w:type="gramEnd"/>
    </w:p>
    <w:p w14:paraId="5F184475" w14:textId="47768842" w:rsidR="00F31FB3" w:rsidRPr="00F9312C" w:rsidRDefault="00F31FB3" w:rsidP="00F9312C">
      <w:pPr>
        <w:spacing w:line="360" w:lineRule="auto"/>
      </w:pPr>
      <w:r w:rsidRPr="00F9312C">
        <w:t>Di</w:t>
      </w:r>
      <w:r w:rsidR="00F9312C">
        <w:t>strict court</w:t>
      </w:r>
      <w:r w:rsidRPr="00F9312C">
        <w:t>’s-Hertogenbosch 26 March 2009, ECLI</w:t>
      </w:r>
      <w:proofErr w:type="gramStart"/>
      <w:r w:rsidRPr="00F9312C">
        <w:t>:NL:RBSHE:2009:BH7428</w:t>
      </w:r>
      <w:proofErr w:type="gramEnd"/>
    </w:p>
    <w:p w14:paraId="45D98814" w14:textId="77AF2AC5" w:rsidR="003C3F61" w:rsidRPr="003C3F61" w:rsidRDefault="003C3F61" w:rsidP="00F9312C">
      <w:pPr>
        <w:spacing w:line="360" w:lineRule="auto"/>
      </w:pPr>
      <w:r w:rsidRPr="003C3F61">
        <w:rPr>
          <w:bCs/>
        </w:rPr>
        <w:t>District court Amsterdam 12 June 2019, ECLI</w:t>
      </w:r>
      <w:proofErr w:type="gramStart"/>
      <w:r w:rsidRPr="003C3F61">
        <w:rPr>
          <w:bCs/>
        </w:rPr>
        <w:t>:NL:RBAMS:2019:3375</w:t>
      </w:r>
      <w:proofErr w:type="gramEnd"/>
    </w:p>
    <w:p w14:paraId="45463950" w14:textId="1608C719" w:rsidR="003C3F61" w:rsidRPr="003C3F61" w:rsidRDefault="003C3F61" w:rsidP="00F9312C">
      <w:pPr>
        <w:spacing w:line="360" w:lineRule="auto"/>
      </w:pPr>
      <w:r w:rsidRPr="003C3F61">
        <w:rPr>
          <w:rFonts w:eastAsia="Times New Roman"/>
          <w:bCs/>
          <w:lang w:eastAsia="nl-NL"/>
        </w:rPr>
        <w:t xml:space="preserve">District court </w:t>
      </w:r>
      <w:proofErr w:type="spellStart"/>
      <w:r w:rsidRPr="003C3F61">
        <w:rPr>
          <w:rFonts w:eastAsia="Times New Roman"/>
          <w:bCs/>
          <w:lang w:eastAsia="nl-NL"/>
        </w:rPr>
        <w:t>Overijssel</w:t>
      </w:r>
      <w:proofErr w:type="spellEnd"/>
      <w:r w:rsidRPr="003C3F61">
        <w:rPr>
          <w:rFonts w:eastAsia="Times New Roman"/>
          <w:bCs/>
          <w:lang w:eastAsia="nl-NL"/>
        </w:rPr>
        <w:t xml:space="preserve"> 10 May 2019, </w:t>
      </w:r>
      <w:r w:rsidRPr="003C3F61">
        <w:rPr>
          <w:bCs/>
        </w:rPr>
        <w:t>ECLI</w:t>
      </w:r>
      <w:proofErr w:type="gramStart"/>
      <w:r w:rsidRPr="003C3F61">
        <w:rPr>
          <w:bCs/>
        </w:rPr>
        <w:t>:NL:RBOVE:2019:1577</w:t>
      </w:r>
      <w:proofErr w:type="gramEnd"/>
    </w:p>
    <w:p w14:paraId="40CEA995" w14:textId="69CAC38D" w:rsidR="00036CE1" w:rsidRPr="003C3F61" w:rsidRDefault="003C3F61" w:rsidP="00F9312C">
      <w:pPr>
        <w:spacing w:line="360" w:lineRule="auto"/>
        <w:rPr>
          <w:rFonts w:cs="Arial"/>
          <w:szCs w:val="24"/>
        </w:rPr>
      </w:pPr>
      <w:r w:rsidRPr="003C3F61">
        <w:rPr>
          <w:rFonts w:cs="Arial"/>
          <w:bCs/>
          <w:szCs w:val="24"/>
        </w:rPr>
        <w:t>District court Amsterdam 18 March 2019, ECLI</w:t>
      </w:r>
      <w:proofErr w:type="gramStart"/>
      <w:r w:rsidRPr="003C3F61">
        <w:rPr>
          <w:rFonts w:cs="Arial"/>
          <w:bCs/>
          <w:szCs w:val="24"/>
        </w:rPr>
        <w:t>:NL:RBAMS:2019:1874</w:t>
      </w:r>
      <w:proofErr w:type="gramEnd"/>
    </w:p>
    <w:p w14:paraId="75BCB7F9" w14:textId="0A6ABD45" w:rsidR="00F4716B" w:rsidRDefault="00F4716B" w:rsidP="00F9312C">
      <w:pPr>
        <w:spacing w:line="360" w:lineRule="auto"/>
        <w:rPr>
          <w:szCs w:val="24"/>
        </w:rPr>
      </w:pPr>
      <w:r>
        <w:rPr>
          <w:rFonts w:eastAsiaTheme="minorHAnsi" w:cs="Arial"/>
          <w:color w:val="000000"/>
          <w:szCs w:val="20"/>
          <w:lang w:eastAsia="en-US"/>
        </w:rPr>
        <w:t xml:space="preserve">European </w:t>
      </w:r>
      <w:r w:rsidRPr="00F4716B">
        <w:rPr>
          <w:rFonts w:eastAsiaTheme="minorHAnsi" w:cs="Arial"/>
          <w:color w:val="000000"/>
          <w:szCs w:val="20"/>
          <w:lang w:eastAsia="en-US"/>
        </w:rPr>
        <w:t xml:space="preserve">Court of </w:t>
      </w:r>
      <w:r>
        <w:rPr>
          <w:rFonts w:eastAsiaTheme="minorHAnsi" w:cs="Arial"/>
          <w:color w:val="000000"/>
          <w:szCs w:val="20"/>
          <w:lang w:eastAsia="en-US"/>
        </w:rPr>
        <w:t xml:space="preserve">Justice, </w:t>
      </w:r>
      <w:r w:rsidRPr="00F4716B">
        <w:rPr>
          <w:szCs w:val="24"/>
        </w:rPr>
        <w:t xml:space="preserve">Case 26/62 </w:t>
      </w:r>
      <w:r w:rsidRPr="00F4716B">
        <w:rPr>
          <w:i/>
          <w:iCs/>
          <w:szCs w:val="24"/>
        </w:rPr>
        <w:t xml:space="preserve">NV </w:t>
      </w:r>
      <w:proofErr w:type="spellStart"/>
      <w:r w:rsidRPr="00F4716B">
        <w:rPr>
          <w:i/>
          <w:iCs/>
          <w:szCs w:val="24"/>
        </w:rPr>
        <w:t>Algemene</w:t>
      </w:r>
      <w:proofErr w:type="spellEnd"/>
      <w:r w:rsidRPr="00F4716B">
        <w:rPr>
          <w:i/>
          <w:iCs/>
          <w:szCs w:val="24"/>
        </w:rPr>
        <w:t xml:space="preserve"> Transport- </w:t>
      </w:r>
      <w:proofErr w:type="spellStart"/>
      <w:r w:rsidRPr="00F4716B">
        <w:rPr>
          <w:i/>
          <w:iCs/>
          <w:szCs w:val="24"/>
        </w:rPr>
        <w:t>en</w:t>
      </w:r>
      <w:proofErr w:type="spellEnd"/>
      <w:r w:rsidRPr="00F4716B">
        <w:rPr>
          <w:i/>
          <w:iCs/>
          <w:szCs w:val="24"/>
        </w:rPr>
        <w:t xml:space="preserve"> </w:t>
      </w:r>
      <w:proofErr w:type="spellStart"/>
      <w:r w:rsidRPr="00F4716B">
        <w:rPr>
          <w:i/>
          <w:iCs/>
          <w:szCs w:val="24"/>
        </w:rPr>
        <w:t>Expeditie</w:t>
      </w:r>
      <w:proofErr w:type="spellEnd"/>
      <w:r w:rsidRPr="00F4716B">
        <w:rPr>
          <w:i/>
          <w:iCs/>
          <w:szCs w:val="24"/>
        </w:rPr>
        <w:t xml:space="preserve"> </w:t>
      </w:r>
      <w:proofErr w:type="spellStart"/>
      <w:r w:rsidRPr="00F4716B">
        <w:rPr>
          <w:i/>
          <w:iCs/>
          <w:szCs w:val="24"/>
        </w:rPr>
        <w:t>Onderneming</w:t>
      </w:r>
      <w:proofErr w:type="spellEnd"/>
      <w:r w:rsidRPr="00F4716B">
        <w:rPr>
          <w:i/>
          <w:iCs/>
          <w:szCs w:val="24"/>
        </w:rPr>
        <w:t xml:space="preserve"> van </w:t>
      </w:r>
      <w:proofErr w:type="spellStart"/>
      <w:r w:rsidRPr="00F4716B">
        <w:rPr>
          <w:i/>
          <w:iCs/>
          <w:szCs w:val="24"/>
        </w:rPr>
        <w:t>Gend</w:t>
      </w:r>
      <w:proofErr w:type="spellEnd"/>
      <w:r w:rsidRPr="00F4716B">
        <w:rPr>
          <w:i/>
          <w:iCs/>
          <w:szCs w:val="24"/>
        </w:rPr>
        <w:t xml:space="preserve"> &amp; Loos v Netherlands Inland Revenue Administration</w:t>
      </w:r>
      <w:r w:rsidRPr="00F4716B">
        <w:rPr>
          <w:szCs w:val="24"/>
        </w:rPr>
        <w:t xml:space="preserve"> [1963] ECLI:EU:C:1963:1</w:t>
      </w:r>
    </w:p>
    <w:p w14:paraId="7C683C2D" w14:textId="2BB3DEEF" w:rsidR="003C3F61" w:rsidRPr="003C3F61" w:rsidRDefault="003C3F61" w:rsidP="00F9312C">
      <w:pPr>
        <w:spacing w:line="360" w:lineRule="auto"/>
        <w:rPr>
          <w:rFonts w:cs="Arial"/>
          <w:szCs w:val="24"/>
        </w:rPr>
      </w:pPr>
      <w:r w:rsidRPr="003C3F61">
        <w:rPr>
          <w:szCs w:val="24"/>
        </w:rPr>
        <w:t>National Institute for Human Rights 16 November 2017, judgment</w:t>
      </w:r>
      <w:r w:rsidR="007639C5">
        <w:rPr>
          <w:szCs w:val="24"/>
        </w:rPr>
        <w:t xml:space="preserve"> no.</w:t>
      </w:r>
      <w:r w:rsidRPr="003C3F61">
        <w:rPr>
          <w:szCs w:val="24"/>
        </w:rPr>
        <w:t xml:space="preserve"> 2017-134</w:t>
      </w:r>
    </w:p>
    <w:p w14:paraId="5B1E6D92" w14:textId="3F336075" w:rsidR="00D7230A" w:rsidRPr="00D7230A" w:rsidRDefault="00D7230A" w:rsidP="00F9312C">
      <w:pPr>
        <w:spacing w:line="360" w:lineRule="auto"/>
        <w:rPr>
          <w:rStyle w:val="Strong"/>
          <w:bCs w:val="0"/>
          <w:szCs w:val="24"/>
        </w:rPr>
      </w:pPr>
      <w:r w:rsidRPr="00D7230A">
        <w:rPr>
          <w:bCs/>
          <w:szCs w:val="24"/>
        </w:rPr>
        <w:t>Supreme Court 31 January 1919, (</w:t>
      </w:r>
      <w:proofErr w:type="spellStart"/>
      <w:r w:rsidRPr="00D7230A">
        <w:rPr>
          <w:bCs/>
          <w:i/>
          <w:szCs w:val="24"/>
        </w:rPr>
        <w:t>Lindenbaum</w:t>
      </w:r>
      <w:proofErr w:type="spellEnd"/>
      <w:r w:rsidRPr="00D7230A">
        <w:rPr>
          <w:bCs/>
          <w:i/>
          <w:szCs w:val="24"/>
        </w:rPr>
        <w:t>/Cohen</w:t>
      </w:r>
      <w:r w:rsidRPr="00D7230A">
        <w:rPr>
          <w:bCs/>
          <w:szCs w:val="24"/>
        </w:rPr>
        <w:t>)</w:t>
      </w:r>
      <w:r>
        <w:rPr>
          <w:bCs/>
          <w:szCs w:val="24"/>
        </w:rPr>
        <w:t xml:space="preserve">, </w:t>
      </w:r>
      <w:r w:rsidRPr="00D7230A">
        <w:rPr>
          <w:bCs/>
          <w:szCs w:val="24"/>
        </w:rPr>
        <w:t xml:space="preserve">NJ 1919, 161 </w:t>
      </w:r>
    </w:p>
    <w:p w14:paraId="5E1CB827" w14:textId="02002880" w:rsidR="003C3F61" w:rsidRPr="003C3F61" w:rsidRDefault="003C3F61" w:rsidP="00F9312C">
      <w:pPr>
        <w:spacing w:line="360" w:lineRule="auto"/>
        <w:rPr>
          <w:szCs w:val="24"/>
        </w:rPr>
      </w:pPr>
      <w:r w:rsidRPr="003C3F61">
        <w:rPr>
          <w:rStyle w:val="Strong"/>
          <w:b w:val="0"/>
          <w:bCs w:val="0"/>
          <w:szCs w:val="24"/>
        </w:rPr>
        <w:t>Supreme Court 5 November 1965 (</w:t>
      </w:r>
      <w:r w:rsidRPr="003C3F61">
        <w:rPr>
          <w:rStyle w:val="Strong"/>
          <w:b w:val="0"/>
          <w:bCs w:val="0"/>
          <w:i/>
          <w:iCs/>
          <w:szCs w:val="24"/>
        </w:rPr>
        <w:t>Basement Latch</w:t>
      </w:r>
      <w:r w:rsidRPr="003C3F61">
        <w:rPr>
          <w:rStyle w:val="Strong"/>
          <w:b w:val="0"/>
          <w:bCs w:val="0"/>
          <w:szCs w:val="24"/>
        </w:rPr>
        <w:t>),</w:t>
      </w:r>
      <w:proofErr w:type="gramStart"/>
      <w:r w:rsidRPr="003C3F61">
        <w:rPr>
          <w:rStyle w:val="Strong"/>
          <w:b w:val="0"/>
          <w:bCs w:val="0"/>
          <w:szCs w:val="24"/>
        </w:rPr>
        <w:t xml:space="preserve">  </w:t>
      </w:r>
      <w:r w:rsidRPr="003C3F61">
        <w:rPr>
          <w:szCs w:val="24"/>
        </w:rPr>
        <w:t>ECLI:NL:HR:1965:AB7079</w:t>
      </w:r>
      <w:proofErr w:type="gramEnd"/>
      <w:r w:rsidRPr="003C3F61">
        <w:rPr>
          <w:szCs w:val="24"/>
        </w:rPr>
        <w:t xml:space="preserve">. </w:t>
      </w:r>
    </w:p>
    <w:p w14:paraId="3A2C3540" w14:textId="3647B5D9" w:rsidR="00036CE1" w:rsidRPr="003C3F61" w:rsidRDefault="00036CE1" w:rsidP="00F9312C">
      <w:pPr>
        <w:spacing w:line="360" w:lineRule="auto"/>
        <w:rPr>
          <w:rFonts w:cs="Arial"/>
          <w:szCs w:val="24"/>
        </w:rPr>
      </w:pPr>
      <w:r w:rsidRPr="003C3F61">
        <w:rPr>
          <w:rFonts w:cs="Arial"/>
          <w:szCs w:val="24"/>
        </w:rPr>
        <w:t>Supreme Court 30 May 1986</w:t>
      </w:r>
      <w:r w:rsidR="00F4716B">
        <w:rPr>
          <w:rFonts w:cs="Arial"/>
          <w:szCs w:val="24"/>
        </w:rPr>
        <w:t>,</w:t>
      </w:r>
      <w:r w:rsidRPr="003C3F61">
        <w:rPr>
          <w:rFonts w:cs="Arial"/>
          <w:szCs w:val="24"/>
        </w:rPr>
        <w:t xml:space="preserve"> ECLI</w:t>
      </w:r>
      <w:proofErr w:type="gramStart"/>
      <w:r w:rsidRPr="003C3F61">
        <w:rPr>
          <w:rFonts w:cs="Arial"/>
          <w:szCs w:val="24"/>
        </w:rPr>
        <w:t>:NL:HR:1986:AC9402</w:t>
      </w:r>
      <w:proofErr w:type="gramEnd"/>
    </w:p>
    <w:p w14:paraId="209F2AC0" w14:textId="78182583" w:rsidR="003C3F61" w:rsidRPr="003C3F61" w:rsidRDefault="003C3F61" w:rsidP="00F9312C">
      <w:pPr>
        <w:pStyle w:val="FootnoteText"/>
        <w:spacing w:line="360" w:lineRule="auto"/>
        <w:rPr>
          <w:sz w:val="24"/>
          <w:szCs w:val="24"/>
        </w:rPr>
      </w:pPr>
      <w:r w:rsidRPr="003C3F61">
        <w:rPr>
          <w:rStyle w:val="Strong"/>
          <w:b w:val="0"/>
          <w:bCs w:val="0"/>
          <w:sz w:val="24"/>
          <w:szCs w:val="24"/>
        </w:rPr>
        <w:t>Supreme Court</w:t>
      </w:r>
      <w:r w:rsidRPr="003C3F61">
        <w:rPr>
          <w:sz w:val="24"/>
          <w:szCs w:val="24"/>
        </w:rPr>
        <w:t xml:space="preserve"> 27 May 1988 (</w:t>
      </w:r>
      <w:r w:rsidRPr="003C3F61">
        <w:rPr>
          <w:i/>
          <w:iCs/>
          <w:sz w:val="24"/>
          <w:szCs w:val="24"/>
        </w:rPr>
        <w:t>Peat Scalding</w:t>
      </w:r>
      <w:r w:rsidRPr="003C3F61">
        <w:rPr>
          <w:sz w:val="24"/>
          <w:szCs w:val="24"/>
        </w:rPr>
        <w:t>)</w:t>
      </w:r>
      <w:r w:rsidR="00F4716B">
        <w:rPr>
          <w:sz w:val="24"/>
          <w:szCs w:val="24"/>
        </w:rPr>
        <w:t>,</w:t>
      </w:r>
      <w:r w:rsidRPr="003C3F61">
        <w:rPr>
          <w:sz w:val="24"/>
          <w:szCs w:val="24"/>
        </w:rPr>
        <w:t xml:space="preserve"> </w:t>
      </w:r>
      <w:hyperlink r:id="rId13" w:tgtFrame="_blank" w:history="1">
        <w:r w:rsidRPr="003C3F61">
          <w:rPr>
            <w:rStyle w:val="Hyperlink"/>
            <w:color w:val="auto"/>
            <w:sz w:val="24"/>
            <w:szCs w:val="24"/>
          </w:rPr>
          <w:t>ECLI</w:t>
        </w:r>
        <w:proofErr w:type="gramStart"/>
        <w:r w:rsidRPr="003C3F61">
          <w:rPr>
            <w:rStyle w:val="Hyperlink"/>
            <w:color w:val="auto"/>
            <w:sz w:val="24"/>
            <w:szCs w:val="24"/>
          </w:rPr>
          <w:t>:NL:HR:1988:AD0344</w:t>
        </w:r>
        <w:proofErr w:type="gramEnd"/>
      </w:hyperlink>
    </w:p>
    <w:p w14:paraId="49C66DA2" w14:textId="5145FCE7" w:rsidR="003C3F61" w:rsidRPr="003C3F61" w:rsidRDefault="003C3F61" w:rsidP="00F9312C">
      <w:pPr>
        <w:spacing w:line="360" w:lineRule="auto"/>
        <w:rPr>
          <w:rFonts w:cs="Arial"/>
          <w:szCs w:val="24"/>
        </w:rPr>
      </w:pPr>
      <w:r w:rsidRPr="003C3F61">
        <w:rPr>
          <w:szCs w:val="24"/>
        </w:rPr>
        <w:t>Supreme Court 21 March 2003 (</w:t>
      </w:r>
      <w:r w:rsidRPr="003C3F61">
        <w:rPr>
          <w:i/>
          <w:iCs/>
          <w:szCs w:val="24"/>
        </w:rPr>
        <w:t>Nitrate Directive</w:t>
      </w:r>
      <w:r w:rsidRPr="003C3F61">
        <w:rPr>
          <w:szCs w:val="24"/>
        </w:rPr>
        <w:t>)</w:t>
      </w:r>
      <w:r w:rsidR="00F4716B">
        <w:rPr>
          <w:szCs w:val="24"/>
        </w:rPr>
        <w:t>,</w:t>
      </w:r>
      <w:r w:rsidRPr="003C3F61">
        <w:rPr>
          <w:szCs w:val="24"/>
        </w:rPr>
        <w:t xml:space="preserve"> ECLI</w:t>
      </w:r>
      <w:proofErr w:type="gramStart"/>
      <w:r w:rsidRPr="003C3F61">
        <w:rPr>
          <w:szCs w:val="24"/>
        </w:rPr>
        <w:t>:NL:HR:2003:AE8462</w:t>
      </w:r>
      <w:proofErr w:type="gramEnd"/>
    </w:p>
    <w:p w14:paraId="65AB5151" w14:textId="0503F9F2" w:rsidR="003C3F61" w:rsidRPr="003C3F61" w:rsidRDefault="003C3F61" w:rsidP="00F9312C">
      <w:pPr>
        <w:spacing w:line="360" w:lineRule="auto"/>
        <w:rPr>
          <w:szCs w:val="24"/>
        </w:rPr>
      </w:pPr>
      <w:r w:rsidRPr="003C3F61">
        <w:rPr>
          <w:rStyle w:val="Strong"/>
          <w:b w:val="0"/>
          <w:bCs w:val="0"/>
          <w:szCs w:val="24"/>
        </w:rPr>
        <w:t>Supreme Court</w:t>
      </w:r>
      <w:r w:rsidRPr="003C3F61">
        <w:rPr>
          <w:b/>
          <w:bCs/>
          <w:szCs w:val="24"/>
        </w:rPr>
        <w:t xml:space="preserve"> </w:t>
      </w:r>
      <w:r w:rsidRPr="003C3F61">
        <w:rPr>
          <w:szCs w:val="24"/>
        </w:rPr>
        <w:t xml:space="preserve">28 May 2004 </w:t>
      </w:r>
      <w:r w:rsidR="00F4716B">
        <w:rPr>
          <w:szCs w:val="24"/>
        </w:rPr>
        <w:t>(</w:t>
      </w:r>
      <w:r w:rsidRPr="00F4716B">
        <w:rPr>
          <w:i/>
          <w:iCs/>
          <w:szCs w:val="24"/>
        </w:rPr>
        <w:t>Jet blast</w:t>
      </w:r>
      <w:r w:rsidR="00F4716B">
        <w:rPr>
          <w:szCs w:val="24"/>
        </w:rPr>
        <w:t>)</w:t>
      </w:r>
      <w:r w:rsidRPr="003C3F61">
        <w:rPr>
          <w:szCs w:val="24"/>
        </w:rPr>
        <w:t>, ECLI</w:t>
      </w:r>
      <w:proofErr w:type="gramStart"/>
      <w:r w:rsidRPr="003C3F61">
        <w:rPr>
          <w:szCs w:val="24"/>
        </w:rPr>
        <w:t>:NL:HR:2004:AO4224</w:t>
      </w:r>
      <w:proofErr w:type="gramEnd"/>
    </w:p>
    <w:p w14:paraId="5CAF33B7" w14:textId="66778A84" w:rsidR="003C3F61" w:rsidRPr="003C3F61" w:rsidRDefault="003C3F61" w:rsidP="00F9312C">
      <w:pPr>
        <w:pStyle w:val="FootnoteText"/>
        <w:spacing w:line="360" w:lineRule="auto"/>
        <w:rPr>
          <w:sz w:val="24"/>
          <w:szCs w:val="24"/>
        </w:rPr>
      </w:pPr>
      <w:r w:rsidRPr="003C3F61">
        <w:rPr>
          <w:sz w:val="24"/>
          <w:szCs w:val="24"/>
        </w:rPr>
        <w:t>Supreme Court 17 December 2010 (</w:t>
      </w:r>
      <w:r w:rsidRPr="003C3F61">
        <w:rPr>
          <w:i/>
          <w:iCs/>
          <w:sz w:val="24"/>
          <w:szCs w:val="24"/>
        </w:rPr>
        <w:t xml:space="preserve">Peat Dike </w:t>
      </w:r>
      <w:proofErr w:type="spellStart"/>
      <w:r w:rsidRPr="003C3F61">
        <w:rPr>
          <w:i/>
          <w:iCs/>
          <w:sz w:val="24"/>
          <w:szCs w:val="24"/>
        </w:rPr>
        <w:t>Wilnis</w:t>
      </w:r>
      <w:proofErr w:type="spellEnd"/>
      <w:r w:rsidRPr="003C3F61">
        <w:rPr>
          <w:sz w:val="24"/>
          <w:szCs w:val="24"/>
        </w:rPr>
        <w:t>)</w:t>
      </w:r>
      <w:r w:rsidR="00F4716B">
        <w:rPr>
          <w:sz w:val="24"/>
          <w:szCs w:val="24"/>
        </w:rPr>
        <w:t>,</w:t>
      </w:r>
      <w:r w:rsidRPr="003C3F61">
        <w:rPr>
          <w:sz w:val="24"/>
          <w:szCs w:val="24"/>
        </w:rPr>
        <w:t xml:space="preserve"> ECLI</w:t>
      </w:r>
      <w:proofErr w:type="gramStart"/>
      <w:r w:rsidRPr="003C3F61">
        <w:rPr>
          <w:sz w:val="24"/>
          <w:szCs w:val="24"/>
        </w:rPr>
        <w:t>:NL:HR:2010:BN6236</w:t>
      </w:r>
      <w:proofErr w:type="gramEnd"/>
      <w:r w:rsidRPr="003C3F61">
        <w:rPr>
          <w:sz w:val="24"/>
          <w:szCs w:val="24"/>
        </w:rPr>
        <w:t xml:space="preserve"> </w:t>
      </w:r>
    </w:p>
    <w:p w14:paraId="7C6D6C43" w14:textId="7B1038BD" w:rsidR="00036CE1" w:rsidRPr="003C3F61" w:rsidRDefault="003C3F61" w:rsidP="00F9312C">
      <w:pPr>
        <w:pStyle w:val="FootnoteText"/>
        <w:spacing w:line="360" w:lineRule="auto"/>
        <w:rPr>
          <w:sz w:val="24"/>
          <w:szCs w:val="24"/>
        </w:rPr>
      </w:pPr>
      <w:r w:rsidRPr="003C3F61">
        <w:rPr>
          <w:sz w:val="24"/>
          <w:szCs w:val="24"/>
        </w:rPr>
        <w:t>Supreme Court 4 April 2014 (</w:t>
      </w:r>
      <w:r w:rsidRPr="003C3F61">
        <w:rPr>
          <w:i/>
          <w:iCs/>
          <w:sz w:val="24"/>
          <w:szCs w:val="24"/>
        </w:rPr>
        <w:t>Falling cyclist</w:t>
      </w:r>
      <w:r w:rsidRPr="003C3F61">
        <w:rPr>
          <w:sz w:val="24"/>
          <w:szCs w:val="24"/>
        </w:rPr>
        <w:t>)</w:t>
      </w:r>
      <w:r w:rsidR="00F4716B">
        <w:rPr>
          <w:sz w:val="24"/>
          <w:szCs w:val="24"/>
        </w:rPr>
        <w:t>,</w:t>
      </w:r>
      <w:r w:rsidRPr="003C3F61">
        <w:rPr>
          <w:sz w:val="24"/>
          <w:szCs w:val="24"/>
        </w:rPr>
        <w:t xml:space="preserve"> ECLI</w:t>
      </w:r>
      <w:proofErr w:type="gramStart"/>
      <w:r w:rsidRPr="003C3F61">
        <w:rPr>
          <w:sz w:val="24"/>
          <w:szCs w:val="24"/>
        </w:rPr>
        <w:t>:NL:HR:2014:831</w:t>
      </w:r>
      <w:proofErr w:type="gramEnd"/>
    </w:p>
    <w:p w14:paraId="1751CE3D" w14:textId="5226B3A8" w:rsidR="00036CE1" w:rsidRPr="003C3F61" w:rsidRDefault="00036CE1" w:rsidP="00F9312C">
      <w:pPr>
        <w:pStyle w:val="FootnoteText"/>
        <w:spacing w:line="360" w:lineRule="auto"/>
        <w:rPr>
          <w:sz w:val="24"/>
          <w:szCs w:val="24"/>
        </w:rPr>
      </w:pPr>
      <w:r w:rsidRPr="003C3F61">
        <w:rPr>
          <w:sz w:val="24"/>
          <w:szCs w:val="24"/>
        </w:rPr>
        <w:t>Supreme Court</w:t>
      </w:r>
      <w:r w:rsidRPr="003C3F61">
        <w:rPr>
          <w:rFonts w:cs="Arial"/>
          <w:sz w:val="24"/>
          <w:szCs w:val="24"/>
        </w:rPr>
        <w:t xml:space="preserve"> 10 October 2014, ECLI</w:t>
      </w:r>
      <w:proofErr w:type="gramStart"/>
      <w:r w:rsidRPr="003C3F61">
        <w:rPr>
          <w:rFonts w:cs="Arial"/>
          <w:sz w:val="24"/>
          <w:szCs w:val="24"/>
        </w:rPr>
        <w:t>:NL:HR:2014:2928</w:t>
      </w:r>
      <w:proofErr w:type="gramEnd"/>
    </w:p>
    <w:p w14:paraId="123B387C" w14:textId="7C70B207" w:rsidR="00036CE1" w:rsidRPr="003C3F61" w:rsidRDefault="00036CE1" w:rsidP="00F9312C">
      <w:pPr>
        <w:spacing w:line="360" w:lineRule="auto"/>
        <w:rPr>
          <w:b/>
          <w:szCs w:val="24"/>
        </w:rPr>
      </w:pPr>
      <w:r w:rsidRPr="003C3F61">
        <w:rPr>
          <w:szCs w:val="24"/>
        </w:rPr>
        <w:t xml:space="preserve">Supreme Court 20 December 2019 </w:t>
      </w:r>
      <w:r w:rsidR="003C3F61" w:rsidRPr="003C3F61">
        <w:rPr>
          <w:szCs w:val="24"/>
        </w:rPr>
        <w:t>(</w:t>
      </w:r>
      <w:proofErr w:type="spellStart"/>
      <w:r w:rsidR="003C3F61" w:rsidRPr="00F4716B">
        <w:rPr>
          <w:i/>
          <w:iCs/>
          <w:szCs w:val="24"/>
        </w:rPr>
        <w:t>Urgenda</w:t>
      </w:r>
      <w:proofErr w:type="spellEnd"/>
      <w:r w:rsidR="003C3F61" w:rsidRPr="003C3F61">
        <w:rPr>
          <w:szCs w:val="24"/>
        </w:rPr>
        <w:t>)</w:t>
      </w:r>
      <w:r w:rsidR="00F4716B">
        <w:rPr>
          <w:szCs w:val="24"/>
        </w:rPr>
        <w:t>,</w:t>
      </w:r>
      <w:r w:rsidR="003C3F61" w:rsidRPr="003C3F61">
        <w:rPr>
          <w:szCs w:val="24"/>
        </w:rPr>
        <w:t xml:space="preserve"> </w:t>
      </w:r>
      <w:r w:rsidRPr="003C3F61">
        <w:rPr>
          <w:szCs w:val="24"/>
        </w:rPr>
        <w:t>ECLI</w:t>
      </w:r>
      <w:proofErr w:type="gramStart"/>
      <w:r w:rsidRPr="003C3F61">
        <w:rPr>
          <w:szCs w:val="24"/>
        </w:rPr>
        <w:t>:NL:HR:2019:2006</w:t>
      </w:r>
      <w:proofErr w:type="gramEnd"/>
      <w:r w:rsidRPr="003C3F61">
        <w:rPr>
          <w:szCs w:val="24"/>
        </w:rPr>
        <w:t xml:space="preserve"> </w:t>
      </w:r>
    </w:p>
    <w:p w14:paraId="07A31583" w14:textId="77777777" w:rsidR="00D7230A" w:rsidRDefault="00D7230A" w:rsidP="00F9312C">
      <w:pPr>
        <w:spacing w:line="360" w:lineRule="auto"/>
        <w:rPr>
          <w:b/>
        </w:rPr>
      </w:pPr>
    </w:p>
    <w:p w14:paraId="1727C40D" w14:textId="06445CA7" w:rsidR="005F0C1F" w:rsidRDefault="00E3152B" w:rsidP="00F9312C">
      <w:pPr>
        <w:pStyle w:val="Heading2"/>
        <w:spacing w:line="360" w:lineRule="auto"/>
      </w:pPr>
      <w:r w:rsidRPr="00E3152B">
        <w:t>Databases and Search Engines Used</w:t>
      </w:r>
    </w:p>
    <w:p w14:paraId="12E9FF41" w14:textId="08079016" w:rsidR="008A5CD8" w:rsidRPr="00850892" w:rsidRDefault="00850892" w:rsidP="00F9312C">
      <w:pPr>
        <w:spacing w:line="360" w:lineRule="auto"/>
        <w:rPr>
          <w:bCs/>
        </w:rPr>
      </w:pPr>
      <w:r w:rsidRPr="00850892">
        <w:rPr>
          <w:bCs/>
        </w:rPr>
        <w:t xml:space="preserve">Databases: CBS </w:t>
      </w:r>
      <w:proofErr w:type="spellStart"/>
      <w:r w:rsidRPr="00850892">
        <w:rPr>
          <w:bCs/>
        </w:rPr>
        <w:t>Statline</w:t>
      </w:r>
      <w:proofErr w:type="spellEnd"/>
    </w:p>
    <w:p w14:paraId="2F4ADD4D" w14:textId="3BEBA3F5" w:rsidR="00850892" w:rsidRPr="00850892" w:rsidRDefault="00850892" w:rsidP="00F9312C">
      <w:pPr>
        <w:spacing w:line="360" w:lineRule="auto"/>
        <w:rPr>
          <w:bCs/>
        </w:rPr>
      </w:pPr>
      <w:r w:rsidRPr="00850892">
        <w:rPr>
          <w:bCs/>
        </w:rPr>
        <w:t>Search engine: Google</w:t>
      </w:r>
    </w:p>
    <w:p w14:paraId="6B98DBB2" w14:textId="77777777" w:rsidR="00E3152B" w:rsidRPr="00E3152B" w:rsidRDefault="00E3152B" w:rsidP="00F9312C">
      <w:pPr>
        <w:spacing w:line="360" w:lineRule="auto"/>
        <w:rPr>
          <w:b/>
        </w:rPr>
      </w:pPr>
    </w:p>
    <w:p w14:paraId="6231259C" w14:textId="77777777" w:rsidR="005F0C1F" w:rsidRPr="00E3152B" w:rsidRDefault="005F0C1F" w:rsidP="00F9312C">
      <w:pPr>
        <w:pStyle w:val="Heading1"/>
        <w:spacing w:line="360" w:lineRule="auto"/>
      </w:pPr>
      <w:r w:rsidRPr="00E3152B">
        <w:t>Annex 1: Glossary of Key Terms</w:t>
      </w:r>
    </w:p>
    <w:p w14:paraId="79BF16AF" w14:textId="3263302E" w:rsidR="00722BAC" w:rsidRDefault="00722BAC" w:rsidP="00F9312C">
      <w:pPr>
        <w:spacing w:line="360" w:lineRule="auto"/>
        <w:rPr>
          <w:rStyle w:val="langblock"/>
          <w:lang w:val="en"/>
        </w:rPr>
      </w:pPr>
      <w:proofErr w:type="spellStart"/>
      <w:r w:rsidRPr="00850892">
        <w:t>Afdeling</w:t>
      </w:r>
      <w:proofErr w:type="spellEnd"/>
      <w:r w:rsidRPr="00850892">
        <w:t xml:space="preserve"> </w:t>
      </w:r>
      <w:proofErr w:type="spellStart"/>
      <w:r w:rsidRPr="00850892">
        <w:t>bestuursrechtspraak</w:t>
      </w:r>
      <w:proofErr w:type="spellEnd"/>
      <w:r w:rsidRPr="00850892">
        <w:t xml:space="preserve"> </w:t>
      </w:r>
      <w:proofErr w:type="spellStart"/>
      <w:r w:rsidRPr="00850892">
        <w:t>Raad</w:t>
      </w:r>
      <w:proofErr w:type="spellEnd"/>
      <w:r w:rsidRPr="00850892">
        <w:t xml:space="preserve"> van State (</w:t>
      </w:r>
      <w:proofErr w:type="spellStart"/>
      <w:r w:rsidRPr="00850892">
        <w:t>ABRvS</w:t>
      </w:r>
      <w:proofErr w:type="spellEnd"/>
      <w:r w:rsidRPr="00850892">
        <w:t xml:space="preserve">): </w:t>
      </w:r>
      <w:r w:rsidRPr="00850892">
        <w:rPr>
          <w:rStyle w:val="langblock"/>
        </w:rPr>
        <w:t>The Administrative Jurisdiction Division</w:t>
      </w:r>
      <w:r w:rsidR="00850892" w:rsidRPr="00850892">
        <w:rPr>
          <w:rStyle w:val="langblock"/>
        </w:rPr>
        <w:t xml:space="preserve"> of the Council </w:t>
      </w:r>
      <w:r w:rsidR="00850892">
        <w:rPr>
          <w:rStyle w:val="langblock"/>
        </w:rPr>
        <w:t>of State</w:t>
      </w:r>
      <w:r>
        <w:rPr>
          <w:rStyle w:val="langblock"/>
          <w:lang w:val="en"/>
        </w:rPr>
        <w:t xml:space="preserve"> is the highest general administrative court in the Netherlands. It hears </w:t>
      </w:r>
      <w:r w:rsidR="00F661D9">
        <w:rPr>
          <w:rStyle w:val="langblock"/>
          <w:lang w:val="en"/>
        </w:rPr>
        <w:t xml:space="preserve">and adjudicates </w:t>
      </w:r>
      <w:r>
        <w:rPr>
          <w:rStyle w:val="langblock"/>
          <w:lang w:val="en"/>
        </w:rPr>
        <w:t>appeals lodged by members of the public or companies against decisions or orders given by municipal, provincial or central government.</w:t>
      </w:r>
    </w:p>
    <w:p w14:paraId="2E004846" w14:textId="4E843255" w:rsidR="00707D55" w:rsidRPr="00707D55" w:rsidRDefault="00707D55" w:rsidP="00F9312C">
      <w:pPr>
        <w:spacing w:line="360" w:lineRule="auto"/>
        <w:rPr>
          <w:rStyle w:val="langblock"/>
        </w:rPr>
      </w:pPr>
      <w:proofErr w:type="spellStart"/>
      <w:r w:rsidRPr="00707D55">
        <w:rPr>
          <w:rFonts w:cs="Arial"/>
          <w:lang w:val="en"/>
        </w:rPr>
        <w:t>Alliantie</w:t>
      </w:r>
      <w:proofErr w:type="spellEnd"/>
      <w:r w:rsidRPr="00707D55">
        <w:rPr>
          <w:rFonts w:cs="Arial"/>
          <w:lang w:val="en"/>
        </w:rPr>
        <w:t xml:space="preserve"> VN-</w:t>
      </w:r>
      <w:proofErr w:type="spellStart"/>
      <w:r w:rsidRPr="00707D55">
        <w:rPr>
          <w:rFonts w:cs="Arial"/>
          <w:lang w:val="en"/>
        </w:rPr>
        <w:t>verdrag</w:t>
      </w:r>
      <w:proofErr w:type="spellEnd"/>
      <w:r w:rsidRPr="00707D55">
        <w:rPr>
          <w:rFonts w:cs="Arial"/>
          <w:lang w:val="en"/>
        </w:rPr>
        <w:t xml:space="preserve"> Handicap</w:t>
      </w:r>
      <w:r>
        <w:rPr>
          <w:rFonts w:cs="Arial"/>
          <w:lang w:val="en"/>
        </w:rPr>
        <w:t xml:space="preserve"> (</w:t>
      </w:r>
      <w:r w:rsidRPr="00707D55">
        <w:rPr>
          <w:rFonts w:cs="Arial"/>
          <w:i/>
          <w:iCs/>
          <w:lang w:val="en"/>
        </w:rPr>
        <w:t>Alliance UN Convention on the rights of persons with a disability</w:t>
      </w:r>
      <w:r>
        <w:rPr>
          <w:rFonts w:cs="Arial"/>
          <w:lang w:val="en"/>
        </w:rPr>
        <w:t>)</w:t>
      </w:r>
      <w:r w:rsidRPr="00707D55">
        <w:rPr>
          <w:rFonts w:cs="Arial"/>
          <w:lang w:val="en"/>
        </w:rPr>
        <w:t xml:space="preserve"> has as its ob</w:t>
      </w:r>
      <w:r>
        <w:rPr>
          <w:rFonts w:cs="Arial"/>
          <w:lang w:val="en"/>
        </w:rPr>
        <w:t>j</w:t>
      </w:r>
      <w:r w:rsidRPr="00707D55">
        <w:rPr>
          <w:rFonts w:cs="Arial"/>
          <w:lang w:val="en"/>
        </w:rPr>
        <w:t>ective to</w:t>
      </w:r>
      <w:r>
        <w:rPr>
          <w:rFonts w:cs="Arial"/>
          <w:lang w:val="en"/>
        </w:rPr>
        <w:t xml:space="preserve"> make the voice of persons with disabilities as loud as possible. </w:t>
      </w:r>
      <w:r w:rsidRPr="00707D55">
        <w:rPr>
          <w:rFonts w:cs="Arial"/>
        </w:rPr>
        <w:t xml:space="preserve">It exists of DPOs </w:t>
      </w:r>
      <w:proofErr w:type="spellStart"/>
      <w:proofErr w:type="gramStart"/>
      <w:r w:rsidRPr="00707D55">
        <w:rPr>
          <w:rFonts w:cs="Arial"/>
        </w:rPr>
        <w:t>Ieder</w:t>
      </w:r>
      <w:proofErr w:type="spellEnd"/>
      <w:r w:rsidRPr="00707D55">
        <w:rPr>
          <w:rFonts w:cs="Arial"/>
        </w:rPr>
        <w:t>(</w:t>
      </w:r>
      <w:proofErr w:type="gramEnd"/>
      <w:r w:rsidRPr="00707D55">
        <w:rPr>
          <w:rFonts w:cs="Arial"/>
        </w:rPr>
        <w:t xml:space="preserve">in), MIND </w:t>
      </w:r>
      <w:proofErr w:type="spellStart"/>
      <w:r w:rsidRPr="00707D55">
        <w:rPr>
          <w:rFonts w:cs="Arial"/>
        </w:rPr>
        <w:t>Landelijk</w:t>
      </w:r>
      <w:proofErr w:type="spellEnd"/>
      <w:r w:rsidRPr="00707D55">
        <w:rPr>
          <w:rFonts w:cs="Arial"/>
        </w:rPr>
        <w:t xml:space="preserve"> Platform </w:t>
      </w:r>
      <w:proofErr w:type="spellStart"/>
      <w:r w:rsidRPr="00707D55">
        <w:rPr>
          <w:rFonts w:cs="Arial"/>
        </w:rPr>
        <w:t>GGz</w:t>
      </w:r>
      <w:proofErr w:type="spellEnd"/>
      <w:r w:rsidRPr="00707D55">
        <w:rPr>
          <w:rFonts w:cs="Arial"/>
        </w:rPr>
        <w:t xml:space="preserve">, Per </w:t>
      </w:r>
      <w:proofErr w:type="spellStart"/>
      <w:r w:rsidRPr="00707D55">
        <w:rPr>
          <w:rFonts w:cs="Arial"/>
        </w:rPr>
        <w:t>Saldo</w:t>
      </w:r>
      <w:proofErr w:type="spellEnd"/>
      <w:r w:rsidRPr="00707D55">
        <w:rPr>
          <w:rFonts w:cs="Arial"/>
        </w:rPr>
        <w:t xml:space="preserve"> and LFB</w:t>
      </w:r>
      <w:r>
        <w:rPr>
          <w:rFonts w:cs="Arial"/>
        </w:rPr>
        <w:t>.</w:t>
      </w:r>
    </w:p>
    <w:p w14:paraId="041E896C" w14:textId="5588E001" w:rsidR="004C0A85" w:rsidRPr="00707D55" w:rsidRDefault="0097599D" w:rsidP="00F9312C">
      <w:pPr>
        <w:spacing w:line="360" w:lineRule="auto"/>
        <w:rPr>
          <w:rStyle w:val="langblock"/>
        </w:rPr>
      </w:pPr>
      <w:r>
        <w:rPr>
          <w:rStyle w:val="langblock"/>
        </w:rPr>
        <w:t xml:space="preserve">BOA: </w:t>
      </w:r>
      <w:proofErr w:type="spellStart"/>
      <w:r>
        <w:rPr>
          <w:rStyle w:val="langblock"/>
        </w:rPr>
        <w:t>Buitengewoon</w:t>
      </w:r>
      <w:proofErr w:type="spellEnd"/>
      <w:r>
        <w:rPr>
          <w:rStyle w:val="langblock"/>
        </w:rPr>
        <w:t xml:space="preserve"> </w:t>
      </w:r>
      <w:proofErr w:type="spellStart"/>
      <w:r>
        <w:rPr>
          <w:rStyle w:val="langblock"/>
        </w:rPr>
        <w:t>Opsporingsambtenaar</w:t>
      </w:r>
      <w:proofErr w:type="spellEnd"/>
      <w:r>
        <w:rPr>
          <w:rStyle w:val="langblock"/>
        </w:rPr>
        <w:t xml:space="preserve"> (‘</w:t>
      </w:r>
      <w:r w:rsidRPr="0097599D">
        <w:rPr>
          <w:rStyle w:val="langblock"/>
          <w:i/>
          <w:iCs/>
        </w:rPr>
        <w:t>Extraordinary Enforcement Officer</w:t>
      </w:r>
      <w:r>
        <w:rPr>
          <w:rStyle w:val="langblock"/>
        </w:rPr>
        <w:t xml:space="preserve">’): </w:t>
      </w:r>
      <w:r w:rsidRPr="0097599D">
        <w:rPr>
          <w:rStyle w:val="langblock"/>
        </w:rPr>
        <w:t>an official who, by virtue of his task, in subordination to the competent authority, in accordance with the applicable legal rules and with the help of the powers and resources made available to him, is responsible for the investigation of criminal offenses and with the preparation of any prosecution of these facts.</w:t>
      </w:r>
      <w:r>
        <w:rPr>
          <w:rStyle w:val="langblock"/>
        </w:rPr>
        <w:t xml:space="preserve"> </w:t>
      </w:r>
      <w:r w:rsidR="004C0A85" w:rsidRPr="00707D55">
        <w:rPr>
          <w:rStyle w:val="langblock"/>
        </w:rPr>
        <w:t xml:space="preserve"> </w:t>
      </w:r>
    </w:p>
    <w:p w14:paraId="408DCEE1" w14:textId="6172256D" w:rsidR="004C0A85" w:rsidRPr="00F9312C" w:rsidRDefault="007639C5" w:rsidP="00F9312C">
      <w:pPr>
        <w:spacing w:line="360" w:lineRule="auto"/>
      </w:pPr>
      <w:r w:rsidRPr="00F9312C">
        <w:t xml:space="preserve">Court system: </w:t>
      </w:r>
      <w:r w:rsidR="004C0A85" w:rsidRPr="00F9312C">
        <w:t xml:space="preserve">The Netherlands is divided into </w:t>
      </w:r>
      <w:hyperlink r:id="rId14" w:history="1">
        <w:r w:rsidR="004C0A85" w:rsidRPr="00F9312C">
          <w:t>11 district courts, 4 courts of appeal and 1 Supreme Court</w:t>
        </w:r>
      </w:hyperlink>
      <w:r w:rsidR="004C0A85" w:rsidRPr="00F9312C">
        <w:t>. Most cases start at a district court. Every district court has a limited jurisdiction sector, which hears cases such as employment or rent disputes, and civil cases involving claims of up to €25,000. This sector also hears cases involving minor criminal offences (misdemeanours).</w:t>
      </w:r>
    </w:p>
    <w:p w14:paraId="66863516" w14:textId="268361B8" w:rsidR="004C0A85" w:rsidRPr="00F9312C" w:rsidRDefault="004C0A85" w:rsidP="00F9312C">
      <w:pPr>
        <w:spacing w:line="360" w:lineRule="auto"/>
      </w:pPr>
      <w:r w:rsidRPr="00F9312C">
        <w:t xml:space="preserve">Appeal and cassation: If one of the parties disagrees with the court’s ruling, the case may be referred to a court of appeal and subsequently, through an appeal in cassation, to </w:t>
      </w:r>
      <w:hyperlink r:id="rId15" w:history="1">
        <w:r w:rsidRPr="00F9312C">
          <w:rPr>
            <w:rStyle w:val="Hyperlink"/>
            <w:rFonts w:cs="Arial"/>
            <w:color w:val="auto"/>
            <w:szCs w:val="24"/>
          </w:rPr>
          <w:t>the Supreme Court</w:t>
        </w:r>
      </w:hyperlink>
      <w:r w:rsidRPr="00F9312C">
        <w:t>.</w:t>
      </w:r>
    </w:p>
    <w:p w14:paraId="70F0C9F8" w14:textId="1033D799" w:rsidR="001109F6" w:rsidRDefault="001109F6" w:rsidP="00F9312C">
      <w:pPr>
        <w:spacing w:line="360" w:lineRule="auto"/>
        <w:rPr>
          <w:lang w:bidi="en-US"/>
        </w:rPr>
      </w:pPr>
      <w:proofErr w:type="spellStart"/>
      <w:proofErr w:type="gramStart"/>
      <w:r>
        <w:rPr>
          <w:lang w:bidi="en-US"/>
        </w:rPr>
        <w:t>Stb</w:t>
      </w:r>
      <w:proofErr w:type="spellEnd"/>
      <w:r>
        <w:rPr>
          <w:lang w:bidi="en-US"/>
        </w:rPr>
        <w:t>.:</w:t>
      </w:r>
      <w:proofErr w:type="gramEnd"/>
      <w:r>
        <w:rPr>
          <w:lang w:bidi="en-US"/>
        </w:rPr>
        <w:t xml:space="preserve"> </w:t>
      </w:r>
      <w:proofErr w:type="spellStart"/>
      <w:r w:rsidRPr="007C208D">
        <w:rPr>
          <w:i/>
          <w:lang w:bidi="en-US"/>
        </w:rPr>
        <w:t>Staatsblad</w:t>
      </w:r>
      <w:proofErr w:type="spellEnd"/>
      <w:r>
        <w:rPr>
          <w:lang w:bidi="en-US"/>
        </w:rPr>
        <w:t xml:space="preserve">. </w:t>
      </w:r>
      <w:proofErr w:type="gramStart"/>
      <w:r>
        <w:rPr>
          <w:lang w:bidi="en-US"/>
        </w:rPr>
        <w:t>Official Journal</w:t>
      </w:r>
      <w:r w:rsidR="007C208D">
        <w:rPr>
          <w:lang w:bidi="en-US"/>
        </w:rPr>
        <w:t>,</w:t>
      </w:r>
      <w:r>
        <w:rPr>
          <w:lang w:bidi="en-US"/>
        </w:rPr>
        <w:t xml:space="preserve"> in which new and adapted acts, decrees and regulations are published.</w:t>
      </w:r>
      <w:proofErr w:type="gramEnd"/>
      <w:r>
        <w:rPr>
          <w:lang w:bidi="en-US"/>
        </w:rPr>
        <w:t xml:space="preserve"> Only after publication in the </w:t>
      </w:r>
      <w:proofErr w:type="spellStart"/>
      <w:r w:rsidRPr="007C208D">
        <w:rPr>
          <w:i/>
          <w:lang w:bidi="en-US"/>
        </w:rPr>
        <w:t>Staatsblad</w:t>
      </w:r>
      <w:proofErr w:type="spellEnd"/>
      <w:r>
        <w:rPr>
          <w:lang w:bidi="en-US"/>
        </w:rPr>
        <w:t>, a law may enter into force.</w:t>
      </w:r>
    </w:p>
    <w:p w14:paraId="38A4C281" w14:textId="0F3A3045" w:rsidR="00636371" w:rsidRPr="001109F6" w:rsidRDefault="00636371" w:rsidP="00F9312C">
      <w:pPr>
        <w:spacing w:line="360" w:lineRule="auto"/>
        <w:rPr>
          <w:lang w:bidi="en-US"/>
        </w:rPr>
      </w:pPr>
      <w:proofErr w:type="gramStart"/>
      <w:r>
        <w:rPr>
          <w:lang w:bidi="en-US"/>
        </w:rPr>
        <w:t>Trb.:</w:t>
      </w:r>
      <w:proofErr w:type="gramEnd"/>
      <w:r>
        <w:rPr>
          <w:lang w:bidi="en-US"/>
        </w:rPr>
        <w:t xml:space="preserve"> </w:t>
      </w:r>
      <w:proofErr w:type="spellStart"/>
      <w:r w:rsidRPr="00636371">
        <w:rPr>
          <w:i/>
          <w:lang w:bidi="en-US"/>
        </w:rPr>
        <w:t>Tractatenblad</w:t>
      </w:r>
      <w:proofErr w:type="spellEnd"/>
      <w:r>
        <w:rPr>
          <w:lang w:bidi="en-US"/>
        </w:rPr>
        <w:t xml:space="preserve">. </w:t>
      </w:r>
      <w:proofErr w:type="gramStart"/>
      <w:r>
        <w:rPr>
          <w:lang w:bidi="en-US"/>
        </w:rPr>
        <w:t>Treaty Bulletin, the official journal in which international treaties and conventions are published.</w:t>
      </w:r>
      <w:proofErr w:type="gramEnd"/>
    </w:p>
    <w:p w14:paraId="1988FD50" w14:textId="77777777" w:rsidR="00722BAC" w:rsidRPr="00E3152B" w:rsidRDefault="00722BAC" w:rsidP="00F9312C">
      <w:pPr>
        <w:spacing w:line="360" w:lineRule="auto"/>
        <w:rPr>
          <w:b/>
        </w:rPr>
      </w:pPr>
    </w:p>
    <w:sectPr w:rsidR="00722BAC" w:rsidRPr="00E3152B" w:rsidSect="00F315AA">
      <w:footerReference w:type="default" r:id="rId16"/>
      <w:pgSz w:w="11906" w:h="16838"/>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59B4C" w14:textId="77777777" w:rsidR="00B5570E" w:rsidRDefault="00B5570E" w:rsidP="00335E77">
      <w:r>
        <w:separator/>
      </w:r>
    </w:p>
  </w:endnote>
  <w:endnote w:type="continuationSeparator" w:id="0">
    <w:p w14:paraId="4F8A7A93" w14:textId="77777777" w:rsidR="00B5570E" w:rsidRDefault="00B5570E" w:rsidP="00335E77">
      <w:r>
        <w:continuationSeparator/>
      </w:r>
    </w:p>
  </w:endnote>
  <w:endnote w:type="continuationNotice" w:id="1">
    <w:p w14:paraId="3CDA7503" w14:textId="77777777" w:rsidR="00B5570E" w:rsidRDefault="00B55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calaSansOT-Bold">
    <w:altName w:val="Calibri"/>
    <w:panose1 w:val="00000000000000000000"/>
    <w:charset w:val="00"/>
    <w:family w:val="swiss"/>
    <w:notTrueType/>
    <w:pitch w:val="default"/>
    <w:sig w:usb0="00000003" w:usb1="00000000" w:usb2="00000000" w:usb3="00000000" w:csb0="00000001" w:csb1="00000000"/>
  </w:font>
  <w:font w:name="RijksoverheidSansTex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475879"/>
      <w:docPartObj>
        <w:docPartGallery w:val="Page Numbers (Bottom of Page)"/>
        <w:docPartUnique/>
      </w:docPartObj>
    </w:sdtPr>
    <w:sdtEndPr>
      <w:rPr>
        <w:sz w:val="20"/>
        <w:szCs w:val="20"/>
      </w:rPr>
    </w:sdtEndPr>
    <w:sdtContent>
      <w:p w14:paraId="389A7333" w14:textId="53558707" w:rsidR="00B5570E" w:rsidRPr="00987BA8" w:rsidRDefault="00B5570E">
        <w:pPr>
          <w:pStyle w:val="Footer"/>
          <w:rPr>
            <w:sz w:val="20"/>
            <w:szCs w:val="20"/>
          </w:rPr>
        </w:pPr>
        <w:r w:rsidRPr="00987BA8">
          <w:rPr>
            <w:sz w:val="20"/>
            <w:szCs w:val="20"/>
          </w:rPr>
          <w:fldChar w:fldCharType="begin"/>
        </w:r>
        <w:r w:rsidRPr="00987BA8">
          <w:rPr>
            <w:sz w:val="20"/>
            <w:szCs w:val="20"/>
          </w:rPr>
          <w:instrText>PAGE   \* MERGEFORMAT</w:instrText>
        </w:r>
        <w:r w:rsidRPr="00987BA8">
          <w:rPr>
            <w:sz w:val="20"/>
            <w:szCs w:val="20"/>
          </w:rPr>
          <w:fldChar w:fldCharType="separate"/>
        </w:r>
        <w:r w:rsidR="00043F52" w:rsidRPr="00043F52">
          <w:rPr>
            <w:noProof/>
            <w:sz w:val="20"/>
            <w:szCs w:val="20"/>
            <w:lang w:val="nl-NL"/>
          </w:rPr>
          <w:t>26</w:t>
        </w:r>
        <w:r w:rsidRPr="00987BA8">
          <w:rPr>
            <w:sz w:val="20"/>
            <w:szCs w:val="20"/>
          </w:rPr>
          <w:fldChar w:fldCharType="end"/>
        </w:r>
      </w:p>
    </w:sdtContent>
  </w:sdt>
  <w:p w14:paraId="0E599F96" w14:textId="77777777" w:rsidR="00B5570E" w:rsidRDefault="00B55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8D127" w14:textId="77777777" w:rsidR="00B5570E" w:rsidRDefault="00B5570E" w:rsidP="00335E77">
      <w:r>
        <w:separator/>
      </w:r>
    </w:p>
  </w:footnote>
  <w:footnote w:type="continuationSeparator" w:id="0">
    <w:p w14:paraId="728EB1E1" w14:textId="77777777" w:rsidR="00B5570E" w:rsidRDefault="00B5570E" w:rsidP="00335E77">
      <w:r>
        <w:continuationSeparator/>
      </w:r>
    </w:p>
  </w:footnote>
  <w:footnote w:type="continuationNotice" w:id="1">
    <w:p w14:paraId="551FA9F9" w14:textId="77777777" w:rsidR="00B5570E" w:rsidRDefault="00B5570E"/>
  </w:footnote>
  <w:footnote w:id="2">
    <w:p w14:paraId="67B88CCA" w14:textId="77777777" w:rsidR="00B5570E" w:rsidRPr="00DC1317" w:rsidRDefault="00B5570E" w:rsidP="002C4AB6">
      <w:pPr>
        <w:pStyle w:val="FootnoteText"/>
      </w:pPr>
      <w:r>
        <w:rPr>
          <w:rStyle w:val="FootnoteReference"/>
        </w:rPr>
        <w:footnoteRef/>
      </w:r>
      <w:r>
        <w:t xml:space="preserve"> </w:t>
      </w:r>
      <w:r w:rsidRPr="00DC1317">
        <w:t xml:space="preserve">Article 42 Constitution of the Netherlands: 1. </w:t>
      </w:r>
      <w:proofErr w:type="gramStart"/>
      <w:r>
        <w:t>The</w:t>
      </w:r>
      <w:proofErr w:type="gramEnd"/>
      <w:r>
        <w:t xml:space="preserve"> government consists of the King and the ministers. 2. The King is inviolable; the ministers are responsible.</w:t>
      </w:r>
    </w:p>
  </w:footnote>
  <w:footnote w:id="3">
    <w:p w14:paraId="2DFE1B38" w14:textId="77777777" w:rsidR="00B5570E" w:rsidRPr="00DC1317" w:rsidRDefault="00B5570E" w:rsidP="002C4AB6">
      <w:pPr>
        <w:pStyle w:val="FootnoteText"/>
      </w:pPr>
      <w:r>
        <w:rPr>
          <w:rStyle w:val="FootnoteReference"/>
        </w:rPr>
        <w:footnoteRef/>
      </w:r>
      <w:r>
        <w:t xml:space="preserve"> </w:t>
      </w:r>
      <w:r w:rsidRPr="00DC1317">
        <w:t xml:space="preserve">See: </w:t>
      </w:r>
      <w:hyperlink r:id="rId1" w:history="1">
        <w:r w:rsidRPr="00DC1317">
          <w:rPr>
            <w:rStyle w:val="Hyperlink"/>
            <w:rFonts w:cstheme="minorBidi"/>
          </w:rPr>
          <w:t>https://www.rechtspraak.nl/Organisatie-en-contact/Organisatie/Hoge-Raad-der-Nederlanden/Supreme-court-of-the-Netherlands/Paginas/The-ban-on-constitutional-review.aspx</w:t>
        </w:r>
      </w:hyperlink>
      <w:r w:rsidRPr="00DC1317">
        <w:t xml:space="preserve"> (accessed 09-03-2020)</w:t>
      </w:r>
    </w:p>
  </w:footnote>
  <w:footnote w:id="4">
    <w:p w14:paraId="0866F429" w14:textId="77777777" w:rsidR="00B5570E" w:rsidRPr="00DC1317" w:rsidRDefault="00B5570E" w:rsidP="002C4AB6">
      <w:pPr>
        <w:pStyle w:val="FootnoteText"/>
      </w:pPr>
      <w:r>
        <w:rPr>
          <w:rStyle w:val="FootnoteReference"/>
        </w:rPr>
        <w:footnoteRef/>
      </w:r>
      <w:r>
        <w:t xml:space="preserve"> </w:t>
      </w:r>
      <w:hyperlink r:id="rId2" w:history="1">
        <w:r w:rsidRPr="007727CB">
          <w:rPr>
            <w:rStyle w:val="Hyperlink"/>
            <w:rFonts w:cstheme="minorBidi"/>
          </w:rPr>
          <w:t>https://www.raadvanstate.nl/talen/artikel/</w:t>
        </w:r>
      </w:hyperlink>
      <w:r>
        <w:t xml:space="preserve"> </w:t>
      </w:r>
    </w:p>
  </w:footnote>
  <w:footnote w:id="5">
    <w:p w14:paraId="065132A5" w14:textId="59C051CD" w:rsidR="00B5570E" w:rsidRPr="00C44F11" w:rsidRDefault="00B5570E" w:rsidP="00C44F11">
      <w:pPr>
        <w:rPr>
          <w:rFonts w:cs="Arial"/>
          <w:color w:val="000000"/>
          <w:sz w:val="20"/>
          <w:szCs w:val="20"/>
        </w:rPr>
      </w:pPr>
      <w:r>
        <w:rPr>
          <w:rStyle w:val="FootnoteReference"/>
        </w:rPr>
        <w:footnoteRef/>
      </w:r>
      <w:r>
        <w:t xml:space="preserve"> </w:t>
      </w:r>
      <w:r w:rsidRPr="00C44F11">
        <w:rPr>
          <w:rFonts w:cs="Arial"/>
          <w:color w:val="000000"/>
          <w:sz w:val="20"/>
          <w:szCs w:val="20"/>
        </w:rPr>
        <w:t>Article 93 Constitution</w:t>
      </w:r>
      <w:r>
        <w:rPr>
          <w:rFonts w:cs="Arial"/>
          <w:color w:val="000000"/>
          <w:sz w:val="20"/>
          <w:szCs w:val="20"/>
        </w:rPr>
        <w:t>:</w:t>
      </w:r>
      <w:r w:rsidRPr="00C44F11">
        <w:rPr>
          <w:rFonts w:cs="Arial"/>
          <w:b/>
          <w:bCs/>
          <w:color w:val="000000"/>
          <w:sz w:val="20"/>
          <w:szCs w:val="20"/>
        </w:rPr>
        <w:t xml:space="preserve"> </w:t>
      </w:r>
      <w:r w:rsidRPr="00C44F11">
        <w:rPr>
          <w:rFonts w:cs="Arial"/>
          <w:i/>
          <w:iCs/>
          <w:color w:val="000000"/>
          <w:sz w:val="20"/>
          <w:szCs w:val="20"/>
        </w:rPr>
        <w:t>Provisions of treaties and of resolutions by international institutions which may be binding on all persons by virtue of their contents shall become binding after they have been published.</w:t>
      </w:r>
    </w:p>
    <w:p w14:paraId="151D4FA8" w14:textId="6855E786" w:rsidR="00B5570E" w:rsidRPr="00C44F11" w:rsidRDefault="00B5570E" w:rsidP="00C44F11">
      <w:pPr>
        <w:rPr>
          <w:rFonts w:cs="Arial"/>
          <w:color w:val="000000"/>
          <w:sz w:val="20"/>
          <w:szCs w:val="20"/>
        </w:rPr>
      </w:pPr>
      <w:r w:rsidRPr="00C44F11">
        <w:rPr>
          <w:rFonts w:cs="Arial"/>
          <w:color w:val="000000"/>
          <w:sz w:val="20"/>
          <w:szCs w:val="20"/>
        </w:rPr>
        <w:t>Article 94 Constitution</w:t>
      </w:r>
      <w:r>
        <w:rPr>
          <w:rFonts w:cs="Arial"/>
          <w:color w:val="000000"/>
          <w:sz w:val="20"/>
          <w:szCs w:val="20"/>
        </w:rPr>
        <w:t>:</w:t>
      </w:r>
      <w:r w:rsidRPr="00C44F11">
        <w:rPr>
          <w:rFonts w:cs="Arial"/>
          <w:b/>
          <w:bCs/>
          <w:color w:val="000000"/>
          <w:sz w:val="20"/>
          <w:szCs w:val="20"/>
        </w:rPr>
        <w:t xml:space="preserve"> </w:t>
      </w:r>
      <w:r w:rsidRPr="00C44F11">
        <w:rPr>
          <w:rFonts w:cs="Arial"/>
          <w:i/>
          <w:iCs/>
          <w:color w:val="000000"/>
          <w:sz w:val="20"/>
          <w:szCs w:val="20"/>
        </w:rPr>
        <w:t>Statutory regulations in force within the Kingdom shall not be applicable if such application is in conflict with provisions of treaties or of resolutions by international institutions that are binding on all persons.</w:t>
      </w:r>
    </w:p>
  </w:footnote>
  <w:footnote w:id="6">
    <w:p w14:paraId="70B180F0" w14:textId="573CD7FF" w:rsidR="00B5570E" w:rsidRPr="00DC1317" w:rsidRDefault="00B5570E" w:rsidP="002C4AB6">
      <w:pPr>
        <w:pStyle w:val="FootnoteText"/>
      </w:pPr>
      <w:r>
        <w:rPr>
          <w:rStyle w:val="FootnoteReference"/>
        </w:rPr>
        <w:footnoteRef/>
      </w:r>
      <w:r>
        <w:t xml:space="preserve"> </w:t>
      </w:r>
      <w:r w:rsidRPr="00E94271">
        <w:rPr>
          <w:rFonts w:cs="Arial"/>
          <w:szCs w:val="20"/>
        </w:rPr>
        <w:t>L. F. M.</w:t>
      </w:r>
      <w:r>
        <w:rPr>
          <w:rFonts w:cs="Arial"/>
          <w:szCs w:val="20"/>
        </w:rPr>
        <w:t xml:space="preserve"> </w:t>
      </w:r>
      <w:proofErr w:type="spellStart"/>
      <w:r w:rsidRPr="00E94271">
        <w:rPr>
          <w:rFonts w:cs="Arial"/>
          <w:szCs w:val="20"/>
        </w:rPr>
        <w:t>Besselink</w:t>
      </w:r>
      <w:proofErr w:type="spellEnd"/>
      <w:r w:rsidRPr="00E94271">
        <w:rPr>
          <w:rFonts w:cs="Arial"/>
          <w:szCs w:val="20"/>
        </w:rPr>
        <w:t xml:space="preserve"> </w:t>
      </w:r>
      <w:r>
        <w:rPr>
          <w:rFonts w:cs="Arial"/>
          <w:szCs w:val="20"/>
        </w:rPr>
        <w:t>‘</w:t>
      </w:r>
      <w:r w:rsidRPr="005C1F2A">
        <w:rPr>
          <w:rFonts w:cs="Arial"/>
          <w:szCs w:val="20"/>
        </w:rPr>
        <w:t>The Kingdom of the Netherlands</w:t>
      </w:r>
      <w:r>
        <w:rPr>
          <w:rFonts w:cs="Arial"/>
          <w:szCs w:val="20"/>
        </w:rPr>
        <w:t>’</w:t>
      </w:r>
      <w:r w:rsidRPr="005C1F2A">
        <w:rPr>
          <w:rFonts w:cs="Arial"/>
          <w:szCs w:val="20"/>
        </w:rPr>
        <w:t xml:space="preserve"> </w:t>
      </w:r>
      <w:r>
        <w:rPr>
          <w:rFonts w:cs="Arial"/>
          <w:szCs w:val="20"/>
        </w:rPr>
        <w:t>i</w:t>
      </w:r>
      <w:r w:rsidRPr="005C1F2A">
        <w:rPr>
          <w:rFonts w:cs="Arial"/>
          <w:szCs w:val="20"/>
        </w:rPr>
        <w:t xml:space="preserve">n L. </w:t>
      </w:r>
      <w:proofErr w:type="spellStart"/>
      <w:r w:rsidRPr="005C1F2A">
        <w:rPr>
          <w:rFonts w:cs="Arial"/>
          <w:szCs w:val="20"/>
        </w:rPr>
        <w:t>Besselink</w:t>
      </w:r>
      <w:proofErr w:type="spellEnd"/>
      <w:r w:rsidRPr="005C1F2A">
        <w:rPr>
          <w:rFonts w:cs="Arial"/>
          <w:szCs w:val="20"/>
        </w:rPr>
        <w:t xml:space="preserve">, P. </w:t>
      </w:r>
      <w:proofErr w:type="spellStart"/>
      <w:r w:rsidRPr="005C1F2A">
        <w:rPr>
          <w:rFonts w:cs="Arial"/>
          <w:szCs w:val="20"/>
        </w:rPr>
        <w:t>Bovend’Eert</w:t>
      </w:r>
      <w:proofErr w:type="spellEnd"/>
      <w:r w:rsidRPr="005C1F2A">
        <w:rPr>
          <w:rFonts w:cs="Arial"/>
          <w:szCs w:val="20"/>
        </w:rPr>
        <w:t xml:space="preserve">, H. </w:t>
      </w:r>
      <w:proofErr w:type="spellStart"/>
      <w:r w:rsidRPr="005C1F2A">
        <w:rPr>
          <w:rFonts w:cs="Arial"/>
          <w:szCs w:val="20"/>
        </w:rPr>
        <w:t>Broeksteeg</w:t>
      </w:r>
      <w:proofErr w:type="spellEnd"/>
      <w:r w:rsidRPr="005C1F2A">
        <w:rPr>
          <w:rFonts w:cs="Arial"/>
          <w:szCs w:val="20"/>
        </w:rPr>
        <w:t xml:space="preserve">, R.de Lange, &amp; W. </w:t>
      </w:r>
      <w:proofErr w:type="spellStart"/>
      <w:r w:rsidRPr="005C1F2A">
        <w:rPr>
          <w:rFonts w:cs="Arial"/>
          <w:szCs w:val="20"/>
        </w:rPr>
        <w:t>Voermans</w:t>
      </w:r>
      <w:proofErr w:type="spellEnd"/>
      <w:r w:rsidRPr="005C1F2A">
        <w:rPr>
          <w:rFonts w:cs="Arial"/>
          <w:szCs w:val="20"/>
        </w:rPr>
        <w:t xml:space="preserve"> (</w:t>
      </w:r>
      <w:r>
        <w:rPr>
          <w:rFonts w:cs="Arial"/>
          <w:szCs w:val="20"/>
        </w:rPr>
        <w:t>e</w:t>
      </w:r>
      <w:r w:rsidRPr="005C1F2A">
        <w:rPr>
          <w:rFonts w:cs="Arial"/>
          <w:szCs w:val="20"/>
        </w:rPr>
        <w:t xml:space="preserve">ds.), </w:t>
      </w:r>
      <w:r w:rsidRPr="00281EDC">
        <w:rPr>
          <w:rFonts w:cs="Arial"/>
          <w:i/>
          <w:iCs/>
          <w:szCs w:val="20"/>
        </w:rPr>
        <w:t>Constitutional law of the EU member states</w:t>
      </w:r>
      <w:r w:rsidRPr="005C1F2A">
        <w:rPr>
          <w:rFonts w:cs="Arial"/>
          <w:szCs w:val="20"/>
        </w:rPr>
        <w:t xml:space="preserve"> </w:t>
      </w:r>
      <w:r>
        <w:rPr>
          <w:rFonts w:cs="Arial"/>
          <w:szCs w:val="20"/>
        </w:rPr>
        <w:t>(</w:t>
      </w:r>
      <w:r w:rsidRPr="00DC1317">
        <w:rPr>
          <w:rFonts w:cs="Arial"/>
          <w:szCs w:val="20"/>
        </w:rPr>
        <w:t>Kluwer</w:t>
      </w:r>
      <w:r>
        <w:rPr>
          <w:rFonts w:cs="Arial"/>
          <w:szCs w:val="20"/>
        </w:rPr>
        <w:t xml:space="preserve"> 2014)</w:t>
      </w:r>
      <w:r w:rsidRPr="00DC1317">
        <w:rPr>
          <w:rFonts w:cs="Arial"/>
          <w:szCs w:val="20"/>
        </w:rPr>
        <w:t>, p. 1205-1208.</w:t>
      </w:r>
    </w:p>
  </w:footnote>
  <w:footnote w:id="7">
    <w:p w14:paraId="64AC724B" w14:textId="0E934B39" w:rsidR="00B5570E" w:rsidRPr="00DC1317" w:rsidRDefault="00B5570E" w:rsidP="002C4AB6">
      <w:pPr>
        <w:pStyle w:val="FootnoteText"/>
      </w:pPr>
      <w:r>
        <w:rPr>
          <w:rStyle w:val="FootnoteReference"/>
        </w:rPr>
        <w:footnoteRef/>
      </w:r>
      <w:r>
        <w:t xml:space="preserve"> </w:t>
      </w:r>
      <w:r w:rsidRPr="00DC1317">
        <w:t xml:space="preserve"> </w:t>
      </w:r>
      <w:r w:rsidRPr="00DC1317">
        <w:rPr>
          <w:rFonts w:cs="Arial"/>
          <w:szCs w:val="20"/>
        </w:rPr>
        <w:t>Supreme Court 30 May 1986</w:t>
      </w:r>
      <w:r w:rsidRPr="00DC1317">
        <w:rPr>
          <w:rFonts w:cs="Arial"/>
          <w:sz w:val="19"/>
          <w:szCs w:val="19"/>
        </w:rPr>
        <w:t xml:space="preserve">, </w:t>
      </w:r>
      <w:r w:rsidRPr="00DC1317">
        <w:rPr>
          <w:rFonts w:cs="Arial"/>
          <w:szCs w:val="20"/>
        </w:rPr>
        <w:t>ECLI</w:t>
      </w:r>
      <w:proofErr w:type="gramStart"/>
      <w:r w:rsidRPr="00DC1317">
        <w:rPr>
          <w:rFonts w:cs="Arial"/>
          <w:szCs w:val="20"/>
        </w:rPr>
        <w:t>:NL:HR:1986:AC9402</w:t>
      </w:r>
      <w:proofErr w:type="gramEnd"/>
      <w:r w:rsidRPr="00DC1317">
        <w:rPr>
          <w:rFonts w:cs="Arial"/>
          <w:szCs w:val="20"/>
        </w:rPr>
        <w:t xml:space="preserve">: </w:t>
      </w:r>
      <w:r w:rsidRPr="00DC1317">
        <w:rPr>
          <w:rFonts w:cs="Arial"/>
          <w:sz w:val="19"/>
          <w:szCs w:val="19"/>
        </w:rPr>
        <w:t>‘</w:t>
      </w:r>
      <w:r w:rsidRPr="001A6F3F">
        <w:rPr>
          <w:szCs w:val="20"/>
        </w:rPr>
        <w:t>Only the content of the provision is decisive: does it oblige the Dutch legislator to make a national regulation with certain content or scope, or is it of such a nature that the provision in the national legal order can simply function as an objective right?</w:t>
      </w:r>
      <w:r>
        <w:rPr>
          <w:szCs w:val="20"/>
        </w:rPr>
        <w:t>’</w:t>
      </w:r>
    </w:p>
  </w:footnote>
  <w:footnote w:id="8">
    <w:p w14:paraId="46A991DE" w14:textId="43B97876" w:rsidR="00B5570E" w:rsidRPr="00DC1317" w:rsidRDefault="00B5570E" w:rsidP="002C4AB6">
      <w:pPr>
        <w:pStyle w:val="FootnoteText"/>
      </w:pPr>
      <w:r>
        <w:rPr>
          <w:rStyle w:val="FootnoteReference"/>
        </w:rPr>
        <w:footnoteRef/>
      </w:r>
      <w:r>
        <w:t xml:space="preserve"> </w:t>
      </w:r>
      <w:r w:rsidRPr="00DC1317">
        <w:t>Supreme Court</w:t>
      </w:r>
      <w:r w:rsidRPr="00DC1317">
        <w:rPr>
          <w:rFonts w:cs="Arial"/>
          <w:sz w:val="19"/>
          <w:szCs w:val="19"/>
        </w:rPr>
        <w:t xml:space="preserve"> </w:t>
      </w:r>
      <w:r w:rsidRPr="00DC1317">
        <w:rPr>
          <w:rFonts w:cs="Arial"/>
          <w:szCs w:val="20"/>
        </w:rPr>
        <w:t>10 October 2014, ECLI</w:t>
      </w:r>
      <w:proofErr w:type="gramStart"/>
      <w:r w:rsidRPr="00DC1317">
        <w:rPr>
          <w:rFonts w:cs="Arial"/>
          <w:szCs w:val="20"/>
        </w:rPr>
        <w:t>:NL:HR:2014:2928</w:t>
      </w:r>
      <w:proofErr w:type="gramEnd"/>
      <w:r w:rsidRPr="00DC1317">
        <w:rPr>
          <w:rFonts w:cs="Arial"/>
          <w:szCs w:val="20"/>
        </w:rPr>
        <w:t>.</w:t>
      </w:r>
    </w:p>
  </w:footnote>
  <w:footnote w:id="9">
    <w:p w14:paraId="724DDDB1" w14:textId="1D0020D9" w:rsidR="00B5570E" w:rsidRPr="00DC1317" w:rsidRDefault="00B5570E" w:rsidP="002C4AB6">
      <w:pPr>
        <w:rPr>
          <w:rFonts w:cs="Arial"/>
          <w:b/>
          <w:bCs/>
          <w:sz w:val="20"/>
          <w:szCs w:val="20"/>
        </w:rPr>
      </w:pPr>
      <w:r>
        <w:rPr>
          <w:rStyle w:val="FootnoteReference"/>
        </w:rPr>
        <w:footnoteRef/>
      </w:r>
      <w:r>
        <w:t xml:space="preserve"> </w:t>
      </w:r>
      <w:r w:rsidRPr="00DC1317">
        <w:rPr>
          <w:sz w:val="20"/>
          <w:szCs w:val="20"/>
        </w:rPr>
        <w:t>Supreme Court 20 December 2019, ECLI</w:t>
      </w:r>
      <w:proofErr w:type="gramStart"/>
      <w:r w:rsidRPr="00DC1317">
        <w:rPr>
          <w:sz w:val="20"/>
          <w:szCs w:val="20"/>
        </w:rPr>
        <w:t>:NL:HR:2019:2006</w:t>
      </w:r>
      <w:proofErr w:type="gramEnd"/>
      <w:r w:rsidRPr="00DC1317">
        <w:rPr>
          <w:sz w:val="20"/>
          <w:szCs w:val="20"/>
        </w:rPr>
        <w:t xml:space="preserve"> (</w:t>
      </w:r>
      <w:proofErr w:type="spellStart"/>
      <w:r w:rsidRPr="00F4716B">
        <w:rPr>
          <w:i/>
          <w:iCs/>
          <w:sz w:val="20"/>
          <w:szCs w:val="20"/>
        </w:rPr>
        <w:t>Urgenda</w:t>
      </w:r>
      <w:proofErr w:type="spellEnd"/>
      <w:r w:rsidRPr="00DC1317">
        <w:rPr>
          <w:sz w:val="20"/>
          <w:szCs w:val="20"/>
        </w:rPr>
        <w:t>), Para 5.6.1</w:t>
      </w:r>
      <w:r>
        <w:rPr>
          <w:sz w:val="20"/>
          <w:szCs w:val="20"/>
        </w:rPr>
        <w:t xml:space="preserve">, See for an English translation </w:t>
      </w:r>
      <w:hyperlink r:id="rId3" w:history="1">
        <w:r w:rsidRPr="008714C5">
          <w:rPr>
            <w:rStyle w:val="Hyperlink"/>
            <w:rFonts w:cstheme="minorBidi"/>
            <w:sz w:val="20"/>
            <w:szCs w:val="20"/>
          </w:rPr>
          <w:t>https://uitspraken.rechtspraak.nl/inziendocument?id=ECLI:NL:HR:2019:2007</w:t>
        </w:r>
      </w:hyperlink>
      <w:r>
        <w:rPr>
          <w:sz w:val="20"/>
          <w:szCs w:val="20"/>
        </w:rPr>
        <w:t>. Also see</w:t>
      </w:r>
    </w:p>
    <w:p w14:paraId="303ECCA8" w14:textId="77777777" w:rsidR="00B5570E" w:rsidRPr="00DC1317" w:rsidRDefault="00043F52" w:rsidP="002C4AB6">
      <w:pPr>
        <w:pStyle w:val="FootnoteText"/>
      </w:pPr>
      <w:hyperlink r:id="rId4" w:history="1">
        <w:r w:rsidR="00B5570E" w:rsidRPr="00DC1317">
          <w:rPr>
            <w:rStyle w:val="Hyperlink"/>
            <w:rFonts w:cs="Arial"/>
            <w:szCs w:val="20"/>
          </w:rPr>
          <w:t>https://leidenlawblog.nl/articles/the-urgenda-decision-the-landmark-dutch-climate-change-case</w:t>
        </w:r>
      </w:hyperlink>
    </w:p>
  </w:footnote>
  <w:footnote w:id="10">
    <w:p w14:paraId="743E1E86" w14:textId="110F2135" w:rsidR="00B5570E" w:rsidRPr="00486C8D" w:rsidRDefault="00B5570E" w:rsidP="002C4AB6">
      <w:pPr>
        <w:pStyle w:val="FootnoteText"/>
        <w:rPr>
          <w:lang w:val="nl-NL"/>
        </w:rPr>
      </w:pPr>
      <w:r>
        <w:rPr>
          <w:rStyle w:val="FootnoteReference"/>
        </w:rPr>
        <w:footnoteRef/>
      </w:r>
      <w:r w:rsidRPr="00486C8D">
        <w:rPr>
          <w:lang w:val="nl-NL"/>
        </w:rPr>
        <w:t xml:space="preserve"> </w:t>
      </w:r>
      <w:r w:rsidRPr="00486C8D">
        <w:rPr>
          <w:lang w:val="nl-NL"/>
        </w:rPr>
        <w:t xml:space="preserve">Case 26/62 </w:t>
      </w:r>
      <w:r w:rsidRPr="00486C8D">
        <w:rPr>
          <w:i/>
          <w:iCs/>
          <w:lang w:val="nl-NL"/>
        </w:rPr>
        <w:t>NV Algemene Transport- en Expeditie Onderneming van Gend &amp; Loos v Netherlands Inland Revenue Administration</w:t>
      </w:r>
      <w:r w:rsidRPr="00486C8D">
        <w:rPr>
          <w:lang w:val="nl-NL"/>
        </w:rPr>
        <w:t xml:space="preserve">  ECLI:EU:C:1963:1 </w:t>
      </w:r>
      <w:r>
        <w:rPr>
          <w:lang w:val="nl-NL"/>
        </w:rPr>
        <w:t>[1963]</w:t>
      </w:r>
      <w:r w:rsidRPr="00486C8D">
        <w:rPr>
          <w:lang w:val="nl-NL"/>
        </w:rPr>
        <w:t>.</w:t>
      </w:r>
    </w:p>
  </w:footnote>
  <w:footnote w:id="11">
    <w:p w14:paraId="717EA479" w14:textId="6E3138DD" w:rsidR="00B5570E" w:rsidRPr="00867F93" w:rsidRDefault="00B5570E">
      <w:pPr>
        <w:pStyle w:val="FootnoteText"/>
      </w:pPr>
      <w:r>
        <w:rPr>
          <w:rStyle w:val="FootnoteReference"/>
        </w:rPr>
        <w:footnoteRef/>
      </w:r>
      <w:r w:rsidRPr="00867F93">
        <w:t xml:space="preserve"> </w:t>
      </w:r>
      <w:proofErr w:type="gramStart"/>
      <w:r w:rsidRPr="00867F93">
        <w:t>Article 1, Constitution of the N</w:t>
      </w:r>
      <w:r>
        <w:t>etherlands.</w:t>
      </w:r>
      <w:proofErr w:type="gramEnd"/>
    </w:p>
  </w:footnote>
  <w:footnote w:id="12">
    <w:p w14:paraId="6D16E24F" w14:textId="6C72B069" w:rsidR="00B5570E" w:rsidRPr="00077245" w:rsidRDefault="00B5570E">
      <w:pPr>
        <w:pStyle w:val="FootnoteText"/>
        <w:rPr>
          <w:lang w:val="nl-NL"/>
        </w:rPr>
      </w:pPr>
      <w:r>
        <w:rPr>
          <w:rStyle w:val="FootnoteReference"/>
        </w:rPr>
        <w:footnoteRef/>
      </w:r>
      <w:r w:rsidRPr="00077245">
        <w:rPr>
          <w:lang w:val="nl-NL"/>
        </w:rPr>
        <w:t xml:space="preserve"> </w:t>
      </w:r>
      <w:r w:rsidRPr="00077245">
        <w:rPr>
          <w:lang w:val="nl-NL"/>
        </w:rPr>
        <w:t xml:space="preserve">N.M.C.P. Jägers &amp; J.P. Loof, </w:t>
      </w:r>
      <w:r>
        <w:rPr>
          <w:lang w:val="nl-NL"/>
        </w:rPr>
        <w:t>‘</w:t>
      </w:r>
      <w:r w:rsidRPr="00077245">
        <w:rPr>
          <w:lang w:val="nl-NL"/>
        </w:rPr>
        <w:t>Commentaar op artikel 1 van de Grondwet</w:t>
      </w:r>
      <w:r>
        <w:rPr>
          <w:lang w:val="nl-NL"/>
        </w:rPr>
        <w:t>’</w:t>
      </w:r>
      <w:r w:rsidRPr="00077245">
        <w:rPr>
          <w:lang w:val="nl-NL"/>
        </w:rPr>
        <w:t xml:space="preserve"> in: E.M.H. Hirsch Ballin en G. Leenknegt (</w:t>
      </w:r>
      <w:r>
        <w:rPr>
          <w:lang w:val="nl-NL"/>
        </w:rPr>
        <w:t>eds</w:t>
      </w:r>
      <w:r w:rsidRPr="00077245">
        <w:rPr>
          <w:lang w:val="nl-NL"/>
        </w:rPr>
        <w:t xml:space="preserve">.), </w:t>
      </w:r>
      <w:r w:rsidRPr="00281EDC">
        <w:rPr>
          <w:i/>
          <w:iCs/>
          <w:lang w:val="nl-NL"/>
        </w:rPr>
        <w:t>Artikelsgewijs commentaar op de Grondwet</w:t>
      </w:r>
      <w:r w:rsidRPr="00077245">
        <w:rPr>
          <w:lang w:val="nl-NL"/>
        </w:rPr>
        <w:t xml:space="preserve">, </w:t>
      </w:r>
      <w:r w:rsidRPr="00281EDC">
        <w:rPr>
          <w:i/>
          <w:iCs/>
          <w:lang w:val="nl-NL"/>
        </w:rPr>
        <w:t>webeditie 2020</w:t>
      </w:r>
      <w:r w:rsidRPr="00077245">
        <w:rPr>
          <w:lang w:val="nl-NL"/>
        </w:rPr>
        <w:t xml:space="preserve"> (www.Nederlandrechtsstaat.nl).</w:t>
      </w:r>
    </w:p>
  </w:footnote>
  <w:footnote w:id="13">
    <w:p w14:paraId="213355EB" w14:textId="0EF81B7D" w:rsidR="00B5570E" w:rsidRPr="00777CCC" w:rsidRDefault="00B5570E">
      <w:pPr>
        <w:pStyle w:val="FootnoteText"/>
      </w:pPr>
      <w:r>
        <w:rPr>
          <w:rStyle w:val="FootnoteReference"/>
        </w:rPr>
        <w:footnoteRef/>
      </w:r>
      <w:r w:rsidRPr="00777CCC">
        <w:t xml:space="preserve"> </w:t>
      </w:r>
      <w:proofErr w:type="gramStart"/>
      <w:r w:rsidRPr="00777CCC">
        <w:t xml:space="preserve">Parliamentary Documents II </w:t>
      </w:r>
      <w:r w:rsidRPr="00777CCC">
        <w:rPr>
          <w:rFonts w:eastAsiaTheme="minorHAnsi" w:cs="Arial"/>
          <w:szCs w:val="24"/>
          <w:lang w:eastAsia="en-US"/>
        </w:rPr>
        <w:t xml:space="preserve">2009–2010, 32 411, </w:t>
      </w:r>
      <w:proofErr w:type="spellStart"/>
      <w:r w:rsidRPr="00777CCC">
        <w:rPr>
          <w:rFonts w:eastAsiaTheme="minorHAnsi" w:cs="Arial"/>
          <w:szCs w:val="24"/>
          <w:lang w:eastAsia="en-US"/>
        </w:rPr>
        <w:t>nr</w:t>
      </w:r>
      <w:proofErr w:type="spellEnd"/>
      <w:r w:rsidRPr="00777CCC">
        <w:rPr>
          <w:rFonts w:eastAsiaTheme="minorHAnsi" w:cs="Arial"/>
          <w:szCs w:val="24"/>
          <w:lang w:eastAsia="en-US"/>
        </w:rPr>
        <w:t>.</w:t>
      </w:r>
      <w:proofErr w:type="gramEnd"/>
      <w:r w:rsidRPr="00777CCC">
        <w:rPr>
          <w:rFonts w:eastAsiaTheme="minorHAnsi" w:cs="Arial"/>
          <w:szCs w:val="24"/>
          <w:lang w:eastAsia="en-US"/>
        </w:rPr>
        <w:t xml:space="preserve"> 2.</w:t>
      </w:r>
    </w:p>
  </w:footnote>
  <w:footnote w:id="14">
    <w:p w14:paraId="3651A3A5" w14:textId="3DC62560" w:rsidR="00B5570E" w:rsidRPr="00777CCC" w:rsidRDefault="00B5570E">
      <w:pPr>
        <w:pStyle w:val="FootnoteText"/>
      </w:pPr>
      <w:r>
        <w:rPr>
          <w:rStyle w:val="FootnoteReference"/>
        </w:rPr>
        <w:footnoteRef/>
      </w:r>
      <w:r>
        <w:t xml:space="preserve"> </w:t>
      </w:r>
      <w:proofErr w:type="gramStart"/>
      <w:r w:rsidRPr="00777CCC">
        <w:t xml:space="preserve">Parliamentary Documents II </w:t>
      </w:r>
      <w:r w:rsidRPr="00777CCC">
        <w:rPr>
          <w:rFonts w:eastAsiaTheme="minorHAnsi" w:cs="Arial"/>
          <w:szCs w:val="24"/>
          <w:lang w:eastAsia="en-US"/>
        </w:rPr>
        <w:t>20</w:t>
      </w:r>
      <w:r>
        <w:rPr>
          <w:rFonts w:eastAsiaTheme="minorHAnsi" w:cs="Arial"/>
          <w:szCs w:val="24"/>
          <w:lang w:eastAsia="en-US"/>
        </w:rPr>
        <w:t>1</w:t>
      </w:r>
      <w:r w:rsidRPr="00777CCC">
        <w:rPr>
          <w:rFonts w:eastAsiaTheme="minorHAnsi" w:cs="Arial"/>
          <w:szCs w:val="24"/>
          <w:lang w:eastAsia="en-US"/>
        </w:rPr>
        <w:t>9–20</w:t>
      </w:r>
      <w:r>
        <w:rPr>
          <w:rFonts w:eastAsiaTheme="minorHAnsi" w:cs="Arial"/>
          <w:szCs w:val="24"/>
          <w:lang w:eastAsia="en-US"/>
        </w:rPr>
        <w:t>2</w:t>
      </w:r>
      <w:r w:rsidRPr="00777CCC">
        <w:rPr>
          <w:rFonts w:eastAsiaTheme="minorHAnsi" w:cs="Arial"/>
          <w:szCs w:val="24"/>
          <w:lang w:eastAsia="en-US"/>
        </w:rPr>
        <w:t>0, 32 411,</w:t>
      </w:r>
      <w:r>
        <w:rPr>
          <w:rFonts w:eastAsiaTheme="minorHAnsi" w:cs="Arial"/>
          <w:szCs w:val="24"/>
          <w:lang w:eastAsia="en-US"/>
        </w:rPr>
        <w:t xml:space="preserve"> HTK20192020-33-5.</w:t>
      </w:r>
      <w:proofErr w:type="gramEnd"/>
    </w:p>
  </w:footnote>
  <w:footnote w:id="15">
    <w:p w14:paraId="5B893AF9" w14:textId="07800C8C" w:rsidR="00B5570E" w:rsidRPr="004A41B9" w:rsidRDefault="00B5570E">
      <w:pPr>
        <w:pStyle w:val="FootnoteText"/>
      </w:pPr>
      <w:r>
        <w:rPr>
          <w:rStyle w:val="FootnoteReference"/>
        </w:rPr>
        <w:footnoteRef/>
      </w:r>
      <w:r>
        <w:t xml:space="preserve"> For a brief overview in English, see </w:t>
      </w:r>
      <w:hyperlink r:id="rId5" w:history="1">
        <w:r w:rsidRPr="00B67A72">
          <w:rPr>
            <w:rStyle w:val="Hyperlink"/>
            <w:rFonts w:cstheme="minorBidi"/>
          </w:rPr>
          <w:t>https://libguides.bodleian.ox.ac.uk/c.php?g=423114&amp;p=2889158</w:t>
        </w:r>
      </w:hyperlink>
      <w:r>
        <w:t xml:space="preserve"> Accessed 19 June 2020.</w:t>
      </w:r>
    </w:p>
  </w:footnote>
  <w:footnote w:id="16">
    <w:p w14:paraId="1F9F1F2F" w14:textId="07303B8F" w:rsidR="00B5570E" w:rsidRPr="004A41B9" w:rsidRDefault="00B5570E">
      <w:pPr>
        <w:pStyle w:val="FootnoteText"/>
      </w:pPr>
      <w:r>
        <w:rPr>
          <w:rStyle w:val="FootnoteReference"/>
        </w:rPr>
        <w:footnoteRef/>
      </w:r>
      <w:r w:rsidRPr="004A41B9">
        <w:t xml:space="preserve"> </w:t>
      </w:r>
      <w:hyperlink r:id="rId6" w:history="1">
        <w:r w:rsidRPr="004A41B9">
          <w:rPr>
            <w:rStyle w:val="Hyperlink"/>
            <w:rFonts w:cstheme="minorBidi"/>
          </w:rPr>
          <w:t>https://e-justice.europa.eu/content_member_state_law-6-nl-en.do</w:t>
        </w:r>
      </w:hyperlink>
      <w:r w:rsidRPr="004A41B9">
        <w:t xml:space="preserve"> </w:t>
      </w:r>
      <w:r>
        <w:t>Accessed 19 June 2020</w:t>
      </w:r>
    </w:p>
  </w:footnote>
  <w:footnote w:id="17">
    <w:p w14:paraId="03AB12C0" w14:textId="4A7CCFEE" w:rsidR="00B5570E" w:rsidRPr="00DC1317" w:rsidRDefault="00B5570E" w:rsidP="000A69AE">
      <w:pPr>
        <w:pStyle w:val="FootnoteText"/>
      </w:pPr>
      <w:r>
        <w:rPr>
          <w:rStyle w:val="FootnoteReference"/>
        </w:rPr>
        <w:footnoteRef/>
      </w:r>
      <w:r w:rsidRPr="008837C8">
        <w:t xml:space="preserve"> </w:t>
      </w:r>
      <w:r w:rsidRPr="00E94271">
        <w:rPr>
          <w:rFonts w:cs="Arial"/>
          <w:szCs w:val="20"/>
        </w:rPr>
        <w:t>L. F. M.</w:t>
      </w:r>
      <w:r>
        <w:rPr>
          <w:rFonts w:cs="Arial"/>
          <w:szCs w:val="20"/>
        </w:rPr>
        <w:t xml:space="preserve"> </w:t>
      </w:r>
      <w:proofErr w:type="spellStart"/>
      <w:r w:rsidRPr="00E94271">
        <w:rPr>
          <w:rFonts w:cs="Arial"/>
          <w:szCs w:val="20"/>
        </w:rPr>
        <w:t>Besselink</w:t>
      </w:r>
      <w:proofErr w:type="spellEnd"/>
      <w:r w:rsidRPr="00E94271">
        <w:rPr>
          <w:rFonts w:cs="Arial"/>
          <w:szCs w:val="20"/>
        </w:rPr>
        <w:t xml:space="preserve"> </w:t>
      </w:r>
      <w:r>
        <w:rPr>
          <w:rFonts w:cs="Arial"/>
          <w:szCs w:val="20"/>
        </w:rPr>
        <w:t>‘</w:t>
      </w:r>
      <w:r w:rsidRPr="005C1F2A">
        <w:rPr>
          <w:rFonts w:cs="Arial"/>
          <w:szCs w:val="20"/>
        </w:rPr>
        <w:t>The Kingdom of the Netherlands</w:t>
      </w:r>
      <w:r>
        <w:rPr>
          <w:rFonts w:cs="Arial"/>
          <w:szCs w:val="20"/>
        </w:rPr>
        <w:t>’</w:t>
      </w:r>
      <w:r w:rsidRPr="005C1F2A">
        <w:rPr>
          <w:rFonts w:cs="Arial"/>
          <w:szCs w:val="20"/>
        </w:rPr>
        <w:t xml:space="preserve"> </w:t>
      </w:r>
      <w:r>
        <w:rPr>
          <w:rFonts w:cs="Arial"/>
          <w:szCs w:val="20"/>
        </w:rPr>
        <w:t>i</w:t>
      </w:r>
      <w:r w:rsidRPr="005C1F2A">
        <w:rPr>
          <w:rFonts w:cs="Arial"/>
          <w:szCs w:val="20"/>
        </w:rPr>
        <w:t xml:space="preserve">n L. </w:t>
      </w:r>
      <w:proofErr w:type="spellStart"/>
      <w:r w:rsidRPr="005C1F2A">
        <w:rPr>
          <w:rFonts w:cs="Arial"/>
          <w:szCs w:val="20"/>
        </w:rPr>
        <w:t>Besselink</w:t>
      </w:r>
      <w:proofErr w:type="spellEnd"/>
      <w:r w:rsidRPr="005C1F2A">
        <w:rPr>
          <w:rFonts w:cs="Arial"/>
          <w:szCs w:val="20"/>
        </w:rPr>
        <w:t xml:space="preserve">, P. </w:t>
      </w:r>
      <w:proofErr w:type="spellStart"/>
      <w:r w:rsidRPr="005C1F2A">
        <w:rPr>
          <w:rFonts w:cs="Arial"/>
          <w:szCs w:val="20"/>
        </w:rPr>
        <w:t>Bovend’Eert</w:t>
      </w:r>
      <w:proofErr w:type="spellEnd"/>
      <w:r w:rsidRPr="005C1F2A">
        <w:rPr>
          <w:rFonts w:cs="Arial"/>
          <w:szCs w:val="20"/>
        </w:rPr>
        <w:t xml:space="preserve">, H. </w:t>
      </w:r>
      <w:proofErr w:type="spellStart"/>
      <w:r w:rsidRPr="005C1F2A">
        <w:rPr>
          <w:rFonts w:cs="Arial"/>
          <w:szCs w:val="20"/>
        </w:rPr>
        <w:t>Broeksteeg</w:t>
      </w:r>
      <w:proofErr w:type="spellEnd"/>
      <w:r w:rsidRPr="005C1F2A">
        <w:rPr>
          <w:rFonts w:cs="Arial"/>
          <w:szCs w:val="20"/>
        </w:rPr>
        <w:t xml:space="preserve">, R.de Lange, &amp; W. </w:t>
      </w:r>
      <w:proofErr w:type="spellStart"/>
      <w:r w:rsidRPr="005C1F2A">
        <w:rPr>
          <w:rFonts w:cs="Arial"/>
          <w:szCs w:val="20"/>
        </w:rPr>
        <w:t>Voermans</w:t>
      </w:r>
      <w:proofErr w:type="spellEnd"/>
      <w:r w:rsidRPr="005C1F2A">
        <w:rPr>
          <w:rFonts w:cs="Arial"/>
          <w:szCs w:val="20"/>
        </w:rPr>
        <w:t xml:space="preserve"> (</w:t>
      </w:r>
      <w:r>
        <w:rPr>
          <w:rFonts w:cs="Arial"/>
          <w:szCs w:val="20"/>
        </w:rPr>
        <w:t>e</w:t>
      </w:r>
      <w:r w:rsidRPr="005C1F2A">
        <w:rPr>
          <w:rFonts w:cs="Arial"/>
          <w:szCs w:val="20"/>
        </w:rPr>
        <w:t xml:space="preserve">ds.), </w:t>
      </w:r>
      <w:r w:rsidRPr="00281EDC">
        <w:rPr>
          <w:rFonts w:cs="Arial"/>
          <w:i/>
          <w:iCs/>
          <w:szCs w:val="20"/>
        </w:rPr>
        <w:t>Constitutional law of the EU member states</w:t>
      </w:r>
      <w:r w:rsidRPr="005C1F2A">
        <w:rPr>
          <w:rFonts w:cs="Arial"/>
          <w:szCs w:val="20"/>
        </w:rPr>
        <w:t xml:space="preserve"> </w:t>
      </w:r>
      <w:r>
        <w:rPr>
          <w:rFonts w:cs="Arial"/>
          <w:szCs w:val="20"/>
        </w:rPr>
        <w:t>(</w:t>
      </w:r>
      <w:r w:rsidRPr="00DC1317">
        <w:rPr>
          <w:rFonts w:cs="Arial"/>
          <w:szCs w:val="20"/>
        </w:rPr>
        <w:t>Kluwer</w:t>
      </w:r>
      <w:r>
        <w:rPr>
          <w:rFonts w:cs="Arial"/>
          <w:szCs w:val="20"/>
        </w:rPr>
        <w:t xml:space="preserve"> 2014)</w:t>
      </w:r>
      <w:r w:rsidRPr="00DC1317">
        <w:rPr>
          <w:rFonts w:cs="Arial"/>
          <w:szCs w:val="20"/>
        </w:rPr>
        <w:t xml:space="preserve">, p. </w:t>
      </w:r>
      <w:r w:rsidRPr="00DC1317">
        <w:t>1204.</w:t>
      </w:r>
    </w:p>
  </w:footnote>
  <w:footnote w:id="18">
    <w:p w14:paraId="54FB0B8B" w14:textId="77777777" w:rsidR="00B5570E" w:rsidRPr="00DC1317" w:rsidRDefault="00B5570E" w:rsidP="000A69AE">
      <w:r>
        <w:rPr>
          <w:rStyle w:val="FootnoteReference"/>
        </w:rPr>
        <w:footnoteRef/>
      </w:r>
      <w:r>
        <w:t xml:space="preserve"> </w:t>
      </w:r>
      <w:r w:rsidRPr="00DC1317">
        <w:rPr>
          <w:rFonts w:eastAsia="Times New Roman" w:cs="Arial"/>
          <w:sz w:val="20"/>
          <w:szCs w:val="20"/>
          <w:lang w:eastAsia="nl-NL"/>
        </w:rPr>
        <w:t>Article 5(2) Charter: ‘The Constitution shall have regard to the provisions of the Charter.’ Article 142 of the Constitution provides that ‘[t]he Constitution may be brought into line with the Charter for the Kingdom of the Netherlands by act of parliament.’</w:t>
      </w:r>
    </w:p>
  </w:footnote>
  <w:footnote w:id="19">
    <w:p w14:paraId="184EABB1" w14:textId="789A9B4F" w:rsidR="00B5570E" w:rsidRPr="00347D40" w:rsidRDefault="00B5570E" w:rsidP="00347D40">
      <w:pPr>
        <w:rPr>
          <w:sz w:val="20"/>
          <w:szCs w:val="20"/>
        </w:rPr>
      </w:pPr>
      <w:r>
        <w:rPr>
          <w:rStyle w:val="FootnoteReference"/>
        </w:rPr>
        <w:footnoteRef/>
      </w:r>
      <w:r>
        <w:t xml:space="preserve"> </w:t>
      </w:r>
      <w:r w:rsidRPr="00347D40">
        <w:rPr>
          <w:sz w:val="20"/>
          <w:szCs w:val="20"/>
        </w:rPr>
        <w:t>See</w:t>
      </w:r>
      <w:r>
        <w:rPr>
          <w:sz w:val="20"/>
          <w:szCs w:val="20"/>
        </w:rPr>
        <w:t xml:space="preserve"> also</w:t>
      </w:r>
      <w:r w:rsidRPr="00347D40">
        <w:rPr>
          <w:sz w:val="20"/>
          <w:szCs w:val="20"/>
        </w:rPr>
        <w:t>:</w:t>
      </w:r>
      <w:r w:rsidRPr="00347D40">
        <w:t xml:space="preserve"> </w:t>
      </w:r>
      <w:hyperlink r:id="rId7" w:history="1">
        <w:r w:rsidRPr="00347D40">
          <w:rPr>
            <w:rStyle w:val="Hyperlink"/>
            <w:rFonts w:cstheme="minorBidi"/>
            <w:sz w:val="20"/>
            <w:szCs w:val="20"/>
          </w:rPr>
          <w:t>https://www.government.nl/topics/environment/roles-and-responsibilities-of-provincial-government-municipal-governments-and-water-authorities</w:t>
        </w:r>
      </w:hyperlink>
      <w:r>
        <w:rPr>
          <w:rStyle w:val="Hyperlink"/>
          <w:rFonts w:cstheme="minorBidi"/>
          <w:sz w:val="20"/>
          <w:szCs w:val="20"/>
        </w:rPr>
        <w:t xml:space="preserve"> </w:t>
      </w:r>
      <w:r w:rsidRPr="00347D40">
        <w:rPr>
          <w:rStyle w:val="Hyperlink"/>
          <w:rFonts w:cstheme="minorBidi"/>
          <w:color w:val="auto"/>
          <w:sz w:val="20"/>
          <w:szCs w:val="20"/>
        </w:rPr>
        <w:t>Accessed 10 April 2020</w:t>
      </w:r>
      <w:r>
        <w:rPr>
          <w:rStyle w:val="Hyperlink"/>
          <w:rFonts w:cstheme="minorBidi"/>
          <w:color w:val="auto"/>
          <w:sz w:val="20"/>
          <w:szCs w:val="20"/>
        </w:rPr>
        <w:t>.</w:t>
      </w:r>
    </w:p>
  </w:footnote>
  <w:footnote w:id="20">
    <w:p w14:paraId="0EDC3C29" w14:textId="77C0DDAD" w:rsidR="00B5570E" w:rsidRPr="004C2F73" w:rsidRDefault="00B5570E" w:rsidP="004C2F73">
      <w:pPr>
        <w:rPr>
          <w:lang w:val="nl-NL"/>
        </w:rPr>
      </w:pPr>
      <w:r>
        <w:rPr>
          <w:rStyle w:val="FootnoteReference"/>
        </w:rPr>
        <w:footnoteRef/>
      </w:r>
      <w:r w:rsidRPr="004C2F73">
        <w:rPr>
          <w:lang w:val="nl-NL"/>
        </w:rPr>
        <w:t xml:space="preserve"> </w:t>
      </w:r>
      <w:r>
        <w:rPr>
          <w:rFonts w:cs="Arial"/>
          <w:sz w:val="20"/>
          <w:szCs w:val="20"/>
          <w:lang w:val="nl-NL"/>
        </w:rPr>
        <w:t>W</w:t>
      </w:r>
      <w:r w:rsidRPr="00DC1317">
        <w:rPr>
          <w:rFonts w:cs="Arial"/>
          <w:sz w:val="20"/>
          <w:szCs w:val="20"/>
          <w:lang w:val="nl-NL"/>
        </w:rPr>
        <w:t>et herverdeling wegenbeheer.</w:t>
      </w:r>
      <w:r w:rsidRPr="001109F6">
        <w:rPr>
          <w:rFonts w:eastAsia="Times New Roman" w:cs="Arial"/>
          <w:sz w:val="20"/>
          <w:szCs w:val="20"/>
          <w:lang w:val="nl-NL" w:eastAsia="nl-NL"/>
        </w:rPr>
        <w:t xml:space="preserve"> </w:t>
      </w:r>
      <w:r>
        <w:rPr>
          <w:rFonts w:eastAsia="Times New Roman" w:cs="Arial"/>
          <w:sz w:val="20"/>
          <w:szCs w:val="20"/>
          <w:lang w:val="nl-NL" w:eastAsia="nl-NL"/>
        </w:rPr>
        <w:t>Act</w:t>
      </w:r>
      <w:r w:rsidRPr="001109F6">
        <w:rPr>
          <w:rFonts w:eastAsia="Times New Roman" w:cs="Arial"/>
          <w:sz w:val="20"/>
          <w:szCs w:val="20"/>
          <w:lang w:val="nl-NL" w:eastAsia="nl-NL"/>
        </w:rPr>
        <w:t xml:space="preserve"> of 29</w:t>
      </w:r>
      <w:r>
        <w:rPr>
          <w:rFonts w:eastAsia="Times New Roman" w:cs="Arial"/>
          <w:sz w:val="20"/>
          <w:szCs w:val="20"/>
          <w:lang w:val="nl-NL" w:eastAsia="nl-NL"/>
        </w:rPr>
        <w:t xml:space="preserve"> October </w:t>
      </w:r>
      <w:r w:rsidRPr="001109F6">
        <w:rPr>
          <w:rFonts w:eastAsia="Times New Roman" w:cs="Arial"/>
          <w:sz w:val="20"/>
          <w:szCs w:val="20"/>
          <w:lang w:val="nl-NL" w:eastAsia="nl-NL"/>
        </w:rPr>
        <w:t>1992</w:t>
      </w:r>
      <w:r>
        <w:rPr>
          <w:rFonts w:eastAsia="Times New Roman" w:cs="Arial"/>
          <w:sz w:val="20"/>
          <w:szCs w:val="20"/>
          <w:lang w:val="nl-NL" w:eastAsia="nl-NL"/>
        </w:rPr>
        <w:t xml:space="preserve">, </w:t>
      </w:r>
      <w:r w:rsidRPr="001109F6">
        <w:rPr>
          <w:rFonts w:eastAsia="Times New Roman" w:cs="Arial"/>
          <w:sz w:val="20"/>
          <w:szCs w:val="20"/>
          <w:lang w:val="nl-NL" w:eastAsia="nl-NL"/>
        </w:rPr>
        <w:t>Stb. 1992, 563</w:t>
      </w:r>
      <w:r>
        <w:rPr>
          <w:rFonts w:eastAsia="Times New Roman" w:cs="Arial"/>
          <w:sz w:val="20"/>
          <w:szCs w:val="20"/>
          <w:lang w:val="nl-NL" w:eastAsia="nl-NL"/>
        </w:rPr>
        <w:t>.</w:t>
      </w:r>
    </w:p>
  </w:footnote>
  <w:footnote w:id="21">
    <w:p w14:paraId="2083E6F9" w14:textId="1E3BB92C" w:rsidR="00B5570E" w:rsidRPr="001E0DB2" w:rsidRDefault="00B5570E">
      <w:pPr>
        <w:pStyle w:val="FootnoteText"/>
      </w:pPr>
      <w:r>
        <w:rPr>
          <w:rStyle w:val="FootnoteReference"/>
        </w:rPr>
        <w:footnoteRef/>
      </w:r>
      <w:r w:rsidRPr="001E0DB2">
        <w:t xml:space="preserve"> </w:t>
      </w:r>
      <w:proofErr w:type="gramStart"/>
      <w:r w:rsidRPr="001E0DB2">
        <w:t xml:space="preserve">Article </w:t>
      </w:r>
      <w:r>
        <w:t xml:space="preserve">118 </w:t>
      </w:r>
      <w:r w:rsidRPr="001E0DB2">
        <w:t>Pro</w:t>
      </w:r>
      <w:r>
        <w:t>vi</w:t>
      </w:r>
      <w:r w:rsidRPr="001E0DB2">
        <w:t>nc</w:t>
      </w:r>
      <w:r>
        <w:t>es</w:t>
      </w:r>
      <w:r w:rsidRPr="001E0DB2">
        <w:t xml:space="preserve"> Act</w:t>
      </w:r>
      <w:r>
        <w:t xml:space="preserve"> and article 149, </w:t>
      </w:r>
      <w:r w:rsidRPr="001E0DB2">
        <w:t>Munic</w:t>
      </w:r>
      <w:r>
        <w:t>i</w:t>
      </w:r>
      <w:r w:rsidRPr="001E0DB2">
        <w:t>palit</w:t>
      </w:r>
      <w:r>
        <w:t>ies Act.</w:t>
      </w:r>
      <w:proofErr w:type="gramEnd"/>
    </w:p>
  </w:footnote>
  <w:footnote w:id="22">
    <w:p w14:paraId="70E0A6B8" w14:textId="129F81DD" w:rsidR="00B5570E" w:rsidRPr="00D41C15" w:rsidRDefault="00B5570E">
      <w:pPr>
        <w:pStyle w:val="FootnoteText"/>
      </w:pPr>
      <w:r>
        <w:rPr>
          <w:rStyle w:val="FootnoteReference"/>
        </w:rPr>
        <w:footnoteRef/>
      </w:r>
      <w:r>
        <w:t xml:space="preserve"> </w:t>
      </w:r>
      <w:hyperlink r:id="rId8" w:history="1">
        <w:r>
          <w:rPr>
            <w:rStyle w:val="Hyperlink"/>
          </w:rPr>
          <w:t>https://www.rijkswaterstaat.nl/wegen/wegbeheer/wegbeheer-in-nederland/index.aspx</w:t>
        </w:r>
      </w:hyperlink>
      <w:r>
        <w:t xml:space="preserve"> Accessed 1 July 2020.</w:t>
      </w:r>
    </w:p>
  </w:footnote>
  <w:footnote w:id="23">
    <w:p w14:paraId="5935704C" w14:textId="5093A2B2" w:rsidR="00B5570E" w:rsidRPr="001E0DB2" w:rsidRDefault="00B5570E">
      <w:pPr>
        <w:pStyle w:val="FootnoteText"/>
      </w:pPr>
      <w:r>
        <w:rPr>
          <w:rStyle w:val="FootnoteReference"/>
        </w:rPr>
        <w:footnoteRef/>
      </w:r>
      <w:r w:rsidRPr="001E0DB2">
        <w:t xml:space="preserve"> </w:t>
      </w:r>
      <w:hyperlink r:id="rId9" w:history="1">
        <w:r w:rsidRPr="008714C5">
          <w:rPr>
            <w:rStyle w:val="Hyperlink"/>
            <w:rFonts w:cstheme="minorBidi"/>
          </w:rPr>
          <w:t>https://www.government.nl/topics/environment/roles-and-responsibilities-of-provincial-government-municipal-governments-and-water-authorities</w:t>
        </w:r>
      </w:hyperlink>
      <w:r>
        <w:t xml:space="preserve"> Accessed 1 June 2020.</w:t>
      </w:r>
    </w:p>
  </w:footnote>
  <w:footnote w:id="24">
    <w:p w14:paraId="0E0DC21A" w14:textId="2D2BED9C" w:rsidR="00B5570E" w:rsidRPr="006D269E" w:rsidRDefault="00B5570E">
      <w:pPr>
        <w:pStyle w:val="FootnoteText"/>
        <w:rPr>
          <w:szCs w:val="20"/>
        </w:rPr>
      </w:pPr>
      <w:r w:rsidRPr="00953305">
        <w:rPr>
          <w:rStyle w:val="FootnoteReference"/>
          <w:szCs w:val="20"/>
        </w:rPr>
        <w:footnoteRef/>
      </w:r>
      <w:r w:rsidRPr="006D269E">
        <w:rPr>
          <w:szCs w:val="20"/>
        </w:rPr>
        <w:t xml:space="preserve"> </w:t>
      </w:r>
      <w:hyperlink r:id="rId10" w:history="1">
        <w:r w:rsidRPr="006D269E">
          <w:rPr>
            <w:rStyle w:val="Hyperlink"/>
            <w:rFonts w:cstheme="minorBidi"/>
            <w:szCs w:val="20"/>
          </w:rPr>
          <w:t>https://en.wikipedia.org/wiki/Provinces_of_the_Netherlands</w:t>
        </w:r>
      </w:hyperlink>
      <w:r w:rsidRPr="006D269E">
        <w:rPr>
          <w:szCs w:val="20"/>
        </w:rPr>
        <w:t xml:space="preserve"> </w:t>
      </w:r>
      <w:r>
        <w:rPr>
          <w:szCs w:val="20"/>
        </w:rPr>
        <w:t>A</w:t>
      </w:r>
      <w:r w:rsidRPr="006D269E">
        <w:rPr>
          <w:szCs w:val="20"/>
        </w:rPr>
        <w:t>ccessed 02</w:t>
      </w:r>
      <w:r>
        <w:rPr>
          <w:szCs w:val="20"/>
        </w:rPr>
        <w:t xml:space="preserve"> March </w:t>
      </w:r>
      <w:r w:rsidRPr="006D269E">
        <w:rPr>
          <w:szCs w:val="20"/>
        </w:rPr>
        <w:t>2020.</w:t>
      </w:r>
    </w:p>
  </w:footnote>
  <w:footnote w:id="25">
    <w:p w14:paraId="7B58AE81" w14:textId="0D1FBC08" w:rsidR="00B5570E" w:rsidRPr="00953305" w:rsidRDefault="00B5570E">
      <w:pPr>
        <w:pStyle w:val="FootnoteText"/>
        <w:rPr>
          <w:rFonts w:cs="Arial"/>
          <w:szCs w:val="20"/>
          <w:lang w:val="nl-NL"/>
        </w:rPr>
      </w:pPr>
      <w:r w:rsidRPr="00953305">
        <w:rPr>
          <w:rStyle w:val="FootnoteReference"/>
          <w:szCs w:val="20"/>
        </w:rPr>
        <w:footnoteRef/>
      </w:r>
      <w:r w:rsidRPr="00953305">
        <w:rPr>
          <w:szCs w:val="20"/>
          <w:lang w:val="nl-NL"/>
        </w:rPr>
        <w:t xml:space="preserve"> </w:t>
      </w:r>
      <w:r w:rsidRPr="00953305">
        <w:rPr>
          <w:szCs w:val="20"/>
          <w:lang w:val="nl-NL"/>
        </w:rPr>
        <w:t xml:space="preserve">Article 2.2 </w:t>
      </w:r>
      <w:r w:rsidRPr="00826780">
        <w:rPr>
          <w:rFonts w:cs="Arial"/>
          <w:iCs/>
          <w:szCs w:val="20"/>
          <w:lang w:val="nl-NL"/>
        </w:rPr>
        <w:t>Wet ruimtelijke ordening</w:t>
      </w:r>
      <w:r w:rsidRPr="00953305">
        <w:rPr>
          <w:rFonts w:eastAsia="Times New Roman" w:cs="Arial"/>
          <w:szCs w:val="20"/>
          <w:lang w:val="nl-NL" w:eastAsia="nl-NL"/>
        </w:rPr>
        <w:t xml:space="preserve"> </w:t>
      </w:r>
      <w:r>
        <w:rPr>
          <w:rFonts w:eastAsia="Times New Roman" w:cs="Arial"/>
          <w:szCs w:val="20"/>
          <w:lang w:val="nl-NL" w:eastAsia="nl-NL"/>
        </w:rPr>
        <w:t>(‘</w:t>
      </w:r>
      <w:r w:rsidRPr="00826780">
        <w:rPr>
          <w:rFonts w:eastAsia="Times New Roman" w:cs="Arial"/>
          <w:i/>
          <w:iCs/>
          <w:szCs w:val="20"/>
          <w:lang w:val="nl-NL" w:eastAsia="nl-NL"/>
        </w:rPr>
        <w:t>Spatial Planning Act</w:t>
      </w:r>
      <w:r>
        <w:rPr>
          <w:rFonts w:eastAsia="Times New Roman" w:cs="Arial"/>
          <w:szCs w:val="20"/>
          <w:lang w:val="nl-NL" w:eastAsia="nl-NL"/>
        </w:rPr>
        <w:t>’</w:t>
      </w:r>
      <w:r w:rsidRPr="00953305">
        <w:rPr>
          <w:rFonts w:cs="Arial"/>
          <w:szCs w:val="20"/>
          <w:lang w:val="nl-NL"/>
        </w:rPr>
        <w:t>)</w:t>
      </w:r>
    </w:p>
  </w:footnote>
  <w:footnote w:id="26">
    <w:p w14:paraId="12A1163E" w14:textId="01AFC98D" w:rsidR="00B5570E" w:rsidRPr="009E4499" w:rsidRDefault="00B5570E">
      <w:pPr>
        <w:pStyle w:val="FootnoteText"/>
        <w:rPr>
          <w:szCs w:val="20"/>
          <w:lang w:val="fr-FR"/>
        </w:rPr>
      </w:pPr>
      <w:r w:rsidRPr="00953305">
        <w:rPr>
          <w:rStyle w:val="FootnoteReference"/>
          <w:szCs w:val="20"/>
        </w:rPr>
        <w:footnoteRef/>
      </w:r>
      <w:r w:rsidRPr="009E4499">
        <w:rPr>
          <w:szCs w:val="20"/>
          <w:lang w:val="fr-FR"/>
        </w:rPr>
        <w:t xml:space="preserve"> Article 124 </w:t>
      </w:r>
      <w:proofErr w:type="spellStart"/>
      <w:r w:rsidRPr="009E4499">
        <w:rPr>
          <w:iCs/>
          <w:szCs w:val="20"/>
          <w:lang w:val="fr-FR"/>
        </w:rPr>
        <w:t>Gemeentewet</w:t>
      </w:r>
      <w:proofErr w:type="spellEnd"/>
      <w:r w:rsidRPr="009E4499">
        <w:rPr>
          <w:szCs w:val="20"/>
          <w:lang w:val="fr-FR"/>
        </w:rPr>
        <w:t xml:space="preserve"> (‘</w:t>
      </w:r>
      <w:proofErr w:type="spellStart"/>
      <w:r w:rsidRPr="009E4499">
        <w:rPr>
          <w:i/>
          <w:iCs/>
          <w:szCs w:val="20"/>
          <w:lang w:val="fr-FR"/>
        </w:rPr>
        <w:t>Municipalities</w:t>
      </w:r>
      <w:proofErr w:type="spellEnd"/>
      <w:r w:rsidRPr="009E4499">
        <w:rPr>
          <w:i/>
          <w:iCs/>
          <w:szCs w:val="20"/>
          <w:lang w:val="fr-FR"/>
        </w:rPr>
        <w:t xml:space="preserve"> </w:t>
      </w:r>
      <w:proofErr w:type="spellStart"/>
      <w:r w:rsidRPr="009E4499">
        <w:rPr>
          <w:i/>
          <w:iCs/>
          <w:szCs w:val="20"/>
          <w:lang w:val="fr-FR"/>
        </w:rPr>
        <w:t>Act</w:t>
      </w:r>
      <w:proofErr w:type="spellEnd"/>
      <w:r w:rsidRPr="009E4499">
        <w:rPr>
          <w:szCs w:val="20"/>
          <w:lang w:val="fr-FR"/>
        </w:rPr>
        <w:t xml:space="preserve">’) </w:t>
      </w:r>
    </w:p>
  </w:footnote>
  <w:footnote w:id="27">
    <w:p w14:paraId="5093ED36" w14:textId="4FD3D859" w:rsidR="00B5570E" w:rsidRPr="009E4499" w:rsidRDefault="00B5570E">
      <w:pPr>
        <w:pStyle w:val="FootnoteText"/>
        <w:rPr>
          <w:lang w:val="fr-FR"/>
        </w:rPr>
      </w:pPr>
      <w:r w:rsidRPr="00953305">
        <w:rPr>
          <w:rStyle w:val="FootnoteReference"/>
          <w:szCs w:val="20"/>
        </w:rPr>
        <w:footnoteRef/>
      </w:r>
      <w:r w:rsidRPr="009E4499">
        <w:rPr>
          <w:szCs w:val="20"/>
          <w:lang w:val="fr-FR"/>
        </w:rPr>
        <w:t xml:space="preserve"> Article 122 </w:t>
      </w:r>
      <w:proofErr w:type="spellStart"/>
      <w:r w:rsidRPr="009E4499">
        <w:rPr>
          <w:iCs/>
          <w:lang w:val="fr-FR"/>
        </w:rPr>
        <w:t>Provinciewet</w:t>
      </w:r>
      <w:proofErr w:type="spellEnd"/>
      <w:r w:rsidRPr="009E4499">
        <w:rPr>
          <w:szCs w:val="20"/>
          <w:lang w:val="fr-FR"/>
        </w:rPr>
        <w:t xml:space="preserve"> (‘</w:t>
      </w:r>
      <w:r w:rsidRPr="009E4499">
        <w:rPr>
          <w:i/>
          <w:iCs/>
          <w:szCs w:val="20"/>
          <w:lang w:val="fr-FR"/>
        </w:rPr>
        <w:t xml:space="preserve">Provinces </w:t>
      </w:r>
      <w:proofErr w:type="spellStart"/>
      <w:r w:rsidRPr="009E4499">
        <w:rPr>
          <w:i/>
          <w:iCs/>
          <w:szCs w:val="20"/>
          <w:lang w:val="fr-FR"/>
        </w:rPr>
        <w:t>Act</w:t>
      </w:r>
      <w:proofErr w:type="spellEnd"/>
      <w:r w:rsidRPr="009E4499">
        <w:rPr>
          <w:szCs w:val="20"/>
          <w:lang w:val="fr-FR"/>
        </w:rPr>
        <w:t>’</w:t>
      </w:r>
      <w:r w:rsidRPr="009E4499">
        <w:rPr>
          <w:lang w:val="fr-FR"/>
        </w:rPr>
        <w:t>).</w:t>
      </w:r>
    </w:p>
  </w:footnote>
  <w:footnote w:id="28">
    <w:p w14:paraId="6652D5D4" w14:textId="70EFA4E6" w:rsidR="00B5570E" w:rsidRPr="00991E1E" w:rsidRDefault="00B5570E">
      <w:pPr>
        <w:pStyle w:val="FootnoteText"/>
      </w:pPr>
      <w:r>
        <w:rPr>
          <w:rStyle w:val="FootnoteReference"/>
        </w:rPr>
        <w:footnoteRef/>
      </w:r>
      <w:r w:rsidRPr="00991E1E">
        <w:t xml:space="preserve"> </w:t>
      </w:r>
      <w:hyperlink r:id="rId11" w:history="1">
        <w:r w:rsidRPr="008D50FA">
          <w:rPr>
            <w:rStyle w:val="Hyperlink"/>
            <w:rFonts w:cstheme="minorBidi"/>
          </w:rPr>
          <w:t>https://www.cbs.nl/nl-nl/onze-diensten/methoden/classificaties/overig/gemeentelijke-indelingen-per-jaar/indeling%20per%20jaar/gemeentelijke-indeling-op-1-januari-2019</w:t>
        </w:r>
      </w:hyperlink>
      <w:r>
        <w:t xml:space="preserve"> Accessed 2 March 2020</w:t>
      </w:r>
    </w:p>
  </w:footnote>
  <w:footnote w:id="29">
    <w:p w14:paraId="514A980B" w14:textId="259BED8C" w:rsidR="00B5570E" w:rsidRPr="00BB3E18" w:rsidRDefault="00B5570E">
      <w:pPr>
        <w:pStyle w:val="FootnoteText"/>
      </w:pPr>
      <w:r>
        <w:rPr>
          <w:rStyle w:val="FootnoteReference"/>
        </w:rPr>
        <w:footnoteRef/>
      </w:r>
      <w:r w:rsidRPr="00BB3E18">
        <w:t xml:space="preserve"> </w:t>
      </w:r>
      <w:proofErr w:type="gramStart"/>
      <w:r w:rsidRPr="00826780">
        <w:rPr>
          <w:iCs/>
        </w:rPr>
        <w:t xml:space="preserve">Wet </w:t>
      </w:r>
      <w:proofErr w:type="spellStart"/>
      <w:r w:rsidRPr="00826780">
        <w:rPr>
          <w:iCs/>
        </w:rPr>
        <w:t>maatschappelijke</w:t>
      </w:r>
      <w:proofErr w:type="spellEnd"/>
      <w:r w:rsidRPr="00826780">
        <w:rPr>
          <w:iCs/>
        </w:rPr>
        <w:t xml:space="preserve"> </w:t>
      </w:r>
      <w:proofErr w:type="spellStart"/>
      <w:r w:rsidRPr="00826780">
        <w:rPr>
          <w:iCs/>
        </w:rPr>
        <w:t>ondersteuning</w:t>
      </w:r>
      <w:proofErr w:type="spellEnd"/>
      <w:r w:rsidRPr="00826780">
        <w:rPr>
          <w:iCs/>
        </w:rPr>
        <w:t xml:space="preserve"> 2015</w:t>
      </w:r>
      <w:r>
        <w:rPr>
          <w:iCs/>
        </w:rPr>
        <w:t xml:space="preserve"> (‘</w:t>
      </w:r>
      <w:r w:rsidRPr="00826780">
        <w:rPr>
          <w:i/>
          <w:iCs/>
        </w:rPr>
        <w:t xml:space="preserve">Social </w:t>
      </w:r>
      <w:r>
        <w:rPr>
          <w:i/>
          <w:iCs/>
        </w:rPr>
        <w:t>S</w:t>
      </w:r>
      <w:r w:rsidRPr="00826780">
        <w:rPr>
          <w:i/>
          <w:iCs/>
        </w:rPr>
        <w:t xml:space="preserve">upport </w:t>
      </w:r>
      <w:r>
        <w:rPr>
          <w:i/>
          <w:iCs/>
        </w:rPr>
        <w:t>A</w:t>
      </w:r>
      <w:r w:rsidRPr="00826780">
        <w:rPr>
          <w:i/>
          <w:iCs/>
        </w:rPr>
        <w:t>ct 2015</w:t>
      </w:r>
      <w:r>
        <w:t>’</w:t>
      </w:r>
      <w:r w:rsidRPr="00BB3E18">
        <w:t xml:space="preserve">), </w:t>
      </w:r>
      <w:hyperlink r:id="rId12" w:history="1">
        <w:r w:rsidRPr="00BB3E18">
          <w:rPr>
            <w:rStyle w:val="Hyperlink"/>
            <w:rFonts w:cstheme="minorBidi"/>
          </w:rPr>
          <w:t>https://www.government.nl/topics/care-and-support-at-home/social-support-act-wmo</w:t>
        </w:r>
      </w:hyperlink>
      <w:r w:rsidRPr="00BB3E18">
        <w:t xml:space="preserve"> Accessed </w:t>
      </w:r>
      <w:r>
        <w:t>2 March 2020</w:t>
      </w:r>
      <w:r w:rsidRPr="00BB3E18">
        <w:t>.</w:t>
      </w:r>
      <w:proofErr w:type="gramEnd"/>
    </w:p>
  </w:footnote>
  <w:footnote w:id="30">
    <w:p w14:paraId="1304F2FB" w14:textId="64F259CD" w:rsidR="00B5570E" w:rsidRPr="00BC3F66" w:rsidRDefault="00B5570E">
      <w:pPr>
        <w:pStyle w:val="FootnoteText"/>
      </w:pPr>
      <w:r>
        <w:rPr>
          <w:rStyle w:val="FootnoteReference"/>
        </w:rPr>
        <w:footnoteRef/>
      </w:r>
      <w:r w:rsidRPr="00BC3F66">
        <w:t xml:space="preserve"> </w:t>
      </w:r>
      <w:r w:rsidRPr="00BC3F66">
        <w:rPr>
          <w:rStyle w:val="Emphasis"/>
          <w:i w:val="0"/>
          <w:iCs w:val="0"/>
        </w:rPr>
        <w:t>Article 2.1.2 lid 2 sub H</w:t>
      </w:r>
      <w:r>
        <w:rPr>
          <w:rStyle w:val="Emphasis"/>
          <w:i w:val="0"/>
          <w:iCs w:val="0"/>
        </w:rPr>
        <w:t>,</w:t>
      </w:r>
      <w:r w:rsidRPr="00BC3F66">
        <w:rPr>
          <w:rStyle w:val="Emphasis"/>
          <w:i w:val="0"/>
          <w:iCs w:val="0"/>
        </w:rPr>
        <w:t xml:space="preserve"> </w:t>
      </w:r>
      <w:r w:rsidRPr="00BC3F66">
        <w:t xml:space="preserve">Social </w:t>
      </w:r>
      <w:r>
        <w:t>S</w:t>
      </w:r>
      <w:r w:rsidRPr="00BC3F66">
        <w:t xml:space="preserve">upport </w:t>
      </w:r>
      <w:r>
        <w:t>A</w:t>
      </w:r>
      <w:r w:rsidRPr="00BC3F66">
        <w:t>ct 2015 and</w:t>
      </w:r>
      <w:r w:rsidRPr="00BC3F66">
        <w:rPr>
          <w:rStyle w:val="Emphasis"/>
          <w:i w:val="0"/>
          <w:iCs w:val="0"/>
        </w:rPr>
        <w:t xml:space="preserve"> article 2.2 lid 2 sub f</w:t>
      </w:r>
      <w:r>
        <w:rPr>
          <w:rStyle w:val="Emphasis"/>
          <w:i w:val="0"/>
          <w:iCs w:val="0"/>
        </w:rPr>
        <w:t>,</w:t>
      </w:r>
      <w:r w:rsidRPr="00BC3F66">
        <w:rPr>
          <w:rStyle w:val="Emphasis"/>
          <w:i w:val="0"/>
          <w:iCs w:val="0"/>
        </w:rPr>
        <w:t xml:space="preserve"> Y</w:t>
      </w:r>
      <w:r>
        <w:rPr>
          <w:rStyle w:val="Emphasis"/>
          <w:i w:val="0"/>
          <w:iCs w:val="0"/>
        </w:rPr>
        <w:t>outh Act.</w:t>
      </w:r>
    </w:p>
  </w:footnote>
  <w:footnote w:id="31">
    <w:p w14:paraId="1862C460" w14:textId="4EF020BA" w:rsidR="00B5570E" w:rsidRPr="009E4499" w:rsidRDefault="00B5570E">
      <w:pPr>
        <w:pStyle w:val="FootnoteText"/>
      </w:pPr>
      <w:r>
        <w:rPr>
          <w:rStyle w:val="FootnoteReference"/>
        </w:rPr>
        <w:footnoteRef/>
      </w:r>
      <w:r w:rsidRPr="009E4499">
        <w:t xml:space="preserve"> </w:t>
      </w:r>
      <w:proofErr w:type="gramStart"/>
      <w:r w:rsidRPr="009E4499">
        <w:rPr>
          <w:i/>
          <w:iCs/>
        </w:rPr>
        <w:t>Parliamentary Documents II</w:t>
      </w:r>
      <w:r w:rsidRPr="009E4499">
        <w:t>,</w:t>
      </w:r>
      <w:r w:rsidRPr="009E4499">
        <w:rPr>
          <w:rFonts w:cs="Arial"/>
          <w:sz w:val="17"/>
          <w:szCs w:val="17"/>
        </w:rPr>
        <w:t xml:space="preserve"> </w:t>
      </w:r>
      <w:r w:rsidRPr="009E4499">
        <w:rPr>
          <w:rFonts w:cs="Arial"/>
          <w:szCs w:val="20"/>
        </w:rPr>
        <w:t xml:space="preserve">2015/16, 33 990, </w:t>
      </w:r>
      <w:proofErr w:type="spellStart"/>
      <w:r w:rsidRPr="009E4499">
        <w:rPr>
          <w:rFonts w:cs="Arial"/>
          <w:szCs w:val="20"/>
        </w:rPr>
        <w:t>nr</w:t>
      </w:r>
      <w:proofErr w:type="spellEnd"/>
      <w:r w:rsidRPr="009E4499">
        <w:rPr>
          <w:rFonts w:cs="Arial"/>
          <w:szCs w:val="20"/>
        </w:rPr>
        <w:t>.</w:t>
      </w:r>
      <w:proofErr w:type="gramEnd"/>
      <w:r w:rsidRPr="009E4499">
        <w:rPr>
          <w:rFonts w:cs="Arial"/>
          <w:szCs w:val="20"/>
        </w:rPr>
        <w:t xml:space="preserve"> 35.</w:t>
      </w:r>
    </w:p>
  </w:footnote>
  <w:footnote w:id="32">
    <w:p w14:paraId="2D8D77A2" w14:textId="4094D946" w:rsidR="00B5570E" w:rsidRPr="009E4499" w:rsidRDefault="00B5570E">
      <w:pPr>
        <w:pStyle w:val="FootnoteText"/>
      </w:pPr>
      <w:r>
        <w:rPr>
          <w:rStyle w:val="FootnoteReference"/>
        </w:rPr>
        <w:footnoteRef/>
      </w:r>
      <w:r w:rsidRPr="009E4499">
        <w:t xml:space="preserve"> A. </w:t>
      </w:r>
      <w:proofErr w:type="spellStart"/>
      <w:r w:rsidRPr="009E4499">
        <w:t>Haan</w:t>
      </w:r>
      <w:proofErr w:type="spellEnd"/>
      <w:r w:rsidRPr="009E4499">
        <w:t xml:space="preserve">, M. </w:t>
      </w:r>
      <w:proofErr w:type="spellStart"/>
      <w:r w:rsidRPr="009E4499">
        <w:t>Domenie</w:t>
      </w:r>
      <w:proofErr w:type="spellEnd"/>
      <w:r w:rsidRPr="009E4499">
        <w:t xml:space="preserve">, </w:t>
      </w:r>
      <w:proofErr w:type="spellStart"/>
      <w:r w:rsidRPr="009E4499">
        <w:rPr>
          <w:i/>
          <w:iCs/>
        </w:rPr>
        <w:t>Beleidsscan</w:t>
      </w:r>
      <w:proofErr w:type="spellEnd"/>
      <w:r w:rsidRPr="009E4499">
        <w:rPr>
          <w:i/>
          <w:iCs/>
        </w:rPr>
        <w:t xml:space="preserve"> VN-</w:t>
      </w:r>
      <w:proofErr w:type="spellStart"/>
      <w:r w:rsidRPr="009E4499">
        <w:rPr>
          <w:i/>
          <w:iCs/>
        </w:rPr>
        <w:t>verdrag</w:t>
      </w:r>
      <w:proofErr w:type="spellEnd"/>
      <w:r w:rsidRPr="009E4499">
        <w:rPr>
          <w:i/>
          <w:iCs/>
        </w:rPr>
        <w:t xml:space="preserve"> Handicap</w:t>
      </w:r>
      <w:r w:rsidRPr="009E4499">
        <w:t xml:space="preserve"> (‘</w:t>
      </w:r>
      <w:r w:rsidRPr="009E4499">
        <w:rPr>
          <w:i/>
          <w:iCs/>
        </w:rPr>
        <w:t>Policy Scan CRPD</w:t>
      </w:r>
      <w:r w:rsidRPr="009E4499">
        <w:t xml:space="preserve">’), (NVRR 2019), p. 3. </w:t>
      </w:r>
    </w:p>
  </w:footnote>
  <w:footnote w:id="33">
    <w:p w14:paraId="5F9A5CA2" w14:textId="5FE3C805" w:rsidR="00B5570E" w:rsidRPr="00826780" w:rsidRDefault="00B5570E">
      <w:pPr>
        <w:pStyle w:val="FootnoteText"/>
        <w:rPr>
          <w:lang w:val="nl-NL"/>
        </w:rPr>
      </w:pPr>
      <w:r>
        <w:rPr>
          <w:rStyle w:val="FootnoteReference"/>
        </w:rPr>
        <w:footnoteRef/>
      </w:r>
      <w:r w:rsidRPr="00826780">
        <w:rPr>
          <w:lang w:val="nl-NL"/>
        </w:rPr>
        <w:t xml:space="preserve"> </w:t>
      </w:r>
      <w:r w:rsidRPr="00826780">
        <w:rPr>
          <w:lang w:val="nl-NL"/>
        </w:rPr>
        <w:t xml:space="preserve">Article 3.1 </w:t>
      </w:r>
      <w:r w:rsidRPr="00826780">
        <w:rPr>
          <w:iCs/>
          <w:lang w:val="nl-NL"/>
        </w:rPr>
        <w:t>Wet ruimtelijke ordening</w:t>
      </w:r>
      <w:r w:rsidRPr="00826780">
        <w:rPr>
          <w:lang w:val="nl-NL"/>
        </w:rPr>
        <w:t xml:space="preserve"> </w:t>
      </w:r>
      <w:r>
        <w:rPr>
          <w:lang w:val="nl-NL"/>
        </w:rPr>
        <w:t>(</w:t>
      </w:r>
      <w:r w:rsidRPr="00826780">
        <w:rPr>
          <w:i/>
          <w:iCs/>
          <w:lang w:val="nl-NL"/>
        </w:rPr>
        <w:t>‘Spatial Planning Act’</w:t>
      </w:r>
      <w:r w:rsidRPr="00826780">
        <w:rPr>
          <w:lang w:val="nl-NL"/>
        </w:rPr>
        <w:t xml:space="preserve">). </w:t>
      </w:r>
    </w:p>
  </w:footnote>
  <w:footnote w:id="34">
    <w:p w14:paraId="0C7D57DB" w14:textId="0CBB47A1" w:rsidR="00B5570E" w:rsidRPr="00F25373" w:rsidRDefault="00B5570E">
      <w:pPr>
        <w:pStyle w:val="FootnoteText"/>
      </w:pPr>
      <w:r>
        <w:rPr>
          <w:rStyle w:val="FootnoteReference"/>
        </w:rPr>
        <w:footnoteRef/>
      </w:r>
      <w:r>
        <w:t xml:space="preserve"> </w:t>
      </w:r>
      <w:proofErr w:type="gramStart"/>
      <w:r w:rsidRPr="00F25373">
        <w:t>A</w:t>
      </w:r>
      <w:r>
        <w:t xml:space="preserve">rticle 46, </w:t>
      </w:r>
      <w:proofErr w:type="spellStart"/>
      <w:r>
        <w:t>Waterschapswet</w:t>
      </w:r>
      <w:proofErr w:type="spellEnd"/>
      <w:r>
        <w:t xml:space="preserve"> (‘</w:t>
      </w:r>
      <w:r w:rsidRPr="00826780">
        <w:rPr>
          <w:i/>
          <w:iCs/>
        </w:rPr>
        <w:t>Regional Water Boards Act</w:t>
      </w:r>
      <w:r>
        <w:t>’).</w:t>
      </w:r>
      <w:proofErr w:type="gramEnd"/>
    </w:p>
  </w:footnote>
  <w:footnote w:id="35">
    <w:p w14:paraId="5108DC17" w14:textId="2B539CBD" w:rsidR="00B5570E" w:rsidRPr="00A01368" w:rsidRDefault="00B5570E">
      <w:pPr>
        <w:pStyle w:val="FootnoteText"/>
      </w:pPr>
      <w:r>
        <w:rPr>
          <w:rStyle w:val="FootnoteReference"/>
        </w:rPr>
        <w:footnoteRef/>
      </w:r>
      <w:r>
        <w:t xml:space="preserve"> </w:t>
      </w:r>
      <w:proofErr w:type="gramStart"/>
      <w:r w:rsidRPr="00A01368">
        <w:t xml:space="preserve">Act of 2 September 1991, </w:t>
      </w:r>
      <w:proofErr w:type="spellStart"/>
      <w:r w:rsidRPr="00A01368">
        <w:t>Stb</w:t>
      </w:r>
      <w:proofErr w:type="spellEnd"/>
      <w:r w:rsidRPr="00A01368">
        <w:t>. 1991, 444.</w:t>
      </w:r>
      <w:proofErr w:type="gramEnd"/>
    </w:p>
  </w:footnote>
  <w:footnote w:id="36">
    <w:p w14:paraId="19E98498" w14:textId="20978C0F" w:rsidR="00B5570E" w:rsidRPr="001914AF" w:rsidRDefault="00B5570E">
      <w:pPr>
        <w:pStyle w:val="FootnoteText"/>
      </w:pPr>
      <w:r>
        <w:rPr>
          <w:rStyle w:val="FootnoteReference"/>
        </w:rPr>
        <w:footnoteRef/>
      </w:r>
      <w:r>
        <w:t xml:space="preserve"> H. </w:t>
      </w:r>
      <w:proofErr w:type="spellStart"/>
      <w:r>
        <w:t>Havekes</w:t>
      </w:r>
      <w:proofErr w:type="spellEnd"/>
      <w:r>
        <w:t xml:space="preserve">, </w:t>
      </w:r>
      <w:r w:rsidRPr="00B10B33">
        <w:rPr>
          <w:i/>
          <w:iCs/>
        </w:rPr>
        <w:t>Water Governance. The Dutch Water Authority Model</w:t>
      </w:r>
      <w:r>
        <w:t>, (Dutch Water Authorities 2017),</w:t>
      </w:r>
      <w:r w:rsidRPr="001914AF">
        <w:t xml:space="preserve"> </w:t>
      </w:r>
      <w:r>
        <w:t>p</w:t>
      </w:r>
      <w:r w:rsidRPr="001914AF">
        <w:t>. 24</w:t>
      </w:r>
      <w:r>
        <w:t>.</w:t>
      </w:r>
      <w:r w:rsidRPr="001914AF">
        <w:t xml:space="preserve"> </w:t>
      </w:r>
      <w:hyperlink r:id="rId13" w:history="1">
        <w:r w:rsidRPr="00B054B0">
          <w:rPr>
            <w:rStyle w:val="Hyperlink"/>
            <w:rFonts w:cstheme="minorBidi"/>
          </w:rPr>
          <w:t>https://dutchwaterauthorities.com/wp-content/uploads/2019/02/The-Dutch-water-authority-model-2017.pdf</w:t>
        </w:r>
      </w:hyperlink>
      <w:r>
        <w:t xml:space="preserve"> Accessed 4 April 2020.</w:t>
      </w:r>
    </w:p>
  </w:footnote>
  <w:footnote w:id="37">
    <w:p w14:paraId="2DAECE85" w14:textId="7CA559A2" w:rsidR="00B5570E" w:rsidRPr="00AC5CE8" w:rsidRDefault="00B5570E" w:rsidP="00AC5CE8">
      <w:pPr>
        <w:rPr>
          <w:rFonts w:ascii="Times New Roman" w:eastAsia="Times New Roman" w:hAnsi="Times New Roman" w:cs="Times New Roman"/>
          <w:sz w:val="20"/>
          <w:szCs w:val="20"/>
          <w:lang w:eastAsia="nl-NL"/>
        </w:rPr>
      </w:pPr>
      <w:r>
        <w:rPr>
          <w:rStyle w:val="FootnoteReference"/>
        </w:rPr>
        <w:footnoteRef/>
      </w:r>
      <w:r w:rsidRPr="00AC5CE8">
        <w:rPr>
          <w:lang w:val="nl-NL"/>
        </w:rPr>
        <w:t xml:space="preserve"> </w:t>
      </w:r>
      <w:r>
        <w:rPr>
          <w:sz w:val="20"/>
          <w:szCs w:val="20"/>
          <w:lang w:val="nl-NL"/>
        </w:rPr>
        <w:t>K.</w:t>
      </w:r>
      <w:r>
        <w:rPr>
          <w:lang w:val="nl-NL"/>
        </w:rPr>
        <w:t xml:space="preserve"> </w:t>
      </w:r>
      <w:r>
        <w:rPr>
          <w:rFonts w:cs="Arial"/>
          <w:sz w:val="20"/>
          <w:szCs w:val="20"/>
          <w:lang w:val="nl-NL"/>
        </w:rPr>
        <w:t xml:space="preserve">Peijs, </w:t>
      </w:r>
      <w:r w:rsidRPr="001B56A1">
        <w:rPr>
          <w:rFonts w:cs="Arial"/>
          <w:i/>
          <w:iCs/>
          <w:sz w:val="20"/>
          <w:szCs w:val="20"/>
          <w:lang w:val="nl-NL"/>
        </w:rPr>
        <w:t>Bestuurlijke verkenning waterschapswegen. Waar een wil is, is een weg</w:t>
      </w:r>
      <w:r>
        <w:rPr>
          <w:rFonts w:cs="Arial"/>
          <w:sz w:val="20"/>
          <w:szCs w:val="20"/>
          <w:lang w:val="nl-NL"/>
        </w:rPr>
        <w:t xml:space="preserve">. </w:t>
      </w:r>
      <w:r w:rsidRPr="00AC5CE8">
        <w:rPr>
          <w:rFonts w:cs="Arial"/>
          <w:sz w:val="20"/>
          <w:szCs w:val="20"/>
        </w:rPr>
        <w:t>(Ministry for Infrastructure and the Environment</w:t>
      </w:r>
      <w:r>
        <w:rPr>
          <w:rFonts w:cs="Arial"/>
          <w:sz w:val="20"/>
          <w:szCs w:val="20"/>
        </w:rPr>
        <w:t xml:space="preserve"> </w:t>
      </w:r>
      <w:r w:rsidRPr="00AC5CE8">
        <w:rPr>
          <w:rFonts w:cs="Arial"/>
          <w:sz w:val="20"/>
          <w:szCs w:val="20"/>
        </w:rPr>
        <w:t>2018), p. 7.</w:t>
      </w:r>
      <w:r>
        <w:rPr>
          <w:rFonts w:cs="Arial"/>
          <w:sz w:val="20"/>
          <w:szCs w:val="20"/>
        </w:rPr>
        <w:t xml:space="preserve"> </w:t>
      </w:r>
      <w:hyperlink r:id="rId14" w:history="1">
        <w:r w:rsidRPr="00B054B0">
          <w:rPr>
            <w:rStyle w:val="Hyperlink"/>
            <w:rFonts w:cs="Arial"/>
            <w:sz w:val="20"/>
            <w:szCs w:val="20"/>
          </w:rPr>
          <w:t>https://www.uvw.nl/wp-content/uploads/2018/01/Bestuurlijke-verkenning-waterschapswegen-Waar-een-wil-is-is-een-weg-2018.pdf</w:t>
        </w:r>
      </w:hyperlink>
      <w:r>
        <w:rPr>
          <w:rFonts w:cs="Arial"/>
          <w:sz w:val="20"/>
          <w:szCs w:val="20"/>
        </w:rPr>
        <w:t xml:space="preserve"> </w:t>
      </w:r>
    </w:p>
  </w:footnote>
  <w:footnote w:id="38">
    <w:p w14:paraId="0C23F561" w14:textId="5E510E13" w:rsidR="00B5570E" w:rsidRPr="00013060" w:rsidRDefault="00B5570E">
      <w:pPr>
        <w:pStyle w:val="FootnoteText"/>
        <w:rPr>
          <w:lang w:val="nl-NL"/>
        </w:rPr>
      </w:pPr>
      <w:r>
        <w:rPr>
          <w:rStyle w:val="FootnoteReference"/>
        </w:rPr>
        <w:footnoteRef/>
      </w:r>
      <w:r w:rsidRPr="00013060">
        <w:rPr>
          <w:lang w:val="nl-NL"/>
        </w:rPr>
        <w:t xml:space="preserve"> </w:t>
      </w:r>
      <w:r w:rsidRPr="00013060">
        <w:rPr>
          <w:lang w:val="nl-NL"/>
        </w:rPr>
        <w:t>Article 3.1.6 Spatial Planning Decree (</w:t>
      </w:r>
      <w:r w:rsidRPr="00013060">
        <w:rPr>
          <w:i/>
          <w:iCs/>
          <w:lang w:val="nl-NL"/>
        </w:rPr>
        <w:t>Besluit ruimtelijke ordening</w:t>
      </w:r>
      <w:r>
        <w:rPr>
          <w:lang w:val="nl-NL"/>
        </w:rPr>
        <w:t>).</w:t>
      </w:r>
    </w:p>
  </w:footnote>
  <w:footnote w:id="39">
    <w:p w14:paraId="64C2E82D" w14:textId="2FCB92A4" w:rsidR="00B5570E" w:rsidRPr="00DC1317" w:rsidRDefault="00B5570E" w:rsidP="00636371">
      <w:pPr>
        <w:pStyle w:val="Default"/>
        <w:rPr>
          <w:lang w:val="en-GB"/>
        </w:rPr>
      </w:pPr>
      <w:r>
        <w:rPr>
          <w:rStyle w:val="FootnoteReference"/>
        </w:rPr>
        <w:footnoteRef/>
      </w:r>
      <w:r w:rsidRPr="00DC1317">
        <w:rPr>
          <w:lang w:val="en-GB"/>
        </w:rPr>
        <w:t xml:space="preserve"> </w:t>
      </w:r>
      <w:proofErr w:type="gramStart"/>
      <w:r w:rsidRPr="00DC1317">
        <w:rPr>
          <w:rFonts w:ascii="Arial" w:hAnsi="Arial" w:cs="Arial"/>
          <w:sz w:val="20"/>
          <w:szCs w:val="20"/>
          <w:lang w:val="en-GB"/>
        </w:rPr>
        <w:t>Trb. 2007, 169.</w:t>
      </w:r>
      <w:proofErr w:type="gramEnd"/>
    </w:p>
  </w:footnote>
  <w:footnote w:id="40">
    <w:p w14:paraId="224113EB" w14:textId="1671855E" w:rsidR="00B5570E" w:rsidRPr="00DC1317" w:rsidRDefault="00B5570E" w:rsidP="009C5980">
      <w:r>
        <w:rPr>
          <w:rStyle w:val="FootnoteReference"/>
        </w:rPr>
        <w:footnoteRef/>
      </w:r>
      <w:r>
        <w:t xml:space="preserve"> </w:t>
      </w:r>
      <w:r w:rsidRPr="00DC1317">
        <w:rPr>
          <w:sz w:val="20"/>
          <w:szCs w:val="20"/>
        </w:rPr>
        <w:t xml:space="preserve">For an account of the </w:t>
      </w:r>
      <w:proofErr w:type="spellStart"/>
      <w:r w:rsidRPr="00DC1317">
        <w:rPr>
          <w:sz w:val="20"/>
          <w:szCs w:val="20"/>
        </w:rPr>
        <w:t>preratification</w:t>
      </w:r>
      <w:proofErr w:type="spellEnd"/>
      <w:r w:rsidRPr="00DC1317">
        <w:rPr>
          <w:sz w:val="20"/>
          <w:szCs w:val="20"/>
        </w:rPr>
        <w:t xml:space="preserve"> process, see: </w:t>
      </w:r>
      <w:r w:rsidRPr="009C5980">
        <w:rPr>
          <w:sz w:val="20"/>
          <w:szCs w:val="20"/>
        </w:rPr>
        <w:t>Barbara M</w:t>
      </w:r>
      <w:r>
        <w:rPr>
          <w:sz w:val="20"/>
          <w:szCs w:val="20"/>
        </w:rPr>
        <w:t>.</w:t>
      </w:r>
      <w:r w:rsidRPr="009C5980">
        <w:rPr>
          <w:sz w:val="20"/>
          <w:szCs w:val="20"/>
        </w:rPr>
        <w:t xml:space="preserve"> </w:t>
      </w:r>
      <w:proofErr w:type="spellStart"/>
      <w:r w:rsidRPr="009C5980">
        <w:rPr>
          <w:sz w:val="20"/>
          <w:szCs w:val="20"/>
        </w:rPr>
        <w:t>Oomen</w:t>
      </w:r>
      <w:proofErr w:type="spellEnd"/>
      <w:r w:rsidRPr="009C5980">
        <w:rPr>
          <w:sz w:val="20"/>
          <w:szCs w:val="20"/>
        </w:rPr>
        <w:t xml:space="preserve">, </w:t>
      </w:r>
      <w:r>
        <w:rPr>
          <w:sz w:val="20"/>
          <w:szCs w:val="20"/>
        </w:rPr>
        <w:t>‘</w:t>
      </w:r>
      <w:r w:rsidRPr="009C5980">
        <w:rPr>
          <w:sz w:val="20"/>
          <w:szCs w:val="20"/>
        </w:rPr>
        <w:t xml:space="preserve">Between Signing and Ratifying: </w:t>
      </w:r>
      <w:proofErr w:type="spellStart"/>
      <w:r w:rsidRPr="009C5980">
        <w:rPr>
          <w:sz w:val="20"/>
          <w:szCs w:val="20"/>
        </w:rPr>
        <w:t>Preratification</w:t>
      </w:r>
      <w:proofErr w:type="spellEnd"/>
      <w:r w:rsidRPr="009C5980">
        <w:rPr>
          <w:sz w:val="20"/>
          <w:szCs w:val="20"/>
        </w:rPr>
        <w:t xml:space="preserve"> Politics, the Disability Convention, a</w:t>
      </w:r>
      <w:r>
        <w:rPr>
          <w:sz w:val="20"/>
          <w:szCs w:val="20"/>
        </w:rPr>
        <w:t>nd the Dutch’ [2018]</w:t>
      </w:r>
      <w:r w:rsidRPr="009C5980">
        <w:rPr>
          <w:sz w:val="20"/>
          <w:szCs w:val="20"/>
        </w:rPr>
        <w:t xml:space="preserve"> </w:t>
      </w:r>
      <w:r>
        <w:rPr>
          <w:sz w:val="20"/>
          <w:szCs w:val="20"/>
        </w:rPr>
        <w:t xml:space="preserve">in </w:t>
      </w:r>
      <w:r w:rsidRPr="009C5980">
        <w:rPr>
          <w:sz w:val="20"/>
          <w:szCs w:val="20"/>
        </w:rPr>
        <w:t xml:space="preserve">Human Rights Quarterly, </w:t>
      </w:r>
      <w:r w:rsidRPr="009C5980">
        <w:rPr>
          <w:rStyle w:val="st"/>
          <w:sz w:val="20"/>
          <w:szCs w:val="20"/>
        </w:rPr>
        <w:t>40 (2), 420- 46</w:t>
      </w:r>
      <w:r w:rsidRPr="009C5980">
        <w:rPr>
          <w:sz w:val="20"/>
          <w:szCs w:val="20"/>
        </w:rPr>
        <w:t xml:space="preserve">. Available at SSRN: </w:t>
      </w:r>
      <w:hyperlink r:id="rId15" w:tgtFrame="_blank" w:history="1">
        <w:r w:rsidRPr="009C5980">
          <w:rPr>
            <w:rStyle w:val="Hyperlink"/>
            <w:sz w:val="20"/>
            <w:szCs w:val="20"/>
          </w:rPr>
          <w:t>https://ssrn.com/abstract=3128896</w:t>
        </w:r>
      </w:hyperlink>
      <w:r w:rsidRPr="009C5980">
        <w:rPr>
          <w:sz w:val="20"/>
          <w:szCs w:val="20"/>
        </w:rPr>
        <w:t xml:space="preserve"> or </w:t>
      </w:r>
      <w:hyperlink r:id="rId16" w:tgtFrame="_blank" w:history="1">
        <w:r w:rsidRPr="009C5980">
          <w:rPr>
            <w:rStyle w:val="Hyperlink"/>
            <w:sz w:val="20"/>
            <w:szCs w:val="20"/>
          </w:rPr>
          <w:t xml:space="preserve">http://dx.doi.org/10.2139/ssrn.3128896 </w:t>
        </w:r>
      </w:hyperlink>
    </w:p>
  </w:footnote>
  <w:footnote w:id="41">
    <w:p w14:paraId="7E533971" w14:textId="69426710" w:rsidR="00B5570E" w:rsidRPr="00DC1317" w:rsidRDefault="00B5570E">
      <w:pPr>
        <w:pStyle w:val="FootnoteText"/>
      </w:pPr>
      <w:r>
        <w:rPr>
          <w:rStyle w:val="FootnoteReference"/>
        </w:rPr>
        <w:footnoteRef/>
      </w:r>
      <w:r>
        <w:t xml:space="preserve"> </w:t>
      </w:r>
      <w:r w:rsidRPr="005C5330">
        <w:rPr>
          <w:szCs w:val="20"/>
        </w:rPr>
        <w:t>Netherlands Institute for Human Rights,</w:t>
      </w:r>
      <w:r w:rsidRPr="005C5330">
        <w:t xml:space="preserve"> </w:t>
      </w:r>
      <w:r w:rsidRPr="00BE0368">
        <w:rPr>
          <w:rStyle w:val="A0"/>
          <w:rFonts w:cs="Arial"/>
          <w:b w:val="0"/>
          <w:i/>
          <w:iCs/>
          <w:sz w:val="20"/>
          <w:szCs w:val="20"/>
        </w:rPr>
        <w:t>Submission to the committee on the Rights of Persons with Disabilities</w:t>
      </w:r>
      <w:r w:rsidRPr="00BE0368">
        <w:rPr>
          <w:b/>
          <w:i/>
          <w:iCs/>
          <w:szCs w:val="20"/>
        </w:rPr>
        <w:t xml:space="preserve">, </w:t>
      </w:r>
      <w:r w:rsidRPr="00BE0368">
        <w:rPr>
          <w:i/>
          <w:iCs/>
          <w:szCs w:val="20"/>
        </w:rPr>
        <w:t>concerning the initial report of the Netherlands.</w:t>
      </w:r>
      <w:r>
        <w:rPr>
          <w:szCs w:val="20"/>
        </w:rPr>
        <w:t xml:space="preserve"> (</w:t>
      </w:r>
      <w:r w:rsidRPr="005C5330">
        <w:rPr>
          <w:szCs w:val="20"/>
        </w:rPr>
        <w:t>Netherlands Institute for Human Rights</w:t>
      </w:r>
      <w:r>
        <w:rPr>
          <w:szCs w:val="20"/>
        </w:rPr>
        <w:t xml:space="preserve"> 2018), p. 27.</w:t>
      </w:r>
    </w:p>
  </w:footnote>
  <w:footnote w:id="42">
    <w:p w14:paraId="3F11BA4D" w14:textId="2FE33232" w:rsidR="00B5570E" w:rsidRPr="00EF1A79" w:rsidRDefault="00B5570E">
      <w:pPr>
        <w:pStyle w:val="FootnoteText"/>
      </w:pPr>
      <w:r>
        <w:rPr>
          <w:rStyle w:val="FootnoteReference"/>
        </w:rPr>
        <w:footnoteRef/>
      </w:r>
      <w:r>
        <w:t xml:space="preserve"> </w:t>
      </w:r>
      <w:r w:rsidRPr="00DC1317">
        <w:t>Parliamentary Documents II, 2013-2014,</w:t>
      </w:r>
      <w:r>
        <w:t xml:space="preserve"> 33 992 (R2034), no. 3, p. 95.</w:t>
      </w:r>
    </w:p>
  </w:footnote>
  <w:footnote w:id="43">
    <w:p w14:paraId="30A7F853" w14:textId="4379B13C" w:rsidR="00B5570E" w:rsidRPr="00DC1317" w:rsidRDefault="00B5570E">
      <w:pPr>
        <w:pStyle w:val="FootnoteText"/>
      </w:pPr>
      <w:r>
        <w:rPr>
          <w:rStyle w:val="FootnoteReference"/>
        </w:rPr>
        <w:footnoteRef/>
      </w:r>
      <w:r>
        <w:t xml:space="preserve"> </w:t>
      </w:r>
      <w:r w:rsidRPr="00DC1317">
        <w:t>Parliamentary Documents II, 2013-2014, 33 990 and Parliamentary Documents I, 2015-2016, 33 990 no. A.</w:t>
      </w:r>
    </w:p>
  </w:footnote>
  <w:footnote w:id="44">
    <w:p w14:paraId="7A17500D" w14:textId="15F34C09" w:rsidR="00B5570E" w:rsidRPr="00DC1317" w:rsidRDefault="00B5570E">
      <w:pPr>
        <w:pStyle w:val="FootnoteText"/>
      </w:pPr>
      <w:r>
        <w:rPr>
          <w:rStyle w:val="FootnoteReference"/>
        </w:rPr>
        <w:footnoteRef/>
      </w:r>
      <w:r>
        <w:t xml:space="preserve"> </w:t>
      </w:r>
      <w:r w:rsidRPr="00DC1317">
        <w:t>Parliamentary Documents II, 2013-2014, 33 990 no. 3, p. 5. See para A4.1 below for a more extensive description.</w:t>
      </w:r>
    </w:p>
  </w:footnote>
  <w:footnote w:id="45">
    <w:p w14:paraId="340B4092" w14:textId="46E484B1" w:rsidR="00B5570E" w:rsidRPr="00DC1317" w:rsidRDefault="00B5570E">
      <w:pPr>
        <w:pStyle w:val="FootnoteText"/>
      </w:pPr>
      <w:r>
        <w:rPr>
          <w:rStyle w:val="FootnoteReference"/>
        </w:rPr>
        <w:footnoteRef/>
      </w:r>
      <w:r>
        <w:t xml:space="preserve"> </w:t>
      </w:r>
      <w:proofErr w:type="gramStart"/>
      <w:r>
        <w:t>P</w:t>
      </w:r>
      <w:r w:rsidRPr="00DC1317">
        <w:t>arliamentary Documents II, 2015-2016, 33 990 no. 45.5.</w:t>
      </w:r>
      <w:proofErr w:type="gramEnd"/>
    </w:p>
  </w:footnote>
  <w:footnote w:id="46">
    <w:p w14:paraId="41BA301B" w14:textId="7621116B" w:rsidR="00B5570E" w:rsidRPr="00DC1317" w:rsidRDefault="00B5570E">
      <w:pPr>
        <w:pStyle w:val="FootnoteText"/>
      </w:pPr>
      <w:r>
        <w:rPr>
          <w:rStyle w:val="FootnoteReference"/>
        </w:rPr>
        <w:footnoteRef/>
      </w:r>
      <w:r>
        <w:t xml:space="preserve"> </w:t>
      </w:r>
      <w:r w:rsidRPr="00DC1317">
        <w:t xml:space="preserve">Parliamentary Documents I, 2015-2016, 33 990 no. </w:t>
      </w:r>
      <w:proofErr w:type="gramStart"/>
      <w:r w:rsidRPr="00DC1317">
        <w:t>A and</w:t>
      </w:r>
      <w:proofErr w:type="gramEnd"/>
      <w:r w:rsidRPr="00DC1317">
        <w:t xml:space="preserve"> Parliamentary Documents I, </w:t>
      </w:r>
      <w:r w:rsidRPr="00657D6A">
        <w:rPr>
          <w:szCs w:val="20"/>
        </w:rPr>
        <w:t>2015–2016, 33 992 (R2034), B</w:t>
      </w:r>
      <w:r>
        <w:rPr>
          <w:szCs w:val="20"/>
        </w:rPr>
        <w:t>, p. 10.</w:t>
      </w:r>
    </w:p>
  </w:footnote>
  <w:footnote w:id="47">
    <w:p w14:paraId="54528FAF" w14:textId="6F664726" w:rsidR="00B5570E" w:rsidRPr="00DC1317" w:rsidRDefault="00B5570E">
      <w:pPr>
        <w:pStyle w:val="FootnoteText"/>
      </w:pPr>
      <w:r>
        <w:rPr>
          <w:rStyle w:val="FootnoteReference"/>
        </w:rPr>
        <w:footnoteRef/>
      </w:r>
      <w:r>
        <w:t xml:space="preserve"> </w:t>
      </w:r>
      <w:r w:rsidRPr="00DC1317">
        <w:rPr>
          <w:rFonts w:eastAsia="Times New Roman" w:cs="Arial"/>
          <w:szCs w:val="20"/>
          <w:lang w:eastAsia="nl-NL"/>
        </w:rPr>
        <w:t>Initial report submitted by the Netherlands under article 35 of the Convention</w:t>
      </w:r>
      <w:r>
        <w:rPr>
          <w:rFonts w:eastAsia="Times New Roman" w:cs="Arial"/>
          <w:szCs w:val="20"/>
          <w:lang w:eastAsia="nl-NL"/>
        </w:rPr>
        <w:t>, p. 25</w:t>
      </w:r>
      <w:r w:rsidRPr="00DC1317">
        <w:rPr>
          <w:rFonts w:eastAsia="Times New Roman" w:cs="Arial"/>
          <w:szCs w:val="20"/>
          <w:lang w:eastAsia="nl-NL"/>
        </w:rPr>
        <w:t xml:space="preserve">. </w:t>
      </w:r>
      <w:hyperlink r:id="rId17" w:history="1">
        <w:r w:rsidRPr="00DC1317">
          <w:rPr>
            <w:rStyle w:val="Hyperlink"/>
            <w:rFonts w:eastAsia="Times New Roman" w:cs="Arial"/>
            <w:szCs w:val="20"/>
            <w:lang w:eastAsia="nl-NL"/>
          </w:rPr>
          <w:t>https://digitallibrary.un.org/record/3794832</w:t>
        </w:r>
      </w:hyperlink>
      <w:r w:rsidRPr="00DC1317">
        <w:rPr>
          <w:rFonts w:eastAsia="Times New Roman" w:cs="Arial"/>
          <w:szCs w:val="20"/>
          <w:lang w:eastAsia="nl-NL"/>
        </w:rPr>
        <w:t xml:space="preserve"> (accessed 16 March 2020).</w:t>
      </w:r>
    </w:p>
  </w:footnote>
  <w:footnote w:id="48">
    <w:p w14:paraId="1C0428CD" w14:textId="02E7A384" w:rsidR="00B5570E" w:rsidRPr="000B246C" w:rsidRDefault="00B5570E">
      <w:pPr>
        <w:pStyle w:val="FootnoteText"/>
      </w:pPr>
      <w:r>
        <w:rPr>
          <w:rStyle w:val="FootnoteReference"/>
        </w:rPr>
        <w:footnoteRef/>
      </w:r>
      <w:r>
        <w:t xml:space="preserve"> </w:t>
      </w:r>
      <w:r w:rsidRPr="00DC1317">
        <w:rPr>
          <w:rFonts w:eastAsia="Times New Roman" w:cs="Arial"/>
          <w:szCs w:val="20"/>
          <w:lang w:eastAsia="nl-NL"/>
        </w:rPr>
        <w:t>Initial report submitted by the Netherlands under article 35 of the Convention</w:t>
      </w:r>
      <w:r>
        <w:rPr>
          <w:rFonts w:eastAsia="Times New Roman" w:cs="Arial"/>
          <w:szCs w:val="20"/>
          <w:lang w:eastAsia="nl-NL"/>
        </w:rPr>
        <w:t>, point 79, p. 13.</w:t>
      </w:r>
    </w:p>
  </w:footnote>
  <w:footnote w:id="49">
    <w:p w14:paraId="7AAE109D" w14:textId="77777777" w:rsidR="00B5570E" w:rsidRPr="00803A72" w:rsidRDefault="00B5570E" w:rsidP="009449A2">
      <w:pPr>
        <w:pStyle w:val="FootnoteText"/>
      </w:pPr>
      <w:r>
        <w:rPr>
          <w:rStyle w:val="FootnoteReference"/>
        </w:rPr>
        <w:footnoteRef/>
      </w:r>
      <w:r>
        <w:t xml:space="preserve"> </w:t>
      </w:r>
      <w:hyperlink r:id="rId18" w:history="1">
        <w:r w:rsidRPr="00D77DF3">
          <w:rPr>
            <w:rStyle w:val="Hyperlink"/>
            <w:rFonts w:cstheme="minorBidi"/>
          </w:rPr>
          <w:t>https://mensenrechten.nl/nl/publicatie/5c051025c155b7037d1ec495</w:t>
        </w:r>
      </w:hyperlink>
      <w:r>
        <w:t xml:space="preserve"> Accessed 13 May 2020.</w:t>
      </w:r>
    </w:p>
  </w:footnote>
  <w:footnote w:id="50">
    <w:p w14:paraId="02C044F6" w14:textId="77777777" w:rsidR="00B5570E" w:rsidRPr="00803A72" w:rsidRDefault="00B5570E" w:rsidP="009449A2">
      <w:pPr>
        <w:pStyle w:val="FootnoteText"/>
      </w:pPr>
      <w:r>
        <w:rPr>
          <w:rStyle w:val="FootnoteReference"/>
        </w:rPr>
        <w:footnoteRef/>
      </w:r>
      <w:r>
        <w:t xml:space="preserve"> </w:t>
      </w:r>
      <w:hyperlink r:id="rId19" w:history="1">
        <w:r w:rsidRPr="00D77DF3">
          <w:rPr>
            <w:rStyle w:val="Hyperlink"/>
            <w:rFonts w:cstheme="minorBidi"/>
          </w:rPr>
          <w:t>https://iederin.nl/positie-van-mensen-met-een-beperking-gaat-achteruit-ondanks-vn-verdrag-handicap/</w:t>
        </w:r>
      </w:hyperlink>
      <w:r>
        <w:t xml:space="preserve"> Accessed 13 May 2020.</w:t>
      </w:r>
    </w:p>
  </w:footnote>
  <w:footnote w:id="51">
    <w:p w14:paraId="4CABE4F6" w14:textId="6B75DE30" w:rsidR="00B5570E" w:rsidRPr="00F058D2" w:rsidRDefault="00B5570E">
      <w:pPr>
        <w:pStyle w:val="FootnoteText"/>
      </w:pPr>
      <w:r>
        <w:rPr>
          <w:rStyle w:val="FootnoteReference"/>
        </w:rPr>
        <w:footnoteRef/>
      </w:r>
      <w:r>
        <w:t xml:space="preserve"> </w:t>
      </w:r>
      <w:r w:rsidRPr="00707D55">
        <w:rPr>
          <w:rFonts w:cs="Arial"/>
          <w:szCs w:val="20"/>
        </w:rPr>
        <w:t xml:space="preserve">J. </w:t>
      </w:r>
      <w:proofErr w:type="spellStart"/>
      <w:r w:rsidRPr="00707D55">
        <w:rPr>
          <w:rFonts w:cs="Arial"/>
          <w:szCs w:val="20"/>
        </w:rPr>
        <w:t>Schoonheim</w:t>
      </w:r>
      <w:proofErr w:type="spellEnd"/>
      <w:r w:rsidRPr="00707D55">
        <w:rPr>
          <w:rFonts w:cs="Arial"/>
          <w:szCs w:val="20"/>
        </w:rPr>
        <w:t xml:space="preserve"> and J. Smits, </w:t>
      </w:r>
      <w:proofErr w:type="spellStart"/>
      <w:r w:rsidRPr="00707D55">
        <w:rPr>
          <w:rFonts w:cs="Arial"/>
          <w:szCs w:val="20"/>
        </w:rPr>
        <w:t>Schaduwrapportage</w:t>
      </w:r>
      <w:proofErr w:type="spellEnd"/>
      <w:r w:rsidRPr="00707D55">
        <w:rPr>
          <w:rFonts w:cs="Arial"/>
          <w:szCs w:val="20"/>
        </w:rPr>
        <w:t xml:space="preserve"> </w:t>
      </w:r>
      <w:proofErr w:type="spellStart"/>
      <w:r w:rsidRPr="00707D55">
        <w:rPr>
          <w:rFonts w:cs="Arial"/>
          <w:szCs w:val="20"/>
        </w:rPr>
        <w:t>Verdrag</w:t>
      </w:r>
      <w:proofErr w:type="spellEnd"/>
      <w:r w:rsidRPr="00707D55">
        <w:rPr>
          <w:rFonts w:cs="Arial"/>
          <w:szCs w:val="20"/>
        </w:rPr>
        <w:t xml:space="preserve"> </w:t>
      </w:r>
      <w:proofErr w:type="spellStart"/>
      <w:r w:rsidRPr="00707D55">
        <w:rPr>
          <w:rFonts w:cs="Arial"/>
          <w:szCs w:val="20"/>
        </w:rPr>
        <w:t>inzake</w:t>
      </w:r>
      <w:proofErr w:type="spellEnd"/>
      <w:r w:rsidRPr="00707D55">
        <w:rPr>
          <w:rFonts w:cs="Arial"/>
          <w:szCs w:val="20"/>
        </w:rPr>
        <w:t xml:space="preserve"> de </w:t>
      </w:r>
      <w:proofErr w:type="spellStart"/>
      <w:r w:rsidRPr="00707D55">
        <w:rPr>
          <w:rFonts w:cs="Arial"/>
          <w:szCs w:val="20"/>
        </w:rPr>
        <w:t>rechten</w:t>
      </w:r>
      <w:proofErr w:type="spellEnd"/>
      <w:r w:rsidRPr="00707D55">
        <w:rPr>
          <w:rFonts w:cs="Arial"/>
          <w:szCs w:val="20"/>
        </w:rPr>
        <w:t xml:space="preserve"> van </w:t>
      </w:r>
      <w:proofErr w:type="spellStart"/>
      <w:r w:rsidRPr="00707D55">
        <w:rPr>
          <w:rFonts w:cs="Arial"/>
          <w:szCs w:val="20"/>
        </w:rPr>
        <w:t>personen</w:t>
      </w:r>
      <w:proofErr w:type="spellEnd"/>
      <w:r w:rsidRPr="00707D55">
        <w:rPr>
          <w:rFonts w:cs="Arial"/>
          <w:szCs w:val="20"/>
        </w:rPr>
        <w:t xml:space="preserve"> met </w:t>
      </w:r>
      <w:proofErr w:type="spellStart"/>
      <w:r w:rsidRPr="00707D55">
        <w:rPr>
          <w:rFonts w:cs="Arial"/>
          <w:szCs w:val="20"/>
        </w:rPr>
        <w:t>een</w:t>
      </w:r>
      <w:proofErr w:type="spellEnd"/>
      <w:r w:rsidRPr="00707D55">
        <w:rPr>
          <w:rFonts w:cs="Arial"/>
          <w:szCs w:val="20"/>
        </w:rPr>
        <w:t xml:space="preserve"> handicap in Nederland (</w:t>
      </w:r>
      <w:r w:rsidRPr="00707D55">
        <w:rPr>
          <w:rFonts w:cs="Arial"/>
          <w:i/>
          <w:iCs/>
          <w:szCs w:val="20"/>
        </w:rPr>
        <w:t>Shadow r</w:t>
      </w:r>
      <w:r>
        <w:rPr>
          <w:rFonts w:cs="Arial"/>
          <w:i/>
          <w:iCs/>
          <w:szCs w:val="20"/>
        </w:rPr>
        <w:t>e</w:t>
      </w:r>
      <w:r w:rsidRPr="00707D55">
        <w:rPr>
          <w:rFonts w:cs="Arial"/>
          <w:i/>
          <w:iCs/>
          <w:szCs w:val="20"/>
        </w:rPr>
        <w:t>port Convention on the rights of persons with</w:t>
      </w:r>
      <w:r>
        <w:rPr>
          <w:rFonts w:cs="Arial"/>
          <w:i/>
          <w:iCs/>
          <w:szCs w:val="20"/>
        </w:rPr>
        <w:t xml:space="preserve"> disabilities in the Netherlands)</w:t>
      </w:r>
      <w:r w:rsidRPr="00707D55">
        <w:rPr>
          <w:rFonts w:cs="Arial"/>
          <w:szCs w:val="20"/>
        </w:rPr>
        <w:t xml:space="preserve">. </w:t>
      </w:r>
      <w:r>
        <w:rPr>
          <w:rFonts w:cs="Arial"/>
          <w:szCs w:val="20"/>
        </w:rPr>
        <w:t>(</w:t>
      </w:r>
      <w:proofErr w:type="spellStart"/>
      <w:proofErr w:type="gramStart"/>
      <w:r w:rsidRPr="004A41B9">
        <w:rPr>
          <w:rFonts w:cs="Arial"/>
          <w:szCs w:val="20"/>
        </w:rPr>
        <w:t>Ieder</w:t>
      </w:r>
      <w:proofErr w:type="spellEnd"/>
      <w:r w:rsidRPr="004A41B9">
        <w:rPr>
          <w:rFonts w:cs="Arial"/>
          <w:szCs w:val="20"/>
        </w:rPr>
        <w:t>(</w:t>
      </w:r>
      <w:proofErr w:type="gramEnd"/>
      <w:r w:rsidRPr="004A41B9">
        <w:rPr>
          <w:rFonts w:cs="Arial"/>
          <w:szCs w:val="20"/>
        </w:rPr>
        <w:t>in) 2019</w:t>
      </w:r>
      <w:r>
        <w:rPr>
          <w:rFonts w:cs="Arial"/>
          <w:szCs w:val="20"/>
        </w:rPr>
        <w:t>)</w:t>
      </w:r>
      <w:r w:rsidRPr="004A41B9">
        <w:rPr>
          <w:rFonts w:cs="Arial"/>
          <w:szCs w:val="20"/>
        </w:rPr>
        <w:t>,</w:t>
      </w:r>
      <w:r>
        <w:t xml:space="preserve"> p. 17. </w:t>
      </w:r>
    </w:p>
  </w:footnote>
  <w:footnote w:id="52">
    <w:p w14:paraId="72FCD815" w14:textId="6969203D" w:rsidR="00B5570E" w:rsidRPr="00DC1317" w:rsidRDefault="00B5570E">
      <w:pPr>
        <w:pStyle w:val="FootnoteText"/>
      </w:pPr>
      <w:r>
        <w:rPr>
          <w:rStyle w:val="FootnoteReference"/>
        </w:rPr>
        <w:footnoteRef/>
      </w:r>
      <w:r>
        <w:t xml:space="preserve"> </w:t>
      </w:r>
      <w:r w:rsidRPr="00DC1317">
        <w:t>This seems to be in line with the application of CRPD in other jurisdictions: L. Waddington, ‘The domestication of the CRPD, Domestic Legal Status of the CRPD and relevance for Court Judgments’, in Waddington</w:t>
      </w:r>
      <w:r>
        <w:t>, L.</w:t>
      </w:r>
      <w:r w:rsidRPr="00DC1317">
        <w:t xml:space="preserve"> and Lawson,</w:t>
      </w:r>
      <w:r>
        <w:t xml:space="preserve"> A.,</w:t>
      </w:r>
      <w:r w:rsidRPr="00DC1317">
        <w:t xml:space="preserve"> </w:t>
      </w:r>
      <w:r w:rsidRPr="00DC1317">
        <w:rPr>
          <w:i/>
        </w:rPr>
        <w:t xml:space="preserve">The UN Convention on </w:t>
      </w:r>
      <w:proofErr w:type="spellStart"/>
      <w:r w:rsidRPr="00DC1317">
        <w:rPr>
          <w:i/>
        </w:rPr>
        <w:t>te</w:t>
      </w:r>
      <w:proofErr w:type="spellEnd"/>
      <w:r w:rsidRPr="00DC1317">
        <w:rPr>
          <w:i/>
        </w:rPr>
        <w:t xml:space="preserve"> Rights of Persons with Disabilities, A comparative analysis of the Role of Courts, </w:t>
      </w:r>
      <w:r w:rsidRPr="00DC1317">
        <w:t>(Oxford University Press, Oxford, 2018), pp. 539-575</w:t>
      </w:r>
      <w:r w:rsidRPr="00DC1317">
        <w:rPr>
          <w:i/>
        </w:rPr>
        <w:t>.</w:t>
      </w:r>
      <w:r w:rsidRPr="00DC1317">
        <w:t xml:space="preserve"> </w:t>
      </w:r>
    </w:p>
  </w:footnote>
  <w:footnote w:id="53">
    <w:p w14:paraId="6AE58E9A" w14:textId="38106149" w:rsidR="00B5570E" w:rsidRPr="00DC1317" w:rsidRDefault="00B5570E">
      <w:pPr>
        <w:pStyle w:val="FootnoteText"/>
      </w:pPr>
      <w:r>
        <w:rPr>
          <w:rStyle w:val="FootnoteReference"/>
        </w:rPr>
        <w:footnoteRef/>
      </w:r>
      <w:r>
        <w:t xml:space="preserve"> </w:t>
      </w:r>
      <w:r>
        <w:rPr>
          <w:rFonts w:cs="Arial"/>
          <w:bCs/>
          <w:szCs w:val="20"/>
        </w:rPr>
        <w:t>District c</w:t>
      </w:r>
      <w:r w:rsidRPr="00A6275D">
        <w:rPr>
          <w:rFonts w:cs="Arial"/>
          <w:bCs/>
          <w:szCs w:val="20"/>
        </w:rPr>
        <w:t>ourt Amsterdam 12 June 2019, ECLI:NL:RBAMS:2019:3375</w:t>
      </w:r>
    </w:p>
  </w:footnote>
  <w:footnote w:id="54">
    <w:p w14:paraId="1B125F91" w14:textId="4917FB4C" w:rsidR="00B5570E" w:rsidRPr="00DC1317" w:rsidRDefault="00B5570E">
      <w:pPr>
        <w:pStyle w:val="FootnoteText"/>
      </w:pPr>
      <w:r>
        <w:rPr>
          <w:rStyle w:val="FootnoteReference"/>
        </w:rPr>
        <w:footnoteRef/>
      </w:r>
      <w:r>
        <w:t xml:space="preserve"> </w:t>
      </w:r>
      <w:r w:rsidRPr="00336D93">
        <w:rPr>
          <w:rFonts w:eastAsia="Times New Roman" w:cs="Arial"/>
          <w:bCs/>
          <w:szCs w:val="24"/>
          <w:lang w:eastAsia="nl-NL"/>
        </w:rPr>
        <w:t xml:space="preserve">District court </w:t>
      </w:r>
      <w:proofErr w:type="spellStart"/>
      <w:r w:rsidRPr="00336D93">
        <w:rPr>
          <w:rFonts w:eastAsia="Times New Roman" w:cs="Arial"/>
          <w:bCs/>
          <w:szCs w:val="24"/>
          <w:lang w:eastAsia="nl-NL"/>
        </w:rPr>
        <w:t>Overijssel</w:t>
      </w:r>
      <w:proofErr w:type="spellEnd"/>
      <w:r w:rsidRPr="00336D93">
        <w:rPr>
          <w:rFonts w:eastAsia="Times New Roman" w:cs="Arial"/>
          <w:bCs/>
          <w:szCs w:val="24"/>
          <w:lang w:eastAsia="nl-NL"/>
        </w:rPr>
        <w:t xml:space="preserve"> 10 May 2019, </w:t>
      </w:r>
      <w:r w:rsidRPr="00336D93">
        <w:rPr>
          <w:rFonts w:cs="Arial"/>
          <w:bCs/>
          <w:szCs w:val="24"/>
        </w:rPr>
        <w:t>ECLI:NL:RBOVE:2019:1577</w:t>
      </w:r>
    </w:p>
  </w:footnote>
  <w:footnote w:id="55">
    <w:p w14:paraId="3F70ECBE" w14:textId="6770FCB7" w:rsidR="00B5570E" w:rsidRPr="00DC1317" w:rsidRDefault="00B5570E" w:rsidP="0028073D">
      <w:r>
        <w:rPr>
          <w:rStyle w:val="FootnoteReference"/>
        </w:rPr>
        <w:footnoteRef/>
      </w:r>
      <w:r>
        <w:t xml:space="preserve"> </w:t>
      </w:r>
      <w:r w:rsidRPr="00DC1317">
        <w:rPr>
          <w:rFonts w:cs="Arial"/>
          <w:bCs/>
          <w:sz w:val="20"/>
          <w:szCs w:val="20"/>
        </w:rPr>
        <w:t>District court Amsterdam 18 March 2019</w:t>
      </w:r>
      <w:r>
        <w:rPr>
          <w:rFonts w:cs="Arial"/>
          <w:bCs/>
          <w:sz w:val="20"/>
          <w:szCs w:val="20"/>
        </w:rPr>
        <w:t>,</w:t>
      </w:r>
      <w:r w:rsidRPr="00DC1317">
        <w:rPr>
          <w:rFonts w:cs="Arial"/>
          <w:bCs/>
          <w:sz w:val="20"/>
          <w:szCs w:val="20"/>
        </w:rPr>
        <w:t xml:space="preserve"> ECLI:NL:RBAMS:2019:1874</w:t>
      </w:r>
    </w:p>
  </w:footnote>
  <w:footnote w:id="56">
    <w:p w14:paraId="2D7E90E0" w14:textId="68899621" w:rsidR="00B5570E" w:rsidRPr="000A6F52" w:rsidRDefault="00B5570E">
      <w:pPr>
        <w:pStyle w:val="FootnoteText"/>
      </w:pPr>
      <w:r>
        <w:rPr>
          <w:rStyle w:val="FootnoteReference"/>
        </w:rPr>
        <w:footnoteRef/>
      </w:r>
      <w:r w:rsidRPr="000A6F52">
        <w:t xml:space="preserve"> </w:t>
      </w:r>
      <w:hyperlink r:id="rId20" w:history="1">
        <w:r w:rsidRPr="000A6F52">
          <w:rPr>
            <w:rStyle w:val="Hyperlink"/>
            <w:rFonts w:cstheme="minorBidi"/>
          </w:rPr>
          <w:t>https://www.sdgnederland.nl/nieuws/</w:t>
        </w:r>
      </w:hyperlink>
      <w:r w:rsidRPr="000A6F52">
        <w:t xml:space="preserve"> </w:t>
      </w:r>
      <w:r>
        <w:t>Accessed 1 June 2020.</w:t>
      </w:r>
    </w:p>
  </w:footnote>
  <w:footnote w:id="57">
    <w:p w14:paraId="71304C9C" w14:textId="617983F6" w:rsidR="00B5570E" w:rsidRPr="0028073D" w:rsidRDefault="00B5570E">
      <w:pPr>
        <w:pStyle w:val="FootnoteText"/>
      </w:pPr>
      <w:r>
        <w:rPr>
          <w:rStyle w:val="FootnoteReference"/>
        </w:rPr>
        <w:footnoteRef/>
      </w:r>
      <w:r w:rsidRPr="007D7A3B">
        <w:t xml:space="preserve"> </w:t>
      </w:r>
      <w:proofErr w:type="gramStart"/>
      <w:r w:rsidRPr="007D7A3B">
        <w:t xml:space="preserve">Ministry of Foreign Affairs, </w:t>
      </w:r>
      <w:proofErr w:type="spellStart"/>
      <w:r w:rsidRPr="007D7A3B">
        <w:rPr>
          <w:i/>
          <w:iCs/>
        </w:rPr>
        <w:t>Derde</w:t>
      </w:r>
      <w:proofErr w:type="spellEnd"/>
      <w:r w:rsidRPr="007D7A3B">
        <w:rPr>
          <w:i/>
          <w:iCs/>
        </w:rPr>
        <w:t xml:space="preserve"> </w:t>
      </w:r>
      <w:proofErr w:type="spellStart"/>
      <w:r w:rsidRPr="007D7A3B">
        <w:rPr>
          <w:i/>
          <w:iCs/>
        </w:rPr>
        <w:t>Nederlandse</w:t>
      </w:r>
      <w:proofErr w:type="spellEnd"/>
      <w:r w:rsidRPr="007D7A3B">
        <w:rPr>
          <w:i/>
          <w:iCs/>
        </w:rPr>
        <w:t xml:space="preserve"> SDG Rapportage.</w:t>
      </w:r>
      <w:proofErr w:type="gramEnd"/>
      <w:r w:rsidRPr="007D7A3B">
        <w:rPr>
          <w:i/>
          <w:iCs/>
        </w:rPr>
        <w:t xml:space="preserve"> </w:t>
      </w:r>
      <w:r w:rsidRPr="00CE4642">
        <w:rPr>
          <w:i/>
          <w:iCs/>
        </w:rPr>
        <w:t xml:space="preserve">Nederland </w:t>
      </w:r>
      <w:proofErr w:type="spellStart"/>
      <w:r w:rsidRPr="00CE4642">
        <w:rPr>
          <w:i/>
          <w:iCs/>
        </w:rPr>
        <w:t>Ontwikkelt</w:t>
      </w:r>
      <w:proofErr w:type="spellEnd"/>
      <w:r w:rsidRPr="00CE4642">
        <w:rPr>
          <w:i/>
          <w:iCs/>
        </w:rPr>
        <w:t xml:space="preserve"> </w:t>
      </w:r>
      <w:proofErr w:type="spellStart"/>
      <w:r w:rsidRPr="00CE4642">
        <w:rPr>
          <w:i/>
          <w:iCs/>
        </w:rPr>
        <w:t>Duurzaam</w:t>
      </w:r>
      <w:proofErr w:type="spellEnd"/>
      <w:r w:rsidRPr="00CE4642">
        <w:t xml:space="preserve"> (</w:t>
      </w:r>
      <w:r w:rsidRPr="00CE4642">
        <w:rPr>
          <w:i/>
          <w:iCs/>
        </w:rPr>
        <w:t xml:space="preserve">‘Third Dutch SDG Report. </w:t>
      </w:r>
      <w:r w:rsidRPr="0028073D">
        <w:rPr>
          <w:i/>
          <w:iCs/>
        </w:rPr>
        <w:t>The Netherlands are develop</w:t>
      </w:r>
      <w:r>
        <w:rPr>
          <w:i/>
          <w:iCs/>
        </w:rPr>
        <w:t>ing</w:t>
      </w:r>
      <w:r w:rsidRPr="0028073D">
        <w:rPr>
          <w:i/>
          <w:iCs/>
        </w:rPr>
        <w:t xml:space="preserve"> sustainably’</w:t>
      </w:r>
      <w:r w:rsidRPr="0028073D">
        <w:t>)</w:t>
      </w:r>
      <w:r>
        <w:t>, (May 2019)</w:t>
      </w:r>
      <w:r w:rsidRPr="0028073D">
        <w:t>, p.14-15</w:t>
      </w:r>
      <w:r>
        <w:t>, 17.</w:t>
      </w:r>
    </w:p>
  </w:footnote>
  <w:footnote w:id="58">
    <w:p w14:paraId="509E35A4" w14:textId="3A12D1A6" w:rsidR="00B5570E" w:rsidRPr="00B74F64" w:rsidRDefault="00B5570E">
      <w:pPr>
        <w:pStyle w:val="FootnoteText"/>
      </w:pPr>
      <w:r>
        <w:rPr>
          <w:rStyle w:val="FootnoteReference"/>
        </w:rPr>
        <w:footnoteRef/>
      </w:r>
      <w:r>
        <w:t xml:space="preserve"> </w:t>
      </w:r>
      <w:proofErr w:type="gramStart"/>
      <w:r>
        <w:t xml:space="preserve">Act of 3 April 2003, </w:t>
      </w:r>
      <w:proofErr w:type="spellStart"/>
      <w:r>
        <w:t>Stb</w:t>
      </w:r>
      <w:proofErr w:type="spellEnd"/>
      <w:r>
        <w:t>. 2003, 206.</w:t>
      </w:r>
      <w:proofErr w:type="gramEnd"/>
    </w:p>
  </w:footnote>
  <w:footnote w:id="59">
    <w:p w14:paraId="6E468372" w14:textId="51D1771B" w:rsidR="00B5570E" w:rsidRPr="00BC291F" w:rsidRDefault="00B5570E" w:rsidP="00BC291F">
      <w:pPr>
        <w:pStyle w:val="fncase"/>
        <w:rPr>
          <w:i w:val="0"/>
          <w:iCs/>
        </w:rPr>
      </w:pPr>
      <w:r>
        <w:rPr>
          <w:rStyle w:val="FootnoteReference"/>
        </w:rPr>
        <w:footnoteRef/>
      </w:r>
      <w:r>
        <w:t xml:space="preserve"> </w:t>
      </w:r>
      <w:proofErr w:type="gramStart"/>
      <w:r w:rsidRPr="00BC291F">
        <w:rPr>
          <w:i w:val="0"/>
          <w:iCs/>
        </w:rPr>
        <w:t>Council Directive 2000/78/EC establishing a general framework for equal treatment in employment and occupation [2000], OJ L 303, 2.12.2000, p. 16–22.</w:t>
      </w:r>
      <w:proofErr w:type="gramEnd"/>
    </w:p>
  </w:footnote>
  <w:footnote w:id="60">
    <w:p w14:paraId="661C3334" w14:textId="0AFF50D5" w:rsidR="00B5570E" w:rsidRPr="00DC1317" w:rsidRDefault="00B5570E">
      <w:pPr>
        <w:pStyle w:val="FootnoteText"/>
      </w:pPr>
      <w:r>
        <w:rPr>
          <w:rStyle w:val="FootnoteReference"/>
        </w:rPr>
        <w:footnoteRef/>
      </w:r>
      <w:r>
        <w:t xml:space="preserve"> </w:t>
      </w:r>
      <w:proofErr w:type="gramStart"/>
      <w:r w:rsidRPr="00DC1317">
        <w:t>Parliamentary Documents II, 2001-2002, 28 169 no. 3, p. 9, Memorandum of Explanation.</w:t>
      </w:r>
      <w:proofErr w:type="gramEnd"/>
    </w:p>
  </w:footnote>
  <w:footnote w:id="61">
    <w:p w14:paraId="71DA24B2" w14:textId="2761C05B" w:rsidR="00B5570E" w:rsidRPr="00DC1317" w:rsidRDefault="00B5570E">
      <w:pPr>
        <w:pStyle w:val="FootnoteText"/>
      </w:pPr>
      <w:r>
        <w:rPr>
          <w:rStyle w:val="FootnoteReference"/>
        </w:rPr>
        <w:footnoteRef/>
      </w:r>
      <w:r>
        <w:t xml:space="preserve"> </w:t>
      </w:r>
      <w:proofErr w:type="gramStart"/>
      <w:r w:rsidRPr="00DC1317">
        <w:t>Parliamentary Documents II, 2001-2002, 28 169 no. 3, p. 12, Memorandum of Explanation.</w:t>
      </w:r>
      <w:proofErr w:type="gramEnd"/>
    </w:p>
  </w:footnote>
  <w:footnote w:id="62">
    <w:p w14:paraId="085C7D89" w14:textId="7D902B3A" w:rsidR="00B5570E" w:rsidRPr="00DC1317" w:rsidRDefault="00B5570E">
      <w:pPr>
        <w:pStyle w:val="FootnoteText"/>
      </w:pPr>
      <w:r>
        <w:rPr>
          <w:rStyle w:val="FootnoteReference"/>
        </w:rPr>
        <w:footnoteRef/>
      </w:r>
      <w:r>
        <w:t xml:space="preserve"> </w:t>
      </w:r>
      <w:proofErr w:type="gramStart"/>
      <w:r w:rsidRPr="00DC1317">
        <w:t>Parliamentary Documents II, 2013-2014, 33 990 no. 3, p. 5, Memorandum of Explanation</w:t>
      </w:r>
      <w:r>
        <w:t>.</w:t>
      </w:r>
      <w:proofErr w:type="gramEnd"/>
    </w:p>
  </w:footnote>
  <w:footnote w:id="63">
    <w:p w14:paraId="23D058DD" w14:textId="71B57E59" w:rsidR="00B5570E" w:rsidRPr="00DE35BE" w:rsidRDefault="00B5570E">
      <w:pPr>
        <w:pStyle w:val="FootnoteText"/>
      </w:pPr>
      <w:r>
        <w:rPr>
          <w:rStyle w:val="FootnoteReference"/>
        </w:rPr>
        <w:footnoteRef/>
      </w:r>
      <w:r>
        <w:t xml:space="preserve"> </w:t>
      </w:r>
      <w:proofErr w:type="gramStart"/>
      <w:r w:rsidRPr="00DE35BE">
        <w:t xml:space="preserve">Act of 17 December 2003, </w:t>
      </w:r>
      <w:proofErr w:type="spellStart"/>
      <w:r w:rsidRPr="00DE35BE">
        <w:t>Stb</w:t>
      </w:r>
      <w:proofErr w:type="spellEnd"/>
      <w:r w:rsidRPr="00DE35BE">
        <w:t>. 2004, 30.</w:t>
      </w:r>
      <w:proofErr w:type="gramEnd"/>
    </w:p>
  </w:footnote>
  <w:footnote w:id="64">
    <w:p w14:paraId="3353A3E7" w14:textId="32F50A12" w:rsidR="00B5570E" w:rsidRPr="00DC1317" w:rsidRDefault="00B5570E">
      <w:pPr>
        <w:pStyle w:val="FootnoteText"/>
      </w:pPr>
      <w:r>
        <w:rPr>
          <w:rStyle w:val="FootnoteReference"/>
        </w:rPr>
        <w:footnoteRef/>
      </w:r>
      <w:r>
        <w:t xml:space="preserve"> </w:t>
      </w:r>
      <w:proofErr w:type="gramStart"/>
      <w:r w:rsidRPr="00DC1317">
        <w:t>Parliamentary Documents II, 2013-2014, 33 990 no. 3, p. 8, Memorandum of Explanation</w:t>
      </w:r>
      <w:r>
        <w:t>.</w:t>
      </w:r>
      <w:proofErr w:type="gramEnd"/>
    </w:p>
  </w:footnote>
  <w:footnote w:id="65">
    <w:p w14:paraId="58ABD722" w14:textId="1A6967B9" w:rsidR="00B5570E" w:rsidRPr="009E4499" w:rsidRDefault="00B5570E">
      <w:pPr>
        <w:pStyle w:val="FootnoteText"/>
        <w:rPr>
          <w:lang w:val="fr-FR"/>
        </w:rPr>
      </w:pPr>
      <w:r>
        <w:rPr>
          <w:rStyle w:val="FootnoteReference"/>
        </w:rPr>
        <w:footnoteRef/>
      </w:r>
      <w:r w:rsidRPr="009E4499">
        <w:rPr>
          <w:lang w:val="fr-FR"/>
        </w:rPr>
        <w:t xml:space="preserve"> Articles 137d and 137f </w:t>
      </w:r>
      <w:proofErr w:type="spellStart"/>
      <w:r w:rsidRPr="009E4499">
        <w:rPr>
          <w:lang w:val="fr-FR"/>
        </w:rPr>
        <w:t>Criminal</w:t>
      </w:r>
      <w:proofErr w:type="spellEnd"/>
      <w:r w:rsidRPr="009E4499">
        <w:rPr>
          <w:lang w:val="fr-FR"/>
        </w:rPr>
        <w:t xml:space="preserve"> Code.</w:t>
      </w:r>
    </w:p>
  </w:footnote>
  <w:footnote w:id="66">
    <w:p w14:paraId="611B15B1" w14:textId="7E8BF445" w:rsidR="00B5570E" w:rsidRPr="009E4499" w:rsidRDefault="00B5570E">
      <w:pPr>
        <w:pStyle w:val="FootnoteText"/>
        <w:rPr>
          <w:lang w:val="fr-FR"/>
        </w:rPr>
      </w:pPr>
      <w:r>
        <w:rPr>
          <w:rStyle w:val="FootnoteReference"/>
        </w:rPr>
        <w:footnoteRef/>
      </w:r>
      <w:r w:rsidRPr="009E4499">
        <w:rPr>
          <w:lang w:val="fr-FR"/>
        </w:rPr>
        <w:t xml:space="preserve"> Article 429quater </w:t>
      </w:r>
      <w:proofErr w:type="spellStart"/>
      <w:r w:rsidRPr="009E4499">
        <w:rPr>
          <w:lang w:val="fr-FR"/>
        </w:rPr>
        <w:t>Criminal</w:t>
      </w:r>
      <w:proofErr w:type="spellEnd"/>
      <w:r w:rsidRPr="009E4499">
        <w:rPr>
          <w:lang w:val="fr-FR"/>
        </w:rPr>
        <w:t xml:space="preserve"> Code.</w:t>
      </w:r>
    </w:p>
  </w:footnote>
  <w:footnote w:id="67">
    <w:p w14:paraId="11C6080D" w14:textId="6A160A48" w:rsidR="00B5570E" w:rsidRPr="009E4499" w:rsidRDefault="00B5570E">
      <w:pPr>
        <w:pStyle w:val="FootnoteText"/>
        <w:rPr>
          <w:lang w:val="fr-FR"/>
        </w:rPr>
      </w:pPr>
      <w:r>
        <w:rPr>
          <w:rStyle w:val="FootnoteReference"/>
        </w:rPr>
        <w:footnoteRef/>
      </w:r>
      <w:r w:rsidRPr="009E4499">
        <w:rPr>
          <w:lang w:val="fr-FR"/>
        </w:rPr>
        <w:t xml:space="preserve"> G. </w:t>
      </w:r>
      <w:proofErr w:type="spellStart"/>
      <w:r w:rsidRPr="009E4499">
        <w:rPr>
          <w:lang w:val="fr-FR"/>
        </w:rPr>
        <w:t>Walz</w:t>
      </w:r>
      <w:proofErr w:type="spellEnd"/>
      <w:r w:rsidRPr="009E4499">
        <w:rPr>
          <w:lang w:val="fr-FR"/>
        </w:rPr>
        <w:t xml:space="preserve">, S. van Bon and B. </w:t>
      </w:r>
      <w:proofErr w:type="spellStart"/>
      <w:r w:rsidRPr="009E4499">
        <w:rPr>
          <w:lang w:val="fr-FR"/>
        </w:rPr>
        <w:t>Fiere</w:t>
      </w:r>
      <w:proofErr w:type="spellEnd"/>
      <w:r w:rsidRPr="009E4499">
        <w:rPr>
          <w:lang w:val="fr-FR"/>
        </w:rPr>
        <w:t xml:space="preserve">, </w:t>
      </w:r>
      <w:proofErr w:type="spellStart"/>
      <w:r w:rsidRPr="009E4499">
        <w:rPr>
          <w:i/>
          <w:iCs/>
          <w:lang w:val="fr-FR"/>
        </w:rPr>
        <w:t>Discriminatiecijfers</w:t>
      </w:r>
      <w:proofErr w:type="spellEnd"/>
      <w:r w:rsidRPr="009E4499">
        <w:rPr>
          <w:i/>
          <w:iCs/>
          <w:lang w:val="fr-FR"/>
        </w:rPr>
        <w:t xml:space="preserve"> </w:t>
      </w:r>
      <w:proofErr w:type="spellStart"/>
      <w:r w:rsidRPr="009E4499">
        <w:rPr>
          <w:i/>
          <w:iCs/>
          <w:lang w:val="fr-FR"/>
        </w:rPr>
        <w:t>in</w:t>
      </w:r>
      <w:proofErr w:type="spellEnd"/>
      <w:r w:rsidRPr="009E4499">
        <w:rPr>
          <w:i/>
          <w:iCs/>
          <w:lang w:val="fr-FR"/>
        </w:rPr>
        <w:t xml:space="preserve"> 2019</w:t>
      </w:r>
      <w:r w:rsidRPr="009E4499">
        <w:rPr>
          <w:lang w:val="fr-FR"/>
        </w:rPr>
        <w:t xml:space="preserve"> (</w:t>
      </w:r>
      <w:r w:rsidRPr="009E4499">
        <w:rPr>
          <w:i/>
          <w:iCs/>
          <w:lang w:val="fr-FR"/>
        </w:rPr>
        <w:t xml:space="preserve">Discrimination data </w:t>
      </w:r>
      <w:proofErr w:type="spellStart"/>
      <w:r w:rsidRPr="009E4499">
        <w:rPr>
          <w:i/>
          <w:iCs/>
          <w:lang w:val="fr-FR"/>
        </w:rPr>
        <w:t>in</w:t>
      </w:r>
      <w:proofErr w:type="spellEnd"/>
      <w:r w:rsidRPr="009E4499">
        <w:rPr>
          <w:i/>
          <w:iCs/>
          <w:lang w:val="fr-FR"/>
        </w:rPr>
        <w:t xml:space="preserve"> 2019</w:t>
      </w:r>
      <w:r w:rsidRPr="009E4499">
        <w:rPr>
          <w:lang w:val="fr-FR"/>
        </w:rPr>
        <w:t xml:space="preserve">), (Art.1 2020), p. 29. </w:t>
      </w:r>
      <w:hyperlink r:id="rId21" w:history="1">
        <w:r w:rsidRPr="009E4499">
          <w:rPr>
            <w:rStyle w:val="Hyperlink"/>
            <w:rFonts w:cstheme="minorBidi"/>
            <w:lang w:val="fr-FR"/>
          </w:rPr>
          <w:t>https://discriminatie.nl/files/2020-04/Discriminatiecijfers%20in%202019.pdf</w:t>
        </w:r>
      </w:hyperlink>
      <w:r w:rsidRPr="009E4499">
        <w:rPr>
          <w:lang w:val="fr-FR"/>
        </w:rPr>
        <w:t xml:space="preserve"> </w:t>
      </w:r>
    </w:p>
  </w:footnote>
  <w:footnote w:id="68">
    <w:p w14:paraId="2EFE66F1" w14:textId="184B90B8" w:rsidR="00B5570E" w:rsidRPr="009A769D" w:rsidRDefault="00B5570E">
      <w:pPr>
        <w:pStyle w:val="FootnoteText"/>
      </w:pPr>
      <w:r>
        <w:rPr>
          <w:rStyle w:val="FootnoteReference"/>
        </w:rPr>
        <w:footnoteRef/>
      </w:r>
      <w:r w:rsidRPr="00C43136">
        <w:rPr>
          <w:lang w:val="nl-NL"/>
        </w:rPr>
        <w:t xml:space="preserve"> </w:t>
      </w:r>
      <w:r>
        <w:rPr>
          <w:lang w:val="nl-NL"/>
        </w:rPr>
        <w:t>Openbaar Ministerie,</w:t>
      </w:r>
      <w:r w:rsidRPr="00C43136">
        <w:rPr>
          <w:lang w:val="nl-NL"/>
        </w:rPr>
        <w:t xml:space="preserve"> </w:t>
      </w:r>
      <w:r>
        <w:rPr>
          <w:lang w:val="nl-NL"/>
        </w:rPr>
        <w:t>‘</w:t>
      </w:r>
      <w:r w:rsidRPr="005311A0">
        <w:rPr>
          <w:lang w:val="nl-NL"/>
        </w:rPr>
        <w:t>Cijfers in Beeld 20</w:t>
      </w:r>
      <w:r>
        <w:rPr>
          <w:lang w:val="nl-NL"/>
        </w:rPr>
        <w:t>1</w:t>
      </w:r>
      <w:r w:rsidRPr="005311A0">
        <w:rPr>
          <w:lang w:val="nl-NL"/>
        </w:rPr>
        <w:t>9. Overzicht discriminatiecijfers Openbaar Ministerie</w:t>
      </w:r>
      <w:r>
        <w:rPr>
          <w:lang w:val="nl-NL"/>
        </w:rPr>
        <w:t>’</w:t>
      </w:r>
      <w:r w:rsidRPr="009A769D">
        <w:rPr>
          <w:lang w:val="nl-NL"/>
        </w:rPr>
        <w:t xml:space="preserve"> (</w:t>
      </w:r>
      <w:r w:rsidRPr="009A769D">
        <w:rPr>
          <w:i/>
          <w:iCs/>
          <w:lang w:val="nl-NL"/>
        </w:rPr>
        <w:t>Data in the picture 201</w:t>
      </w:r>
      <w:r>
        <w:rPr>
          <w:i/>
          <w:iCs/>
          <w:lang w:val="nl-NL"/>
        </w:rPr>
        <w:t>9</w:t>
      </w:r>
      <w:r w:rsidRPr="009A769D">
        <w:rPr>
          <w:i/>
          <w:iCs/>
          <w:lang w:val="nl-NL"/>
        </w:rPr>
        <w:t xml:space="preserve">. </w:t>
      </w:r>
      <w:proofErr w:type="gramStart"/>
      <w:r w:rsidRPr="00CE4642">
        <w:rPr>
          <w:i/>
          <w:iCs/>
        </w:rPr>
        <w:t>Overview discrimination data Public Prosecution Service</w:t>
      </w:r>
      <w:r w:rsidRPr="00CE4642">
        <w:t>) (</w:t>
      </w:r>
      <w:proofErr w:type="spellStart"/>
      <w:r w:rsidRPr="00CE4642">
        <w:t>Openbaar</w:t>
      </w:r>
      <w:proofErr w:type="spellEnd"/>
      <w:r w:rsidRPr="00CE4642">
        <w:t xml:space="preserve"> </w:t>
      </w:r>
      <w:proofErr w:type="spellStart"/>
      <w:r w:rsidRPr="00CE4642">
        <w:t>Ministerie</w:t>
      </w:r>
      <w:proofErr w:type="spellEnd"/>
      <w:r w:rsidRPr="00CE4642">
        <w:t xml:space="preserve"> 2020), p. 21.</w:t>
      </w:r>
      <w:proofErr w:type="gramEnd"/>
      <w:r w:rsidRPr="00CE4642">
        <w:t xml:space="preserve"> </w:t>
      </w:r>
      <w:hyperlink r:id="rId22" w:history="1">
        <w:r w:rsidRPr="009A769D">
          <w:rPr>
            <w:rStyle w:val="Hyperlink"/>
            <w:rFonts w:cstheme="minorBidi"/>
          </w:rPr>
          <w:t>https://www.om.nl/onderwerpen/discriminatie/documenten/publicaties/discriminatie/lecd/cijfers-in-beeld/cijfers-in-beeld</w:t>
        </w:r>
      </w:hyperlink>
      <w:r w:rsidRPr="009A769D">
        <w:t xml:space="preserve"> </w:t>
      </w:r>
    </w:p>
  </w:footnote>
  <w:footnote w:id="69">
    <w:p w14:paraId="23E0D2A5" w14:textId="2F54739F" w:rsidR="00B5570E" w:rsidRPr="005C34EB" w:rsidRDefault="00B5570E">
      <w:pPr>
        <w:pStyle w:val="FootnoteText"/>
      </w:pPr>
      <w:r>
        <w:rPr>
          <w:rStyle w:val="FootnoteReference"/>
        </w:rPr>
        <w:footnoteRef/>
      </w:r>
      <w:r>
        <w:t xml:space="preserve"> </w:t>
      </w:r>
      <w:proofErr w:type="gramStart"/>
      <w:r w:rsidRPr="005C34EB">
        <w:rPr>
          <w:rFonts w:cs="Arial"/>
          <w:szCs w:val="20"/>
        </w:rPr>
        <w:t xml:space="preserve">Parliamentary Documents II, 2009-2009, </w:t>
      </w:r>
      <w:r w:rsidRPr="00D63E74">
        <w:rPr>
          <w:rFonts w:eastAsia="Times New Roman" w:cs="Arial"/>
          <w:szCs w:val="20"/>
          <w:lang w:eastAsia="nl-NL"/>
        </w:rPr>
        <w:t>29 355, no. 39.</w:t>
      </w:r>
      <w:proofErr w:type="gramEnd"/>
    </w:p>
  </w:footnote>
  <w:footnote w:id="70">
    <w:p w14:paraId="3E1F728A" w14:textId="4B4C0A6E" w:rsidR="00B5570E" w:rsidRPr="00DE35BE" w:rsidRDefault="00B5570E">
      <w:pPr>
        <w:pStyle w:val="FootnoteText"/>
      </w:pPr>
      <w:r>
        <w:rPr>
          <w:rStyle w:val="FootnoteReference"/>
        </w:rPr>
        <w:footnoteRef/>
      </w:r>
      <w:r>
        <w:t xml:space="preserve"> </w:t>
      </w:r>
      <w:hyperlink r:id="rId23" w:anchor="/home" w:history="1">
        <w:r w:rsidRPr="002379AE">
          <w:rPr>
            <w:rStyle w:val="Hyperlink"/>
            <w:rFonts w:cstheme="minorBidi"/>
          </w:rPr>
          <w:t>https://www.discriminatie.nl/#/home</w:t>
        </w:r>
      </w:hyperlink>
      <w:r>
        <w:t xml:space="preserve"> Accessed 29 June 2020.</w:t>
      </w:r>
    </w:p>
  </w:footnote>
  <w:footnote w:id="71">
    <w:p w14:paraId="4060D550" w14:textId="24DDB309" w:rsidR="00B5570E" w:rsidRPr="00986763" w:rsidRDefault="00B5570E">
      <w:pPr>
        <w:pStyle w:val="FootnoteText"/>
      </w:pPr>
      <w:r>
        <w:rPr>
          <w:rStyle w:val="FootnoteReference"/>
        </w:rPr>
        <w:footnoteRef/>
      </w:r>
      <w:r>
        <w:t xml:space="preserve"> </w:t>
      </w:r>
      <w:proofErr w:type="gramStart"/>
      <w:r>
        <w:t xml:space="preserve">Act of 25 June 2009, </w:t>
      </w:r>
      <w:proofErr w:type="spellStart"/>
      <w:r>
        <w:t>Stb</w:t>
      </w:r>
      <w:proofErr w:type="spellEnd"/>
      <w:r>
        <w:t>. 2009, no. 313.</w:t>
      </w:r>
      <w:proofErr w:type="gramEnd"/>
      <w:r>
        <w:t xml:space="preserve"> </w:t>
      </w:r>
    </w:p>
  </w:footnote>
  <w:footnote w:id="72">
    <w:p w14:paraId="357D276F" w14:textId="2E97B16C" w:rsidR="00B5570E" w:rsidRPr="00986763" w:rsidRDefault="00B5570E">
      <w:pPr>
        <w:pStyle w:val="FootnoteText"/>
      </w:pPr>
      <w:r>
        <w:rPr>
          <w:rStyle w:val="FootnoteReference"/>
        </w:rPr>
        <w:footnoteRef/>
      </w:r>
      <w:r>
        <w:t xml:space="preserve"> G. </w:t>
      </w:r>
      <w:proofErr w:type="spellStart"/>
      <w:r>
        <w:t>Walz</w:t>
      </w:r>
      <w:proofErr w:type="spellEnd"/>
      <w:r>
        <w:t xml:space="preserve">, S. van Bon, B. </w:t>
      </w:r>
      <w:proofErr w:type="spellStart"/>
      <w:r>
        <w:t>Fiere</w:t>
      </w:r>
      <w:proofErr w:type="spellEnd"/>
      <w:r>
        <w:t>, ‘</w:t>
      </w:r>
      <w:proofErr w:type="spellStart"/>
      <w:r w:rsidRPr="005311A0">
        <w:rPr>
          <w:rFonts w:cs="Arial"/>
          <w:szCs w:val="20"/>
        </w:rPr>
        <w:t>Discriminatiecijfers</w:t>
      </w:r>
      <w:proofErr w:type="spellEnd"/>
      <w:r w:rsidRPr="005311A0">
        <w:rPr>
          <w:rFonts w:cs="Arial"/>
          <w:szCs w:val="20"/>
        </w:rPr>
        <w:t xml:space="preserve"> in 2019</w:t>
      </w:r>
      <w:r>
        <w:rPr>
          <w:rFonts w:cs="Arial"/>
          <w:szCs w:val="20"/>
        </w:rPr>
        <w:t>’, (‘</w:t>
      </w:r>
      <w:r w:rsidRPr="00986763">
        <w:rPr>
          <w:rFonts w:cs="Arial"/>
          <w:i/>
          <w:iCs/>
          <w:szCs w:val="20"/>
        </w:rPr>
        <w:t>Discr</w:t>
      </w:r>
      <w:r>
        <w:rPr>
          <w:rFonts w:cs="Arial"/>
          <w:i/>
          <w:iCs/>
          <w:szCs w:val="20"/>
        </w:rPr>
        <w:t>im</w:t>
      </w:r>
      <w:r w:rsidRPr="00986763">
        <w:rPr>
          <w:rFonts w:cs="Arial"/>
          <w:i/>
          <w:iCs/>
          <w:szCs w:val="20"/>
        </w:rPr>
        <w:t>ination data in 2019</w:t>
      </w:r>
      <w:r>
        <w:rPr>
          <w:rFonts w:cs="Arial"/>
          <w:szCs w:val="20"/>
        </w:rPr>
        <w:t>’), (Art.1 2020),</w:t>
      </w:r>
      <w:r w:rsidRPr="00986763">
        <w:rPr>
          <w:szCs w:val="20"/>
        </w:rPr>
        <w:t xml:space="preserve"> </w:t>
      </w:r>
      <w:r>
        <w:rPr>
          <w:szCs w:val="20"/>
        </w:rPr>
        <w:t>p</w:t>
      </w:r>
      <w:r w:rsidRPr="00986763">
        <w:rPr>
          <w:szCs w:val="20"/>
        </w:rPr>
        <w:t>. 87</w:t>
      </w:r>
      <w:r>
        <w:rPr>
          <w:szCs w:val="20"/>
        </w:rPr>
        <w:t>.</w:t>
      </w:r>
    </w:p>
  </w:footnote>
  <w:footnote w:id="73">
    <w:p w14:paraId="1C2C7D8F" w14:textId="3364B278" w:rsidR="00B5570E" w:rsidRPr="00AA099C" w:rsidRDefault="00B5570E">
      <w:pPr>
        <w:pStyle w:val="FootnoteText"/>
      </w:pPr>
      <w:r>
        <w:rPr>
          <w:rStyle w:val="FootnoteReference"/>
        </w:rPr>
        <w:footnoteRef/>
      </w:r>
      <w:r>
        <w:t xml:space="preserve"> G. </w:t>
      </w:r>
      <w:proofErr w:type="spellStart"/>
      <w:r>
        <w:t>Walz</w:t>
      </w:r>
      <w:proofErr w:type="spellEnd"/>
      <w:r>
        <w:t xml:space="preserve">, S. van Bon, B. </w:t>
      </w:r>
      <w:proofErr w:type="spellStart"/>
      <w:r>
        <w:t>Fiere</w:t>
      </w:r>
      <w:proofErr w:type="gramStart"/>
      <w:r>
        <w:t>,</w:t>
      </w:r>
      <w:r w:rsidRPr="00BE0368">
        <w:rPr>
          <w:rFonts w:cs="Arial"/>
          <w:i/>
          <w:iCs/>
          <w:szCs w:val="20"/>
        </w:rPr>
        <w:t>Discriminatiecijfers</w:t>
      </w:r>
      <w:proofErr w:type="spellEnd"/>
      <w:proofErr w:type="gramEnd"/>
      <w:r w:rsidRPr="00BE0368">
        <w:rPr>
          <w:rFonts w:cs="Arial"/>
          <w:i/>
          <w:iCs/>
          <w:szCs w:val="20"/>
        </w:rPr>
        <w:t xml:space="preserve"> in 2019</w:t>
      </w:r>
      <w:r>
        <w:rPr>
          <w:rFonts w:cs="Arial"/>
          <w:szCs w:val="20"/>
        </w:rPr>
        <w:t xml:space="preserve"> (‘</w:t>
      </w:r>
      <w:r w:rsidRPr="00986763">
        <w:rPr>
          <w:rFonts w:cs="Arial"/>
          <w:i/>
          <w:iCs/>
          <w:szCs w:val="20"/>
        </w:rPr>
        <w:t>Discr</w:t>
      </w:r>
      <w:r>
        <w:rPr>
          <w:rFonts w:cs="Arial"/>
          <w:i/>
          <w:iCs/>
          <w:szCs w:val="20"/>
        </w:rPr>
        <w:t>im</w:t>
      </w:r>
      <w:r w:rsidRPr="00986763">
        <w:rPr>
          <w:rFonts w:cs="Arial"/>
          <w:i/>
          <w:iCs/>
          <w:szCs w:val="20"/>
        </w:rPr>
        <w:t>ination data in 2019</w:t>
      </w:r>
      <w:r>
        <w:rPr>
          <w:rFonts w:cs="Arial"/>
          <w:szCs w:val="20"/>
        </w:rPr>
        <w:t>’), (Art.1 2020),</w:t>
      </w:r>
      <w:r w:rsidRPr="00986763">
        <w:rPr>
          <w:szCs w:val="20"/>
        </w:rPr>
        <w:t xml:space="preserve"> </w:t>
      </w:r>
      <w:r>
        <w:rPr>
          <w:szCs w:val="20"/>
        </w:rPr>
        <w:t>p</w:t>
      </w:r>
      <w:r w:rsidRPr="00986763">
        <w:rPr>
          <w:szCs w:val="20"/>
        </w:rPr>
        <w:t xml:space="preserve">. </w:t>
      </w:r>
      <w:r>
        <w:t>46.</w:t>
      </w:r>
    </w:p>
  </w:footnote>
  <w:footnote w:id="74">
    <w:p w14:paraId="613344A9" w14:textId="53AB04FD" w:rsidR="00B5570E" w:rsidRPr="00DC1317" w:rsidRDefault="00B5570E" w:rsidP="00C32899">
      <w:r>
        <w:rPr>
          <w:rStyle w:val="FootnoteReference"/>
        </w:rPr>
        <w:footnoteRef/>
      </w:r>
      <w:r w:rsidRPr="00B869E8">
        <w:rPr>
          <w:sz w:val="20"/>
          <w:szCs w:val="20"/>
        </w:rPr>
        <w:t xml:space="preserve"> </w:t>
      </w:r>
      <w:r>
        <w:rPr>
          <w:sz w:val="20"/>
          <w:szCs w:val="20"/>
        </w:rPr>
        <w:t xml:space="preserve">Ministry of Health, Welfare and Sports: </w:t>
      </w:r>
      <w:proofErr w:type="spellStart"/>
      <w:r w:rsidRPr="00B869E8">
        <w:rPr>
          <w:sz w:val="20"/>
          <w:szCs w:val="20"/>
        </w:rPr>
        <w:t>Programma</w:t>
      </w:r>
      <w:proofErr w:type="spellEnd"/>
      <w:r w:rsidRPr="00B869E8">
        <w:rPr>
          <w:sz w:val="20"/>
          <w:szCs w:val="20"/>
        </w:rPr>
        <w:t xml:space="preserve"> </w:t>
      </w:r>
      <w:r>
        <w:rPr>
          <w:sz w:val="20"/>
          <w:szCs w:val="20"/>
        </w:rPr>
        <w:t>VN-</w:t>
      </w:r>
      <w:proofErr w:type="spellStart"/>
      <w:r>
        <w:rPr>
          <w:sz w:val="20"/>
          <w:szCs w:val="20"/>
        </w:rPr>
        <w:t>Verdrag</w:t>
      </w:r>
      <w:proofErr w:type="spellEnd"/>
      <w:r>
        <w:rPr>
          <w:sz w:val="20"/>
          <w:szCs w:val="20"/>
        </w:rPr>
        <w:t xml:space="preserve"> </w:t>
      </w:r>
      <w:proofErr w:type="spellStart"/>
      <w:r w:rsidRPr="00B869E8">
        <w:rPr>
          <w:sz w:val="20"/>
          <w:szCs w:val="20"/>
        </w:rPr>
        <w:t>Onbeperkt</w:t>
      </w:r>
      <w:proofErr w:type="spellEnd"/>
      <w:r w:rsidRPr="00B869E8">
        <w:rPr>
          <w:sz w:val="20"/>
          <w:szCs w:val="20"/>
        </w:rPr>
        <w:t xml:space="preserve"> </w:t>
      </w:r>
      <w:proofErr w:type="spellStart"/>
      <w:r w:rsidRPr="00B869E8">
        <w:rPr>
          <w:sz w:val="20"/>
          <w:szCs w:val="20"/>
        </w:rPr>
        <w:t>Meedoen</w:t>
      </w:r>
      <w:proofErr w:type="spellEnd"/>
      <w:r>
        <w:rPr>
          <w:sz w:val="20"/>
          <w:szCs w:val="20"/>
        </w:rPr>
        <w:t xml:space="preserve">, </w:t>
      </w:r>
      <w:hyperlink r:id="rId24" w:history="1">
        <w:r w:rsidRPr="00A41313">
          <w:rPr>
            <w:rStyle w:val="Hyperlink"/>
            <w:rFonts w:cstheme="minorBidi"/>
            <w:sz w:val="20"/>
            <w:szCs w:val="20"/>
          </w:rPr>
          <w:t>https://www.rijksoverheid.nl/onderwerpen/rechten-van-mensen-met-een-handicap/programma-onbeperkt-meedoen</w:t>
        </w:r>
      </w:hyperlink>
      <w:r>
        <w:rPr>
          <w:sz w:val="20"/>
          <w:szCs w:val="20"/>
        </w:rPr>
        <w:t xml:space="preserve"> </w:t>
      </w:r>
      <w:r w:rsidRPr="003606CA">
        <w:rPr>
          <w:i/>
          <w:iCs/>
          <w:sz w:val="20"/>
          <w:szCs w:val="20"/>
        </w:rPr>
        <w:t>Parliamentary Documents II</w:t>
      </w:r>
      <w:r>
        <w:rPr>
          <w:sz w:val="20"/>
          <w:szCs w:val="20"/>
        </w:rPr>
        <w:t xml:space="preserve"> 2017/18, 24 170, no. 177.</w:t>
      </w:r>
    </w:p>
  </w:footnote>
  <w:footnote w:id="75">
    <w:p w14:paraId="06C2EF9F" w14:textId="0F4ABB12" w:rsidR="00B5570E" w:rsidRPr="00C44F11" w:rsidRDefault="00B5570E" w:rsidP="00324923">
      <w:pPr>
        <w:pStyle w:val="Default"/>
        <w:rPr>
          <w:lang w:val="en-GB"/>
        </w:rPr>
      </w:pPr>
      <w:r>
        <w:rPr>
          <w:rStyle w:val="FootnoteReference"/>
        </w:rPr>
        <w:footnoteRef/>
      </w:r>
      <w:r w:rsidRPr="00324923">
        <w:t xml:space="preserve"> </w:t>
      </w:r>
      <w:r w:rsidRPr="00324923">
        <w:rPr>
          <w:rFonts w:ascii="Arial" w:hAnsi="Arial" w:cs="Arial"/>
          <w:sz w:val="20"/>
          <w:szCs w:val="20"/>
        </w:rPr>
        <w:t>Actieplan Toegankelijkheid voor de bouw (</w:t>
      </w:r>
      <w:r w:rsidRPr="00324923">
        <w:rPr>
          <w:rFonts w:ascii="Arial" w:hAnsi="Arial" w:cs="Arial"/>
          <w:i/>
          <w:iCs/>
          <w:sz w:val="20"/>
          <w:szCs w:val="20"/>
        </w:rPr>
        <w:t>“Action Plan for accessible building’)</w:t>
      </w:r>
      <w:r w:rsidRPr="00324923">
        <w:rPr>
          <w:rFonts w:ascii="Arial" w:hAnsi="Arial" w:cs="Arial"/>
          <w:sz w:val="20"/>
          <w:szCs w:val="20"/>
        </w:rPr>
        <w:t xml:space="preserve">. </w:t>
      </w:r>
      <w:r w:rsidRPr="00C44F11">
        <w:rPr>
          <w:rFonts w:ascii="Arial" w:hAnsi="Arial" w:cs="Arial"/>
          <w:sz w:val="20"/>
          <w:szCs w:val="20"/>
          <w:lang w:val="en-GB"/>
        </w:rPr>
        <w:t>Ministry of the Interior, reference no. 2017-0000648748  [2018]  p. 13</w:t>
      </w:r>
    </w:p>
  </w:footnote>
  <w:footnote w:id="76">
    <w:p w14:paraId="451DF96E" w14:textId="46E2FC5E" w:rsidR="00B5570E" w:rsidRPr="00C44F11" w:rsidRDefault="00B5570E">
      <w:pPr>
        <w:pStyle w:val="FootnoteText"/>
      </w:pPr>
      <w:r>
        <w:rPr>
          <w:rStyle w:val="FootnoteReference"/>
        </w:rPr>
        <w:footnoteRef/>
      </w:r>
      <w:r w:rsidRPr="00C44F11">
        <w:t xml:space="preserve"> </w:t>
      </w:r>
      <w:r w:rsidRPr="00C44F11">
        <w:rPr>
          <w:szCs w:val="20"/>
        </w:rPr>
        <w:t xml:space="preserve">Ministry of Health, Welfare and Sports: </w:t>
      </w:r>
      <w:proofErr w:type="spellStart"/>
      <w:r w:rsidRPr="00C44F11">
        <w:rPr>
          <w:szCs w:val="20"/>
        </w:rPr>
        <w:t>Programma</w:t>
      </w:r>
      <w:proofErr w:type="spellEnd"/>
      <w:r w:rsidRPr="00C44F11">
        <w:rPr>
          <w:szCs w:val="20"/>
        </w:rPr>
        <w:t xml:space="preserve"> VN-</w:t>
      </w:r>
      <w:proofErr w:type="spellStart"/>
      <w:r w:rsidRPr="00C44F11">
        <w:rPr>
          <w:szCs w:val="20"/>
        </w:rPr>
        <w:t>Verdrag</w:t>
      </w:r>
      <w:proofErr w:type="spellEnd"/>
      <w:r w:rsidRPr="00C44F11">
        <w:rPr>
          <w:szCs w:val="20"/>
        </w:rPr>
        <w:t xml:space="preserve"> </w:t>
      </w:r>
      <w:proofErr w:type="spellStart"/>
      <w:r w:rsidRPr="00C44F11">
        <w:rPr>
          <w:szCs w:val="20"/>
        </w:rPr>
        <w:t>Onbeperkt</w:t>
      </w:r>
      <w:proofErr w:type="spellEnd"/>
      <w:r w:rsidRPr="00C44F11">
        <w:rPr>
          <w:szCs w:val="20"/>
        </w:rPr>
        <w:t xml:space="preserve"> </w:t>
      </w:r>
      <w:proofErr w:type="spellStart"/>
      <w:r w:rsidRPr="00C44F11">
        <w:rPr>
          <w:szCs w:val="20"/>
        </w:rPr>
        <w:t>Meedoen</w:t>
      </w:r>
      <w:proofErr w:type="spellEnd"/>
      <w:r w:rsidRPr="00C44F11">
        <w:rPr>
          <w:szCs w:val="20"/>
        </w:rPr>
        <w:t>, p. 16-17.</w:t>
      </w:r>
    </w:p>
  </w:footnote>
  <w:footnote w:id="77">
    <w:p w14:paraId="0D397F1A" w14:textId="0F2D974B" w:rsidR="00B5570E" w:rsidRPr="00AB1A5B" w:rsidRDefault="00B5570E">
      <w:pPr>
        <w:pStyle w:val="FootnoteText"/>
      </w:pPr>
      <w:r>
        <w:rPr>
          <w:rStyle w:val="FootnoteReference"/>
        </w:rPr>
        <w:footnoteRef/>
      </w:r>
      <w:r>
        <w:t xml:space="preserve"> </w:t>
      </w:r>
      <w:r>
        <w:rPr>
          <w:szCs w:val="20"/>
        </w:rPr>
        <w:t xml:space="preserve">Ministry of Health, Welfare and Sports: </w:t>
      </w:r>
      <w:proofErr w:type="spellStart"/>
      <w:r w:rsidRPr="00B869E8">
        <w:rPr>
          <w:szCs w:val="20"/>
        </w:rPr>
        <w:t>Programma</w:t>
      </w:r>
      <w:proofErr w:type="spellEnd"/>
      <w:r w:rsidRPr="00B869E8">
        <w:rPr>
          <w:szCs w:val="20"/>
        </w:rPr>
        <w:t xml:space="preserve"> </w:t>
      </w:r>
      <w:r>
        <w:rPr>
          <w:szCs w:val="20"/>
        </w:rPr>
        <w:t>VN-</w:t>
      </w:r>
      <w:proofErr w:type="spellStart"/>
      <w:r>
        <w:rPr>
          <w:szCs w:val="20"/>
        </w:rPr>
        <w:t>Verdrag</w:t>
      </w:r>
      <w:proofErr w:type="spellEnd"/>
      <w:r>
        <w:rPr>
          <w:szCs w:val="20"/>
        </w:rPr>
        <w:t xml:space="preserve"> </w:t>
      </w:r>
      <w:proofErr w:type="spellStart"/>
      <w:r w:rsidRPr="00B869E8">
        <w:rPr>
          <w:szCs w:val="20"/>
        </w:rPr>
        <w:t>Onbeperkt</w:t>
      </w:r>
      <w:proofErr w:type="spellEnd"/>
      <w:r w:rsidRPr="00B869E8">
        <w:rPr>
          <w:szCs w:val="20"/>
        </w:rPr>
        <w:t xml:space="preserve"> </w:t>
      </w:r>
      <w:proofErr w:type="spellStart"/>
      <w:r w:rsidRPr="00B869E8">
        <w:rPr>
          <w:szCs w:val="20"/>
        </w:rPr>
        <w:t>Meedoen</w:t>
      </w:r>
      <w:proofErr w:type="spellEnd"/>
      <w:r>
        <w:rPr>
          <w:szCs w:val="20"/>
        </w:rPr>
        <w:t>, p. 23-25.</w:t>
      </w:r>
    </w:p>
  </w:footnote>
  <w:footnote w:id="78">
    <w:p w14:paraId="730B24B9" w14:textId="54F37928" w:rsidR="00B5570E" w:rsidRPr="005F4E14" w:rsidRDefault="00B5570E">
      <w:pPr>
        <w:pStyle w:val="FootnoteText"/>
      </w:pPr>
      <w:r>
        <w:rPr>
          <w:rStyle w:val="FootnoteReference"/>
        </w:rPr>
        <w:footnoteRef/>
      </w:r>
      <w:r>
        <w:t xml:space="preserve"> </w:t>
      </w:r>
      <w:r>
        <w:rPr>
          <w:szCs w:val="20"/>
        </w:rPr>
        <w:t xml:space="preserve">Ministry of Health, Welfare and Sports: </w:t>
      </w:r>
      <w:proofErr w:type="spellStart"/>
      <w:r w:rsidRPr="00B869E8">
        <w:rPr>
          <w:szCs w:val="20"/>
        </w:rPr>
        <w:t>Programma</w:t>
      </w:r>
      <w:proofErr w:type="spellEnd"/>
      <w:r w:rsidRPr="00B869E8">
        <w:rPr>
          <w:szCs w:val="20"/>
        </w:rPr>
        <w:t xml:space="preserve"> </w:t>
      </w:r>
      <w:r>
        <w:rPr>
          <w:szCs w:val="20"/>
        </w:rPr>
        <w:t>VN-</w:t>
      </w:r>
      <w:proofErr w:type="spellStart"/>
      <w:r>
        <w:rPr>
          <w:szCs w:val="20"/>
        </w:rPr>
        <w:t>Verdrag</w:t>
      </w:r>
      <w:proofErr w:type="spellEnd"/>
      <w:r>
        <w:rPr>
          <w:szCs w:val="20"/>
        </w:rPr>
        <w:t xml:space="preserve"> </w:t>
      </w:r>
      <w:proofErr w:type="spellStart"/>
      <w:r w:rsidRPr="00B869E8">
        <w:rPr>
          <w:szCs w:val="20"/>
        </w:rPr>
        <w:t>Onbeperkt</w:t>
      </w:r>
      <w:proofErr w:type="spellEnd"/>
      <w:r w:rsidRPr="00B869E8">
        <w:rPr>
          <w:szCs w:val="20"/>
        </w:rPr>
        <w:t xml:space="preserve"> </w:t>
      </w:r>
      <w:proofErr w:type="spellStart"/>
      <w:r w:rsidRPr="00B869E8">
        <w:rPr>
          <w:szCs w:val="20"/>
        </w:rPr>
        <w:t>Meedoen</w:t>
      </w:r>
      <w:proofErr w:type="spellEnd"/>
      <w:r>
        <w:rPr>
          <w:szCs w:val="20"/>
        </w:rPr>
        <w:t>, p. 28-29.</w:t>
      </w:r>
    </w:p>
  </w:footnote>
  <w:footnote w:id="79">
    <w:p w14:paraId="06DDE489" w14:textId="77777777" w:rsidR="00B5570E" w:rsidRPr="00DC1317" w:rsidRDefault="00B5570E" w:rsidP="00C32899">
      <w:pPr>
        <w:pStyle w:val="FootnoteText"/>
      </w:pPr>
      <w:r>
        <w:rPr>
          <w:rStyle w:val="FootnoteReference"/>
        </w:rPr>
        <w:footnoteRef/>
      </w:r>
      <w:r>
        <w:t xml:space="preserve"> </w:t>
      </w:r>
      <w:hyperlink r:id="rId25" w:history="1">
        <w:r w:rsidRPr="00CD79A9">
          <w:rPr>
            <w:rStyle w:val="Hyperlink"/>
            <w:rFonts w:cstheme="minorBidi"/>
          </w:rPr>
          <w:t>https://nietsoveronszonderons.nl/</w:t>
        </w:r>
      </w:hyperlink>
      <w:r>
        <w:t xml:space="preserve"> </w:t>
      </w:r>
      <w:r w:rsidRPr="0003704F">
        <w:rPr>
          <w:rFonts w:cs="Arial"/>
          <w:szCs w:val="20"/>
        </w:rPr>
        <w:t>A</w:t>
      </w:r>
      <w:r>
        <w:rPr>
          <w:rFonts w:cs="Arial"/>
          <w:szCs w:val="20"/>
        </w:rPr>
        <w:t>ccessed 15 June 2020.</w:t>
      </w:r>
    </w:p>
  </w:footnote>
  <w:footnote w:id="80">
    <w:p w14:paraId="099506C8" w14:textId="77777777" w:rsidR="00B5570E" w:rsidRPr="00DC1317" w:rsidRDefault="00B5570E" w:rsidP="00C32899">
      <w:pPr>
        <w:pStyle w:val="FootnoteText"/>
      </w:pPr>
      <w:r>
        <w:rPr>
          <w:rStyle w:val="FootnoteReference"/>
        </w:rPr>
        <w:footnoteRef/>
      </w:r>
      <w:r>
        <w:t xml:space="preserve"> </w:t>
      </w:r>
      <w:hyperlink r:id="rId26" w:history="1">
        <w:r w:rsidRPr="00CD79A9">
          <w:rPr>
            <w:rStyle w:val="Hyperlink"/>
            <w:rFonts w:cstheme="minorBidi"/>
          </w:rPr>
          <w:t>https://vng.nl/rubrieken/onderwerpen/iedereen-doet-mee</w:t>
        </w:r>
      </w:hyperlink>
      <w:r>
        <w:t xml:space="preserve"> </w:t>
      </w:r>
      <w:r w:rsidRPr="0003704F">
        <w:rPr>
          <w:rFonts w:cs="Arial"/>
          <w:szCs w:val="20"/>
        </w:rPr>
        <w:t>A</w:t>
      </w:r>
      <w:r>
        <w:rPr>
          <w:rFonts w:cs="Arial"/>
          <w:szCs w:val="20"/>
        </w:rPr>
        <w:t>ccessed 15 June 2020.</w:t>
      </w:r>
    </w:p>
  </w:footnote>
  <w:footnote w:id="81">
    <w:p w14:paraId="3531E42C" w14:textId="77777777" w:rsidR="00B5570E" w:rsidRPr="00DC1317" w:rsidRDefault="00B5570E" w:rsidP="00C32899">
      <w:pPr>
        <w:pStyle w:val="FootnoteText"/>
      </w:pPr>
      <w:r>
        <w:rPr>
          <w:rStyle w:val="FootnoteReference"/>
        </w:rPr>
        <w:footnoteRef/>
      </w:r>
      <w:r>
        <w:t xml:space="preserve"> </w:t>
      </w:r>
      <w:hyperlink r:id="rId27" w:history="1">
        <w:r w:rsidRPr="00CD79A9">
          <w:rPr>
            <w:rStyle w:val="Hyperlink"/>
            <w:rFonts w:cstheme="minorBidi"/>
          </w:rPr>
          <w:t>https://www.mkbtoegankelijk.nl/over-mkb-toegankelijk/</w:t>
        </w:r>
      </w:hyperlink>
      <w:r>
        <w:t xml:space="preserve"> </w:t>
      </w:r>
      <w:r w:rsidRPr="0003704F">
        <w:rPr>
          <w:rFonts w:cs="Arial"/>
          <w:szCs w:val="20"/>
        </w:rPr>
        <w:t>A</w:t>
      </w:r>
      <w:r>
        <w:rPr>
          <w:rFonts w:cs="Arial"/>
          <w:szCs w:val="20"/>
        </w:rPr>
        <w:t>ccessed 15 June 2020.</w:t>
      </w:r>
    </w:p>
  </w:footnote>
  <w:footnote w:id="82">
    <w:p w14:paraId="560B4AB1" w14:textId="77777777" w:rsidR="00B5570E" w:rsidRPr="00162B51" w:rsidRDefault="00B5570E" w:rsidP="00C32899">
      <w:pPr>
        <w:pStyle w:val="FootnoteText"/>
      </w:pPr>
      <w:r>
        <w:rPr>
          <w:rStyle w:val="FootnoteReference"/>
        </w:rPr>
        <w:footnoteRef/>
      </w:r>
      <w:r>
        <w:t xml:space="preserve"> </w:t>
      </w:r>
      <w:hyperlink r:id="rId28" w:history="1">
        <w:r w:rsidRPr="00CD79A9">
          <w:rPr>
            <w:rStyle w:val="Hyperlink"/>
            <w:rFonts w:cstheme="minorBidi"/>
          </w:rPr>
          <w:t>https://magazines.rijksoverheid.nl/vws/onbeperktmeedoen/2019/01/index</w:t>
        </w:r>
      </w:hyperlink>
      <w:r>
        <w:t xml:space="preserve"> </w:t>
      </w:r>
      <w:r w:rsidRPr="0003704F">
        <w:rPr>
          <w:rFonts w:cs="Arial"/>
          <w:szCs w:val="20"/>
        </w:rPr>
        <w:t>A</w:t>
      </w:r>
      <w:r>
        <w:rPr>
          <w:rFonts w:cs="Arial"/>
          <w:szCs w:val="20"/>
        </w:rPr>
        <w:t>ccessed 15 June 2020.</w:t>
      </w:r>
    </w:p>
  </w:footnote>
  <w:footnote w:id="83">
    <w:p w14:paraId="3F625F16" w14:textId="38526258" w:rsidR="00B5570E" w:rsidRPr="004A7CC9" w:rsidRDefault="00B5570E">
      <w:pPr>
        <w:pStyle w:val="FootnoteText"/>
      </w:pPr>
      <w:r>
        <w:rPr>
          <w:rStyle w:val="FootnoteReference"/>
        </w:rPr>
        <w:footnoteRef/>
      </w:r>
      <w:r>
        <w:t xml:space="preserve"> </w:t>
      </w:r>
      <w:proofErr w:type="gramStart"/>
      <w:r>
        <w:t xml:space="preserve">Letter of the </w:t>
      </w:r>
      <w:r>
        <w:rPr>
          <w:szCs w:val="20"/>
        </w:rPr>
        <w:t xml:space="preserve">Minister of Health, Welfare and Sports6 June 2019, </w:t>
      </w:r>
      <w:r>
        <w:t>Parliamentary Documents II 2019-2020, 24 170, no. 192.</w:t>
      </w:r>
      <w:proofErr w:type="gramEnd"/>
    </w:p>
  </w:footnote>
  <w:footnote w:id="84">
    <w:p w14:paraId="6CD838A4" w14:textId="69EF0CFC" w:rsidR="00B5570E" w:rsidRPr="00654CA5" w:rsidRDefault="00B5570E">
      <w:pPr>
        <w:pStyle w:val="FootnoteText"/>
      </w:pPr>
      <w:r>
        <w:rPr>
          <w:rStyle w:val="FootnoteReference"/>
        </w:rPr>
        <w:footnoteRef/>
      </w:r>
      <w:r>
        <w:t xml:space="preserve"> </w:t>
      </w:r>
      <w:r>
        <w:rPr>
          <w:szCs w:val="20"/>
        </w:rPr>
        <w:t xml:space="preserve">Ministry of Health, Welfare and Sports: </w:t>
      </w:r>
      <w:proofErr w:type="spellStart"/>
      <w:r w:rsidRPr="00BE0368">
        <w:rPr>
          <w:i/>
          <w:iCs/>
          <w:szCs w:val="20"/>
        </w:rPr>
        <w:t>Voortgangsrapportage</w:t>
      </w:r>
      <w:proofErr w:type="spellEnd"/>
      <w:r w:rsidRPr="00BE0368">
        <w:rPr>
          <w:i/>
          <w:iCs/>
          <w:szCs w:val="20"/>
        </w:rPr>
        <w:t xml:space="preserve"> </w:t>
      </w:r>
      <w:proofErr w:type="spellStart"/>
      <w:r w:rsidRPr="00BE0368">
        <w:rPr>
          <w:i/>
          <w:iCs/>
          <w:szCs w:val="20"/>
        </w:rPr>
        <w:t>Onbeperkt</w:t>
      </w:r>
      <w:proofErr w:type="spellEnd"/>
      <w:r w:rsidRPr="00BE0368">
        <w:rPr>
          <w:i/>
          <w:iCs/>
          <w:szCs w:val="20"/>
        </w:rPr>
        <w:t xml:space="preserve"> </w:t>
      </w:r>
      <w:proofErr w:type="spellStart"/>
      <w:r w:rsidRPr="00BE0368">
        <w:rPr>
          <w:i/>
          <w:iCs/>
          <w:szCs w:val="20"/>
        </w:rPr>
        <w:t>Meedoen</w:t>
      </w:r>
      <w:proofErr w:type="spellEnd"/>
      <w:r w:rsidRPr="00BE0368">
        <w:rPr>
          <w:i/>
          <w:iCs/>
          <w:szCs w:val="20"/>
        </w:rPr>
        <w:t xml:space="preserve"> 2019</w:t>
      </w:r>
      <w:r>
        <w:rPr>
          <w:szCs w:val="20"/>
        </w:rPr>
        <w:t xml:space="preserve"> (‘</w:t>
      </w:r>
      <w:r w:rsidRPr="00654CA5">
        <w:rPr>
          <w:i/>
          <w:iCs/>
          <w:szCs w:val="20"/>
        </w:rPr>
        <w:t xml:space="preserve">Progress Report </w:t>
      </w:r>
      <w:r w:rsidRPr="00654CA5">
        <w:rPr>
          <w:i/>
          <w:iCs/>
          <w:szCs w:val="24"/>
        </w:rPr>
        <w:t>Unlimited Participation 2019</w:t>
      </w:r>
      <w:r>
        <w:rPr>
          <w:szCs w:val="24"/>
        </w:rPr>
        <w:t>’), p. 10.</w:t>
      </w:r>
    </w:p>
  </w:footnote>
  <w:footnote w:id="85">
    <w:p w14:paraId="38CCF3D5" w14:textId="352CD167" w:rsidR="00B5570E" w:rsidRPr="00550813" w:rsidRDefault="00B5570E">
      <w:pPr>
        <w:pStyle w:val="FootnoteText"/>
      </w:pPr>
      <w:r>
        <w:rPr>
          <w:rStyle w:val="FootnoteReference"/>
        </w:rPr>
        <w:footnoteRef/>
      </w:r>
      <w:r>
        <w:t xml:space="preserve"> </w:t>
      </w:r>
      <w:r>
        <w:rPr>
          <w:szCs w:val="20"/>
        </w:rPr>
        <w:t xml:space="preserve">Ministry of Health, Welfare and Sports: </w:t>
      </w:r>
      <w:proofErr w:type="spellStart"/>
      <w:r w:rsidRPr="00BE0368">
        <w:rPr>
          <w:i/>
          <w:iCs/>
          <w:szCs w:val="20"/>
        </w:rPr>
        <w:t>Voortgangsrapportage</w:t>
      </w:r>
      <w:proofErr w:type="spellEnd"/>
      <w:r w:rsidRPr="00BE0368">
        <w:rPr>
          <w:i/>
          <w:iCs/>
          <w:szCs w:val="20"/>
        </w:rPr>
        <w:t xml:space="preserve"> </w:t>
      </w:r>
      <w:proofErr w:type="spellStart"/>
      <w:r w:rsidRPr="00BE0368">
        <w:rPr>
          <w:i/>
          <w:iCs/>
          <w:szCs w:val="20"/>
        </w:rPr>
        <w:t>Onbeperkt</w:t>
      </w:r>
      <w:proofErr w:type="spellEnd"/>
      <w:r w:rsidRPr="00BE0368">
        <w:rPr>
          <w:i/>
          <w:iCs/>
          <w:szCs w:val="20"/>
        </w:rPr>
        <w:t xml:space="preserve"> </w:t>
      </w:r>
      <w:proofErr w:type="spellStart"/>
      <w:r w:rsidRPr="00BE0368">
        <w:rPr>
          <w:i/>
          <w:iCs/>
          <w:szCs w:val="20"/>
        </w:rPr>
        <w:t>Meedoen</w:t>
      </w:r>
      <w:proofErr w:type="spellEnd"/>
      <w:r w:rsidRPr="00BE0368">
        <w:rPr>
          <w:i/>
          <w:iCs/>
          <w:szCs w:val="20"/>
        </w:rPr>
        <w:t xml:space="preserve"> 2019</w:t>
      </w:r>
      <w:r>
        <w:rPr>
          <w:szCs w:val="20"/>
        </w:rPr>
        <w:t xml:space="preserve"> (‘</w:t>
      </w:r>
      <w:r w:rsidRPr="00654CA5">
        <w:rPr>
          <w:i/>
          <w:iCs/>
          <w:szCs w:val="20"/>
        </w:rPr>
        <w:t xml:space="preserve">Progress Report </w:t>
      </w:r>
      <w:r w:rsidRPr="00654CA5">
        <w:rPr>
          <w:i/>
          <w:iCs/>
          <w:szCs w:val="24"/>
        </w:rPr>
        <w:t>Unlimited Participation 2019</w:t>
      </w:r>
      <w:r>
        <w:rPr>
          <w:szCs w:val="24"/>
        </w:rPr>
        <w:t>’), p. 29.</w:t>
      </w:r>
    </w:p>
  </w:footnote>
  <w:footnote w:id="86">
    <w:p w14:paraId="1C471280" w14:textId="64A2DDBE" w:rsidR="00B5570E" w:rsidRPr="004A7CC9" w:rsidRDefault="00B5570E">
      <w:pPr>
        <w:pStyle w:val="FootnoteText"/>
      </w:pPr>
      <w:r>
        <w:rPr>
          <w:rStyle w:val="FootnoteReference"/>
        </w:rPr>
        <w:footnoteRef/>
      </w:r>
      <w:r>
        <w:t xml:space="preserve"> </w:t>
      </w:r>
      <w:proofErr w:type="gramStart"/>
      <w:r>
        <w:t>Letter of the Minister of the Interior and Kingdom Relations 27 February 2020, Parliamentary Documents II 2019-2020, 32 757 no. 167.</w:t>
      </w:r>
      <w:proofErr w:type="gramEnd"/>
    </w:p>
  </w:footnote>
  <w:footnote w:id="87">
    <w:p w14:paraId="0A3D58EC" w14:textId="77777777" w:rsidR="00B5570E" w:rsidRPr="00D81DC4" w:rsidRDefault="00B5570E" w:rsidP="00C32899">
      <w:pPr>
        <w:pStyle w:val="FootnoteText"/>
      </w:pPr>
      <w:r>
        <w:rPr>
          <w:rStyle w:val="FootnoteReference"/>
        </w:rPr>
        <w:footnoteRef/>
      </w:r>
      <w:r>
        <w:t xml:space="preserve"> </w:t>
      </w:r>
      <w:hyperlink r:id="rId29" w:history="1">
        <w:r w:rsidRPr="00CD79A9">
          <w:rPr>
            <w:rStyle w:val="Hyperlink"/>
            <w:rFonts w:cstheme="minorBidi"/>
          </w:rPr>
          <w:t>https://www.rivm.nl/documenten/cijferoverzicht-onbeperkt-meedoen</w:t>
        </w:r>
      </w:hyperlink>
      <w:r>
        <w:t xml:space="preserve"> </w:t>
      </w:r>
      <w:r w:rsidRPr="0003704F">
        <w:rPr>
          <w:rFonts w:cs="Arial"/>
          <w:szCs w:val="20"/>
        </w:rPr>
        <w:t>A</w:t>
      </w:r>
      <w:r>
        <w:rPr>
          <w:rFonts w:cs="Arial"/>
          <w:szCs w:val="20"/>
        </w:rPr>
        <w:t>ccessed 15 June 2020.</w:t>
      </w:r>
    </w:p>
  </w:footnote>
  <w:footnote w:id="88">
    <w:p w14:paraId="6E89096F" w14:textId="62D0B8BB" w:rsidR="00B5570E" w:rsidRPr="00CE4642" w:rsidRDefault="00B5570E" w:rsidP="00C32899">
      <w:pPr>
        <w:pStyle w:val="Default"/>
        <w:rPr>
          <w:lang w:val="en-GB"/>
        </w:rPr>
      </w:pPr>
      <w:r>
        <w:rPr>
          <w:rStyle w:val="FootnoteReference"/>
        </w:rPr>
        <w:footnoteRef/>
      </w:r>
      <w:r>
        <w:t xml:space="preserve"> </w:t>
      </w:r>
      <w:r>
        <w:rPr>
          <w:rFonts w:ascii="Arial" w:hAnsi="Arial" w:cs="Arial"/>
          <w:sz w:val="20"/>
          <w:szCs w:val="20"/>
        </w:rPr>
        <w:t>R. G</w:t>
      </w:r>
      <w:r w:rsidRPr="0003704F">
        <w:rPr>
          <w:rFonts w:ascii="Arial" w:hAnsi="Arial" w:cs="Arial"/>
          <w:sz w:val="20"/>
          <w:szCs w:val="20"/>
        </w:rPr>
        <w:t>rosscurt</w:t>
      </w:r>
      <w:r>
        <w:rPr>
          <w:rFonts w:ascii="Arial" w:hAnsi="Arial" w:cs="Arial"/>
          <w:sz w:val="20"/>
          <w:szCs w:val="20"/>
        </w:rPr>
        <w:t xml:space="preserve"> et al</w:t>
      </w:r>
      <w:r w:rsidRPr="0003704F">
        <w:rPr>
          <w:rFonts w:ascii="Arial" w:hAnsi="Arial" w:cs="Arial"/>
          <w:sz w:val="20"/>
          <w:szCs w:val="20"/>
        </w:rPr>
        <w:t xml:space="preserve">, </w:t>
      </w:r>
      <w:r w:rsidRPr="00BE0368">
        <w:rPr>
          <w:rFonts w:ascii="Arial" w:hAnsi="Arial" w:cs="Arial"/>
          <w:i/>
          <w:iCs/>
          <w:sz w:val="20"/>
          <w:szCs w:val="20"/>
        </w:rPr>
        <w:t>Meting overkoepelende indicatoren programma Onbeperkt meedoen!</w:t>
      </w:r>
      <w:r>
        <w:rPr>
          <w:rFonts w:ascii="Arial" w:hAnsi="Arial" w:cs="Arial"/>
          <w:sz w:val="20"/>
          <w:szCs w:val="20"/>
        </w:rPr>
        <w:t>, (</w:t>
      </w:r>
      <w:r w:rsidRPr="0003704F">
        <w:rPr>
          <w:rFonts w:ascii="Arial" w:hAnsi="Arial" w:cs="Arial"/>
          <w:sz w:val="20"/>
          <w:szCs w:val="20"/>
        </w:rPr>
        <w:t>Nivel, 2019</w:t>
      </w:r>
      <w:r>
        <w:rPr>
          <w:rFonts w:ascii="Arial" w:hAnsi="Arial" w:cs="Arial"/>
          <w:sz w:val="20"/>
          <w:szCs w:val="20"/>
        </w:rPr>
        <w:t>)</w:t>
      </w:r>
      <w:r w:rsidRPr="0003704F">
        <w:rPr>
          <w:rFonts w:ascii="Arial" w:hAnsi="Arial" w:cs="Arial"/>
          <w:sz w:val="20"/>
          <w:szCs w:val="20"/>
        </w:rPr>
        <w:t xml:space="preserve">. </w:t>
      </w:r>
      <w:r w:rsidR="00043F52">
        <w:fldChar w:fldCharType="begin"/>
      </w:r>
      <w:r w:rsidR="00043F52">
        <w:instrText xml:space="preserve"> HYPERLINK "https://www.nivel.nl/nl/publicatie/meting-overkoepelende-indicatoren-programma-onbeperkt-meedoen-2016-2018" </w:instrText>
      </w:r>
      <w:r w:rsidR="00043F52">
        <w:fldChar w:fldCharType="separate"/>
      </w:r>
      <w:r w:rsidRPr="00CE4642">
        <w:rPr>
          <w:rStyle w:val="Hyperlink"/>
          <w:rFonts w:cs="Arial"/>
          <w:sz w:val="20"/>
          <w:szCs w:val="20"/>
          <w:lang w:val="en-GB"/>
        </w:rPr>
        <w:t>https://www.nivel.nl/nl/publicatie/meting-overkoepelende-indicatoren-programma-onbeperkt-meedoen-2016-2018</w:t>
      </w:r>
      <w:r w:rsidR="00043F52">
        <w:rPr>
          <w:rStyle w:val="Hyperlink"/>
          <w:rFonts w:cs="Arial"/>
          <w:sz w:val="20"/>
          <w:szCs w:val="20"/>
          <w:lang w:val="en-GB"/>
        </w:rPr>
        <w:fldChar w:fldCharType="end"/>
      </w:r>
      <w:r w:rsidRPr="00CE4642">
        <w:rPr>
          <w:rFonts w:ascii="Arial" w:hAnsi="Arial" w:cs="Arial"/>
          <w:sz w:val="20"/>
          <w:szCs w:val="20"/>
          <w:lang w:val="en-GB"/>
        </w:rPr>
        <w:t xml:space="preserve"> Accessed 15 June 2020.</w:t>
      </w:r>
    </w:p>
  </w:footnote>
  <w:footnote w:id="89">
    <w:p w14:paraId="1A3BCDE7" w14:textId="07CB07E4" w:rsidR="00B5570E" w:rsidRPr="00DA724C" w:rsidRDefault="00B5570E" w:rsidP="00C32899">
      <w:pPr>
        <w:pStyle w:val="Pa5"/>
        <w:rPr>
          <w:rFonts w:ascii="Arial" w:hAnsi="Arial" w:cs="Arial"/>
          <w:sz w:val="20"/>
          <w:szCs w:val="20"/>
          <w:lang w:val="en-GB"/>
        </w:rPr>
      </w:pPr>
      <w:r>
        <w:rPr>
          <w:rStyle w:val="FootnoteReference"/>
        </w:rPr>
        <w:footnoteRef/>
      </w:r>
      <w:r>
        <w:t xml:space="preserve"> </w:t>
      </w:r>
      <w:r>
        <w:rPr>
          <w:rFonts w:ascii="Arial" w:hAnsi="Arial" w:cs="Arial"/>
          <w:color w:val="000000"/>
          <w:sz w:val="20"/>
          <w:szCs w:val="20"/>
        </w:rPr>
        <w:t>R. G</w:t>
      </w:r>
      <w:r w:rsidRPr="0008551C">
        <w:rPr>
          <w:rFonts w:ascii="Arial" w:hAnsi="Arial" w:cs="Arial"/>
          <w:color w:val="000000"/>
          <w:sz w:val="20"/>
          <w:szCs w:val="20"/>
        </w:rPr>
        <w:t>ijsen,</w:t>
      </w:r>
      <w:r>
        <w:rPr>
          <w:rFonts w:ascii="Arial" w:hAnsi="Arial" w:cs="Arial"/>
          <w:color w:val="000000"/>
          <w:sz w:val="20"/>
          <w:szCs w:val="20"/>
        </w:rPr>
        <w:t xml:space="preserve"> A.</w:t>
      </w:r>
      <w:r w:rsidRPr="0008551C">
        <w:rPr>
          <w:rFonts w:ascii="Arial" w:hAnsi="Arial" w:cs="Arial"/>
          <w:color w:val="000000"/>
          <w:sz w:val="20"/>
          <w:szCs w:val="20"/>
        </w:rPr>
        <w:t xml:space="preserve"> Verweij and </w:t>
      </w:r>
      <w:r>
        <w:rPr>
          <w:rFonts w:ascii="Arial" w:hAnsi="Arial" w:cs="Arial"/>
          <w:color w:val="000000"/>
          <w:sz w:val="20"/>
          <w:szCs w:val="20"/>
        </w:rPr>
        <w:t>C.</w:t>
      </w:r>
      <w:r w:rsidRPr="0008551C">
        <w:rPr>
          <w:rFonts w:ascii="Arial" w:hAnsi="Arial" w:cs="Arial"/>
          <w:color w:val="000000"/>
          <w:sz w:val="20"/>
          <w:szCs w:val="20"/>
        </w:rPr>
        <w:t xml:space="preserve"> Van den Brink</w:t>
      </w:r>
      <w:r>
        <w:rPr>
          <w:rFonts w:ascii="Arial" w:hAnsi="Arial" w:cs="Arial"/>
          <w:color w:val="000000"/>
          <w:sz w:val="20"/>
          <w:szCs w:val="20"/>
        </w:rPr>
        <w:t xml:space="preserve">, </w:t>
      </w:r>
      <w:r w:rsidRPr="00BE0368">
        <w:rPr>
          <w:rFonts w:ascii="Arial" w:hAnsi="Arial" w:cs="Arial"/>
          <w:i/>
          <w:iCs/>
          <w:sz w:val="20"/>
          <w:szCs w:val="20"/>
        </w:rPr>
        <w:t xml:space="preserve">Cijferoverzicht Programma Onbeperkt meedoen! </w:t>
      </w:r>
      <w:proofErr w:type="spellStart"/>
      <w:proofErr w:type="gramStart"/>
      <w:r w:rsidRPr="00BE0368">
        <w:rPr>
          <w:rFonts w:ascii="Arial" w:hAnsi="Arial" w:cs="Arial"/>
          <w:i/>
          <w:iCs/>
          <w:sz w:val="20"/>
          <w:szCs w:val="20"/>
          <w:lang w:val="en-GB"/>
        </w:rPr>
        <w:t>Indicatoren</w:t>
      </w:r>
      <w:proofErr w:type="spellEnd"/>
      <w:r w:rsidRPr="00BE0368">
        <w:rPr>
          <w:rFonts w:ascii="Arial" w:hAnsi="Arial" w:cs="Arial"/>
          <w:i/>
          <w:iCs/>
          <w:sz w:val="20"/>
          <w:szCs w:val="20"/>
          <w:lang w:val="en-GB"/>
        </w:rPr>
        <w:t xml:space="preserve"> </w:t>
      </w:r>
      <w:proofErr w:type="spellStart"/>
      <w:r w:rsidRPr="00BE0368">
        <w:rPr>
          <w:rFonts w:ascii="Arial" w:hAnsi="Arial" w:cs="Arial"/>
          <w:i/>
          <w:iCs/>
          <w:sz w:val="20"/>
          <w:szCs w:val="20"/>
          <w:lang w:val="en-GB"/>
        </w:rPr>
        <w:t>voor</w:t>
      </w:r>
      <w:proofErr w:type="spellEnd"/>
      <w:r w:rsidRPr="00BE0368">
        <w:rPr>
          <w:rFonts w:ascii="Arial" w:hAnsi="Arial" w:cs="Arial"/>
          <w:i/>
          <w:iCs/>
          <w:sz w:val="20"/>
          <w:szCs w:val="20"/>
          <w:lang w:val="en-GB"/>
        </w:rPr>
        <w:t xml:space="preserve"> de </w:t>
      </w:r>
      <w:proofErr w:type="spellStart"/>
      <w:r w:rsidRPr="00BE0368">
        <w:rPr>
          <w:rFonts w:ascii="Arial" w:hAnsi="Arial" w:cs="Arial"/>
          <w:i/>
          <w:iCs/>
          <w:sz w:val="20"/>
          <w:szCs w:val="20"/>
          <w:lang w:val="en-GB"/>
        </w:rPr>
        <w:t>actielijnen</w:t>
      </w:r>
      <w:proofErr w:type="spellEnd"/>
      <w:r w:rsidRPr="00DA724C">
        <w:rPr>
          <w:rFonts w:ascii="Arial" w:hAnsi="Arial" w:cs="Arial"/>
          <w:sz w:val="20"/>
          <w:szCs w:val="20"/>
          <w:lang w:val="en-GB"/>
        </w:rPr>
        <w:t xml:space="preserve"> (‘</w:t>
      </w:r>
      <w:r w:rsidRPr="00DA724C">
        <w:rPr>
          <w:rFonts w:ascii="Arial" w:hAnsi="Arial" w:cs="Arial"/>
          <w:i/>
          <w:iCs/>
          <w:sz w:val="20"/>
          <w:szCs w:val="20"/>
          <w:lang w:val="en-GB"/>
        </w:rPr>
        <w:t>Data overview Program Unlimited participation!</w:t>
      </w:r>
      <w:proofErr w:type="gramEnd"/>
      <w:r w:rsidRPr="00DA724C">
        <w:rPr>
          <w:rFonts w:ascii="Arial" w:hAnsi="Arial" w:cs="Arial"/>
          <w:i/>
          <w:iCs/>
          <w:sz w:val="20"/>
          <w:szCs w:val="20"/>
          <w:lang w:val="en-GB"/>
        </w:rPr>
        <w:t xml:space="preserve"> </w:t>
      </w:r>
      <w:proofErr w:type="gramStart"/>
      <w:r w:rsidRPr="00DA724C">
        <w:rPr>
          <w:rFonts w:ascii="Arial" w:hAnsi="Arial" w:cs="Arial"/>
          <w:i/>
          <w:iCs/>
          <w:sz w:val="20"/>
          <w:szCs w:val="20"/>
          <w:lang w:val="en-GB"/>
        </w:rPr>
        <w:t>Indicators for the action lines</w:t>
      </w:r>
      <w:r>
        <w:rPr>
          <w:rFonts w:ascii="Arial" w:hAnsi="Arial" w:cs="Arial"/>
          <w:sz w:val="20"/>
          <w:szCs w:val="20"/>
          <w:lang w:val="en-GB"/>
        </w:rPr>
        <w:t>’)</w:t>
      </w:r>
      <w:r w:rsidRPr="00DA724C">
        <w:rPr>
          <w:rFonts w:ascii="Arial" w:hAnsi="Arial" w:cs="Arial"/>
          <w:sz w:val="20"/>
          <w:szCs w:val="20"/>
          <w:lang w:val="en-GB"/>
        </w:rPr>
        <w:t xml:space="preserve"> (RIVM 2019), p. 6.</w:t>
      </w:r>
      <w:proofErr w:type="gramEnd"/>
    </w:p>
  </w:footnote>
  <w:footnote w:id="90">
    <w:p w14:paraId="0356E406" w14:textId="77777777" w:rsidR="00B5570E" w:rsidRPr="009E4499" w:rsidRDefault="00B5570E" w:rsidP="00C32899">
      <w:pPr>
        <w:pStyle w:val="FootnoteText"/>
        <w:rPr>
          <w:lang w:val="nl-NL"/>
        </w:rPr>
      </w:pPr>
      <w:r>
        <w:rPr>
          <w:rStyle w:val="FootnoteReference"/>
        </w:rPr>
        <w:footnoteRef/>
      </w:r>
      <w:r w:rsidRPr="009E4499">
        <w:rPr>
          <w:lang w:val="nl-NL"/>
        </w:rPr>
        <w:t xml:space="preserve"> </w:t>
      </w:r>
      <w:r w:rsidRPr="009E4499">
        <w:rPr>
          <w:lang w:val="nl-NL"/>
        </w:rPr>
        <w:t>Parliamentary Documents II 2019-2020, 24 170, no. 201.</w:t>
      </w:r>
    </w:p>
  </w:footnote>
  <w:footnote w:id="91">
    <w:p w14:paraId="37766A22" w14:textId="77777777" w:rsidR="00B5570E" w:rsidRPr="009E4499" w:rsidRDefault="00B5570E" w:rsidP="00C32899">
      <w:pPr>
        <w:pStyle w:val="FootnoteText"/>
        <w:rPr>
          <w:lang w:val="nl-NL"/>
        </w:rPr>
      </w:pPr>
      <w:r>
        <w:rPr>
          <w:rStyle w:val="FootnoteReference"/>
        </w:rPr>
        <w:footnoteRef/>
      </w:r>
      <w:r w:rsidRPr="009E4499">
        <w:rPr>
          <w:lang w:val="nl-NL"/>
        </w:rPr>
        <w:t xml:space="preserve"> </w:t>
      </w:r>
      <w:r w:rsidRPr="009E4499">
        <w:rPr>
          <w:lang w:val="nl-NL"/>
        </w:rPr>
        <w:t xml:space="preserve">Parliamentary </w:t>
      </w:r>
      <w:r w:rsidRPr="009E4499">
        <w:rPr>
          <w:lang w:val="nl-NL"/>
        </w:rPr>
        <w:t>Documents II 2019-2020, 24 170, no. 218.</w:t>
      </w:r>
    </w:p>
  </w:footnote>
  <w:footnote w:id="92">
    <w:p w14:paraId="54D27DC8" w14:textId="002674FC" w:rsidR="00B5570E" w:rsidRPr="00371981" w:rsidRDefault="00B5570E" w:rsidP="00C32899">
      <w:pPr>
        <w:pStyle w:val="FootnoteText"/>
      </w:pPr>
      <w:r>
        <w:rPr>
          <w:rStyle w:val="FootnoteReference"/>
        </w:rPr>
        <w:footnoteRef/>
      </w:r>
      <w:r w:rsidRPr="00371981">
        <w:rPr>
          <w:lang w:val="nl-NL"/>
        </w:rPr>
        <w:t xml:space="preserve"> </w:t>
      </w:r>
      <w:bookmarkStart w:id="1" w:name="_Hlk45533278"/>
      <w:r w:rsidRPr="00E375AE">
        <w:rPr>
          <w:lang w:val="nl-NL"/>
        </w:rPr>
        <w:t>Colleg</w:t>
      </w:r>
      <w:r>
        <w:rPr>
          <w:lang w:val="nl-NL"/>
        </w:rPr>
        <w:t>e</w:t>
      </w:r>
      <w:r w:rsidRPr="00E375AE">
        <w:rPr>
          <w:lang w:val="nl-NL"/>
        </w:rPr>
        <w:t xml:space="preserve"> </w:t>
      </w:r>
      <w:r w:rsidRPr="00E375AE">
        <w:rPr>
          <w:lang w:val="nl-NL"/>
        </w:rPr>
        <w:t>voor de Rechten v</w:t>
      </w:r>
      <w:r>
        <w:rPr>
          <w:lang w:val="nl-NL"/>
        </w:rPr>
        <w:t xml:space="preserve">an de Mens, </w:t>
      </w:r>
      <w:r w:rsidRPr="00BE0368">
        <w:rPr>
          <w:i/>
          <w:iCs/>
          <w:lang w:val="nl-NL"/>
        </w:rPr>
        <w:t>Toegankelijkheid van goederen en diensten. Jaarlijkse rapportage over de naleving van het VN-verdrag Handicap in Nederland</w:t>
      </w:r>
      <w:r>
        <w:rPr>
          <w:lang w:val="nl-NL"/>
        </w:rPr>
        <w:t xml:space="preserve"> </w:t>
      </w:r>
      <w:r w:rsidRPr="00DA724C">
        <w:rPr>
          <w:lang w:val="nl-NL"/>
        </w:rPr>
        <w:t>(‘</w:t>
      </w:r>
      <w:r w:rsidRPr="00DA724C">
        <w:rPr>
          <w:i/>
          <w:iCs/>
          <w:lang w:val="nl-NL"/>
        </w:rPr>
        <w:t xml:space="preserve">Accessibility of goods and services. </w:t>
      </w:r>
      <w:proofErr w:type="gramStart"/>
      <w:r w:rsidRPr="002874E3">
        <w:rPr>
          <w:i/>
          <w:iCs/>
        </w:rPr>
        <w:t xml:space="preserve">Annual report on compliance with the UN Convention on </w:t>
      </w:r>
      <w:r>
        <w:rPr>
          <w:i/>
          <w:iCs/>
        </w:rPr>
        <w:t>Persons with Disabilities</w:t>
      </w:r>
      <w:r w:rsidRPr="002874E3">
        <w:rPr>
          <w:i/>
          <w:iCs/>
        </w:rPr>
        <w:t xml:space="preserve"> in the Netherlands</w:t>
      </w:r>
      <w:r>
        <w:rPr>
          <w:i/>
          <w:iCs/>
        </w:rPr>
        <w:t>’</w:t>
      </w:r>
      <w:r>
        <w:t>)</w:t>
      </w:r>
      <w:r w:rsidRPr="002874E3">
        <w:t xml:space="preserve"> </w:t>
      </w:r>
      <w:r>
        <w:t>(</w:t>
      </w:r>
      <w:r w:rsidRPr="002874E3">
        <w:t xml:space="preserve">College </w:t>
      </w:r>
      <w:proofErr w:type="spellStart"/>
      <w:r w:rsidRPr="002874E3">
        <w:t>voor</w:t>
      </w:r>
      <w:proofErr w:type="spellEnd"/>
      <w:r w:rsidRPr="002874E3">
        <w:t xml:space="preserve"> de </w:t>
      </w:r>
      <w:proofErr w:type="spellStart"/>
      <w:r w:rsidRPr="002874E3">
        <w:t>Rechten</w:t>
      </w:r>
      <w:proofErr w:type="spellEnd"/>
      <w:r w:rsidRPr="002874E3">
        <w:t xml:space="preserve"> van de </w:t>
      </w:r>
      <w:proofErr w:type="spellStart"/>
      <w:r w:rsidRPr="002874E3">
        <w:t>Mens</w:t>
      </w:r>
      <w:proofErr w:type="spellEnd"/>
      <w:r w:rsidRPr="002874E3">
        <w:t xml:space="preserve"> 2019</w:t>
      </w:r>
      <w:r>
        <w:t>)</w:t>
      </w:r>
      <w:bookmarkEnd w:id="1"/>
      <w:r w:rsidRPr="002874E3">
        <w:t>, p.</w:t>
      </w:r>
      <w:r>
        <w:t xml:space="preserve"> 47.</w:t>
      </w:r>
      <w:proofErr w:type="gramEnd"/>
    </w:p>
  </w:footnote>
  <w:footnote w:id="93">
    <w:p w14:paraId="179DE65B" w14:textId="29A7C2FB" w:rsidR="00B5570E" w:rsidRPr="004A41B9" w:rsidRDefault="00B5570E" w:rsidP="003C3F61">
      <w:pPr>
        <w:rPr>
          <w:lang w:val="nl-NL"/>
        </w:rPr>
      </w:pPr>
      <w:r>
        <w:rPr>
          <w:rStyle w:val="FootnoteReference"/>
        </w:rPr>
        <w:footnoteRef/>
      </w:r>
      <w:r w:rsidRPr="00707D55">
        <w:t xml:space="preserve"> </w:t>
      </w:r>
      <w:r w:rsidRPr="00707D55">
        <w:rPr>
          <w:rFonts w:cs="Arial"/>
          <w:sz w:val="20"/>
          <w:szCs w:val="20"/>
        </w:rPr>
        <w:t xml:space="preserve">J. </w:t>
      </w:r>
      <w:proofErr w:type="spellStart"/>
      <w:r w:rsidRPr="00707D55">
        <w:rPr>
          <w:rFonts w:cs="Arial"/>
          <w:sz w:val="20"/>
          <w:szCs w:val="20"/>
        </w:rPr>
        <w:t>Schoonheim</w:t>
      </w:r>
      <w:proofErr w:type="spellEnd"/>
      <w:r w:rsidRPr="00707D55">
        <w:rPr>
          <w:rFonts w:cs="Arial"/>
          <w:sz w:val="20"/>
          <w:szCs w:val="20"/>
        </w:rPr>
        <w:t xml:space="preserve"> and J. Smits, </w:t>
      </w:r>
      <w:proofErr w:type="spellStart"/>
      <w:r w:rsidRPr="00BE0368">
        <w:rPr>
          <w:rFonts w:cs="Arial"/>
          <w:i/>
          <w:iCs/>
          <w:sz w:val="20"/>
          <w:szCs w:val="20"/>
        </w:rPr>
        <w:t>Schaduwrapportage</w:t>
      </w:r>
      <w:proofErr w:type="spellEnd"/>
      <w:r w:rsidRPr="00BE0368">
        <w:rPr>
          <w:rFonts w:cs="Arial"/>
          <w:i/>
          <w:iCs/>
          <w:sz w:val="20"/>
          <w:szCs w:val="20"/>
        </w:rPr>
        <w:t xml:space="preserve"> </w:t>
      </w:r>
      <w:proofErr w:type="spellStart"/>
      <w:r w:rsidRPr="00BE0368">
        <w:rPr>
          <w:rFonts w:cs="Arial"/>
          <w:i/>
          <w:iCs/>
          <w:sz w:val="20"/>
          <w:szCs w:val="20"/>
        </w:rPr>
        <w:t>Verdrag</w:t>
      </w:r>
      <w:proofErr w:type="spellEnd"/>
      <w:r w:rsidRPr="00BE0368">
        <w:rPr>
          <w:rFonts w:cs="Arial"/>
          <w:i/>
          <w:iCs/>
          <w:sz w:val="20"/>
          <w:szCs w:val="20"/>
        </w:rPr>
        <w:t xml:space="preserve"> </w:t>
      </w:r>
      <w:proofErr w:type="spellStart"/>
      <w:r w:rsidRPr="00BE0368">
        <w:rPr>
          <w:rFonts w:cs="Arial"/>
          <w:i/>
          <w:iCs/>
          <w:sz w:val="20"/>
          <w:szCs w:val="20"/>
        </w:rPr>
        <w:t>inzake</w:t>
      </w:r>
      <w:proofErr w:type="spellEnd"/>
      <w:r w:rsidRPr="00BE0368">
        <w:rPr>
          <w:rFonts w:cs="Arial"/>
          <w:i/>
          <w:iCs/>
          <w:sz w:val="20"/>
          <w:szCs w:val="20"/>
        </w:rPr>
        <w:t xml:space="preserve"> de </w:t>
      </w:r>
      <w:proofErr w:type="spellStart"/>
      <w:r w:rsidRPr="00BE0368">
        <w:rPr>
          <w:rFonts w:cs="Arial"/>
          <w:i/>
          <w:iCs/>
          <w:sz w:val="20"/>
          <w:szCs w:val="20"/>
        </w:rPr>
        <w:t>rechten</w:t>
      </w:r>
      <w:proofErr w:type="spellEnd"/>
      <w:r w:rsidRPr="00BE0368">
        <w:rPr>
          <w:rFonts w:cs="Arial"/>
          <w:i/>
          <w:iCs/>
          <w:sz w:val="20"/>
          <w:szCs w:val="20"/>
        </w:rPr>
        <w:t xml:space="preserve"> van </w:t>
      </w:r>
      <w:proofErr w:type="spellStart"/>
      <w:r w:rsidRPr="00BE0368">
        <w:rPr>
          <w:rFonts w:cs="Arial"/>
          <w:i/>
          <w:iCs/>
          <w:sz w:val="20"/>
          <w:szCs w:val="20"/>
        </w:rPr>
        <w:t>personen</w:t>
      </w:r>
      <w:proofErr w:type="spellEnd"/>
      <w:r w:rsidRPr="00BE0368">
        <w:rPr>
          <w:rFonts w:cs="Arial"/>
          <w:i/>
          <w:iCs/>
          <w:sz w:val="20"/>
          <w:szCs w:val="20"/>
        </w:rPr>
        <w:t xml:space="preserve"> met </w:t>
      </w:r>
      <w:proofErr w:type="spellStart"/>
      <w:r w:rsidRPr="00BE0368">
        <w:rPr>
          <w:rFonts w:cs="Arial"/>
          <w:i/>
          <w:iCs/>
          <w:sz w:val="20"/>
          <w:szCs w:val="20"/>
        </w:rPr>
        <w:t>een</w:t>
      </w:r>
      <w:proofErr w:type="spellEnd"/>
      <w:r w:rsidRPr="00BE0368">
        <w:rPr>
          <w:rFonts w:cs="Arial"/>
          <w:i/>
          <w:iCs/>
          <w:sz w:val="20"/>
          <w:szCs w:val="20"/>
        </w:rPr>
        <w:t xml:space="preserve"> handicap in Nederland</w:t>
      </w:r>
      <w:r w:rsidRPr="00707D55">
        <w:rPr>
          <w:rFonts w:cs="Arial"/>
          <w:sz w:val="20"/>
          <w:szCs w:val="20"/>
        </w:rPr>
        <w:t xml:space="preserve"> (</w:t>
      </w:r>
      <w:r w:rsidRPr="00707D55">
        <w:rPr>
          <w:rFonts w:cs="Arial"/>
          <w:i/>
          <w:iCs/>
          <w:sz w:val="20"/>
          <w:szCs w:val="20"/>
        </w:rPr>
        <w:t>Shadow r</w:t>
      </w:r>
      <w:r>
        <w:rPr>
          <w:rFonts w:cs="Arial"/>
          <w:i/>
          <w:iCs/>
          <w:sz w:val="20"/>
          <w:szCs w:val="20"/>
        </w:rPr>
        <w:t>e</w:t>
      </w:r>
      <w:r w:rsidRPr="00707D55">
        <w:rPr>
          <w:rFonts w:cs="Arial"/>
          <w:i/>
          <w:iCs/>
          <w:sz w:val="20"/>
          <w:szCs w:val="20"/>
        </w:rPr>
        <w:t>port Convention on the rights of persons with</w:t>
      </w:r>
      <w:r>
        <w:rPr>
          <w:rFonts w:cs="Arial"/>
          <w:i/>
          <w:iCs/>
          <w:sz w:val="20"/>
          <w:szCs w:val="20"/>
        </w:rPr>
        <w:t xml:space="preserve"> disabilities in the Netherlands)</w:t>
      </w:r>
      <w:r w:rsidRPr="00707D55">
        <w:rPr>
          <w:rFonts w:cs="Arial"/>
          <w:sz w:val="20"/>
          <w:szCs w:val="20"/>
        </w:rPr>
        <w:t xml:space="preserve">. </w:t>
      </w:r>
      <w:r w:rsidRPr="004A41B9">
        <w:rPr>
          <w:rFonts w:cs="Arial"/>
          <w:sz w:val="20"/>
          <w:szCs w:val="20"/>
          <w:lang w:val="nl-NL"/>
        </w:rPr>
        <w:t>Utrecht: Ieder(in) 2019, p. 18 and p. 44.</w:t>
      </w:r>
    </w:p>
  </w:footnote>
  <w:footnote w:id="94">
    <w:p w14:paraId="40F42EB1" w14:textId="0BA86A91" w:rsidR="00B5570E" w:rsidRPr="00FF3941" w:rsidRDefault="00B5570E">
      <w:pPr>
        <w:pStyle w:val="FootnoteText"/>
      </w:pPr>
      <w:r>
        <w:rPr>
          <w:rStyle w:val="FootnoteReference"/>
        </w:rPr>
        <w:footnoteRef/>
      </w:r>
      <w:r w:rsidRPr="00BF4BE6">
        <w:rPr>
          <w:lang w:val="nl-NL"/>
        </w:rPr>
        <w:t xml:space="preserve"> </w:t>
      </w:r>
      <w:r w:rsidRPr="00BF4BE6">
        <w:rPr>
          <w:lang w:val="nl-NL"/>
        </w:rPr>
        <w:t xml:space="preserve">G. </w:t>
      </w:r>
      <w:r w:rsidRPr="00BF4BE6">
        <w:rPr>
          <w:lang w:val="nl-NL"/>
        </w:rPr>
        <w:t xml:space="preserve">de Ruiter et al, </w:t>
      </w:r>
      <w:r w:rsidRPr="00BE0368">
        <w:rPr>
          <w:i/>
          <w:iCs/>
          <w:lang w:val="nl-NL"/>
        </w:rPr>
        <w:t>Zorgthermometer ggz</w:t>
      </w:r>
      <w:r w:rsidRPr="00BF4BE6">
        <w:rPr>
          <w:lang w:val="nl-NL"/>
        </w:rPr>
        <w:t>.</w:t>
      </w:r>
      <w:r>
        <w:rPr>
          <w:lang w:val="nl-NL"/>
        </w:rPr>
        <w:t xml:space="preserve"> </w:t>
      </w:r>
      <w:proofErr w:type="gramStart"/>
      <w:r w:rsidRPr="00CE4642">
        <w:t>(</w:t>
      </w:r>
      <w:proofErr w:type="spellStart"/>
      <w:r w:rsidRPr="00CE4642">
        <w:t>Vektis</w:t>
      </w:r>
      <w:proofErr w:type="spellEnd"/>
      <w:r w:rsidRPr="00CE4642">
        <w:t xml:space="preserve"> 2017), p.4.</w:t>
      </w:r>
      <w:proofErr w:type="gramEnd"/>
      <w:r w:rsidRPr="00CE4642">
        <w:t xml:space="preserve"> </w:t>
      </w:r>
      <w:proofErr w:type="gramStart"/>
      <w:r>
        <w:t>Population of 18 years and older; persons receiving mental health care, including specialized care, basic care, GP-supported care and long-term care.</w:t>
      </w:r>
      <w:proofErr w:type="gramEnd"/>
    </w:p>
  </w:footnote>
  <w:footnote w:id="95">
    <w:p w14:paraId="29B182B2" w14:textId="560F0DAD" w:rsidR="00B5570E" w:rsidRPr="008C2647" w:rsidRDefault="00B5570E">
      <w:pPr>
        <w:pStyle w:val="FootnoteText"/>
      </w:pPr>
      <w:r>
        <w:rPr>
          <w:rStyle w:val="FootnoteReference"/>
        </w:rPr>
        <w:footnoteRef/>
      </w:r>
      <w:r>
        <w:t xml:space="preserve"> </w:t>
      </w:r>
      <w:hyperlink r:id="rId30" w:anchor="/AZW/nl/dataset/24062NED/table?ts=1592838413158" w:history="1">
        <w:r w:rsidRPr="00A41313">
          <w:rPr>
            <w:rStyle w:val="Hyperlink"/>
            <w:rFonts w:cstheme="minorBidi"/>
          </w:rPr>
          <w:t>https://azwstatline.cbs.nl/#/AZW/nl/dataset/24062NED/table?ts=1592838413158</w:t>
        </w:r>
      </w:hyperlink>
      <w:r>
        <w:t xml:space="preserve"> Accessed 22 June 2020.</w:t>
      </w:r>
    </w:p>
  </w:footnote>
  <w:footnote w:id="96">
    <w:p w14:paraId="39D52553" w14:textId="33D5FF94" w:rsidR="00B5570E" w:rsidRPr="00515803" w:rsidRDefault="00B5570E">
      <w:pPr>
        <w:pStyle w:val="FootnoteText"/>
      </w:pPr>
      <w:r>
        <w:rPr>
          <w:rStyle w:val="FootnoteReference"/>
        </w:rPr>
        <w:footnoteRef/>
      </w:r>
      <w:r w:rsidRPr="00515803">
        <w:t xml:space="preserve"> </w:t>
      </w:r>
      <w:proofErr w:type="spellStart"/>
      <w:proofErr w:type="gramStart"/>
      <w:r w:rsidRPr="00515803">
        <w:t>National</w:t>
      </w:r>
      <w:r>
        <w:t>e</w:t>
      </w:r>
      <w:proofErr w:type="spellEnd"/>
      <w:r w:rsidRPr="00515803">
        <w:t xml:space="preserve"> Ombudsman</w:t>
      </w:r>
      <w:r>
        <w:t xml:space="preserve">, </w:t>
      </w:r>
      <w:proofErr w:type="spellStart"/>
      <w:r w:rsidRPr="00BE0368">
        <w:rPr>
          <w:i/>
          <w:iCs/>
        </w:rPr>
        <w:t>Zorgen</w:t>
      </w:r>
      <w:proofErr w:type="spellEnd"/>
      <w:r w:rsidRPr="00BE0368">
        <w:rPr>
          <w:i/>
          <w:iCs/>
        </w:rPr>
        <w:t xml:space="preserve"> </w:t>
      </w:r>
      <w:proofErr w:type="spellStart"/>
      <w:r w:rsidRPr="00BE0368">
        <w:rPr>
          <w:i/>
          <w:iCs/>
        </w:rPr>
        <w:t>voor</w:t>
      </w:r>
      <w:proofErr w:type="spellEnd"/>
      <w:r w:rsidRPr="00BE0368">
        <w:rPr>
          <w:i/>
          <w:iCs/>
        </w:rPr>
        <w:t xml:space="preserve"> Burgers</w:t>
      </w:r>
      <w:r>
        <w:t xml:space="preserve"> (‘</w:t>
      </w:r>
      <w:r w:rsidRPr="00515803">
        <w:rPr>
          <w:i/>
          <w:iCs/>
        </w:rPr>
        <w:t>Care for citizens</w:t>
      </w:r>
      <w:r>
        <w:t>’) (</w:t>
      </w:r>
      <w:proofErr w:type="spellStart"/>
      <w:r w:rsidRPr="00515803">
        <w:t>National</w:t>
      </w:r>
      <w:r>
        <w:t>e</w:t>
      </w:r>
      <w:proofErr w:type="spellEnd"/>
      <w:r w:rsidRPr="00515803">
        <w:t xml:space="preserve"> Ombudsman</w:t>
      </w:r>
      <w:r>
        <w:t xml:space="preserve"> 2018) </w:t>
      </w:r>
      <w:hyperlink r:id="rId31" w:history="1">
        <w:r w:rsidRPr="00A41313">
          <w:rPr>
            <w:rStyle w:val="Hyperlink"/>
            <w:rFonts w:cstheme="minorBidi"/>
          </w:rPr>
          <w:t>https://www.nationaleombudsman.nl/nieuws/onderzoeken/2018030-zorgen-voor-burgers-onderzoek-naar-knelpunten-bij-de-toegang-tot-zorg</w:t>
        </w:r>
      </w:hyperlink>
      <w:r>
        <w:t xml:space="preserve"> Accessed 22 June 2020.</w:t>
      </w:r>
      <w:proofErr w:type="gramEnd"/>
    </w:p>
  </w:footnote>
  <w:footnote w:id="97">
    <w:p w14:paraId="4D7717EA" w14:textId="3F92FDF2" w:rsidR="00B5570E" w:rsidRPr="00515803" w:rsidRDefault="00B5570E">
      <w:pPr>
        <w:pStyle w:val="FootnoteText"/>
      </w:pPr>
      <w:r>
        <w:rPr>
          <w:rStyle w:val="FootnoteReference"/>
        </w:rPr>
        <w:footnoteRef/>
      </w:r>
      <w:r>
        <w:t xml:space="preserve"> </w:t>
      </w:r>
      <w:hyperlink r:id="rId32" w:history="1">
        <w:r w:rsidRPr="00A41313">
          <w:rPr>
            <w:rStyle w:val="Hyperlink"/>
            <w:rFonts w:cstheme="minorBidi"/>
          </w:rPr>
          <w:t>https://www.nationaleombudsman.nl/nieuws/2018/hokjesdenken-speelt-burger-nog-altijd-parten-bij-toegang-tot-zorg-update-januari-2019</w:t>
        </w:r>
      </w:hyperlink>
      <w:r>
        <w:t xml:space="preserve"> Accessed 22 June 2020.</w:t>
      </w:r>
    </w:p>
  </w:footnote>
  <w:footnote w:id="98">
    <w:p w14:paraId="00CD4109" w14:textId="6966C0E4" w:rsidR="00B5570E" w:rsidRPr="00E911E4" w:rsidRDefault="00B5570E">
      <w:pPr>
        <w:pStyle w:val="FootnoteText"/>
      </w:pPr>
      <w:r>
        <w:rPr>
          <w:rStyle w:val="FootnoteReference"/>
        </w:rPr>
        <w:footnoteRef/>
      </w:r>
      <w:r w:rsidRPr="00E911E4">
        <w:t xml:space="preserve"> </w:t>
      </w:r>
      <w:hyperlink r:id="rId33" w:anchor="/CBS/nl/dataset/7461BEV/table?fromstatweb" w:history="1">
        <w:r w:rsidRPr="00B3480D">
          <w:rPr>
            <w:rStyle w:val="Hyperlink"/>
            <w:rFonts w:cstheme="minorBidi"/>
          </w:rPr>
          <w:t>https://opendata.cbs.nl/statline/#/CBS/nl/dataset/7461BEV/table?fromstatweb</w:t>
        </w:r>
      </w:hyperlink>
      <w:r>
        <w:t xml:space="preserve"> Accessed 26 June 2020.</w:t>
      </w:r>
    </w:p>
  </w:footnote>
  <w:footnote w:id="99">
    <w:p w14:paraId="5A22A6A0" w14:textId="6B0394C8" w:rsidR="00B5570E" w:rsidRPr="00BE0368" w:rsidRDefault="00B5570E" w:rsidP="00AB2A6C">
      <w:pPr>
        <w:pStyle w:val="Default"/>
        <w:rPr>
          <w:lang w:val="en-GB"/>
        </w:rPr>
      </w:pPr>
      <w:r>
        <w:rPr>
          <w:rStyle w:val="FootnoteReference"/>
        </w:rPr>
        <w:footnoteRef/>
      </w:r>
      <w:r w:rsidRPr="00BE0368">
        <w:rPr>
          <w:lang w:val="en-GB"/>
        </w:rPr>
        <w:t xml:space="preserve">  </w:t>
      </w:r>
      <w:r w:rsidRPr="00BE0368">
        <w:rPr>
          <w:rFonts w:ascii="Arial" w:hAnsi="Arial" w:cs="Arial"/>
          <w:sz w:val="20"/>
          <w:szCs w:val="20"/>
          <w:lang w:val="en-GB"/>
        </w:rPr>
        <w:t xml:space="preserve">T. </w:t>
      </w:r>
      <w:proofErr w:type="spellStart"/>
      <w:r w:rsidRPr="00BE0368">
        <w:rPr>
          <w:rFonts w:ascii="Arial" w:hAnsi="Arial" w:cs="Arial"/>
          <w:sz w:val="20"/>
          <w:szCs w:val="20"/>
          <w:lang w:val="en-GB"/>
        </w:rPr>
        <w:t>Bouwman</w:t>
      </w:r>
      <w:proofErr w:type="spellEnd"/>
      <w:r w:rsidRPr="00BE0368">
        <w:rPr>
          <w:rFonts w:ascii="Arial" w:hAnsi="Arial" w:cs="Arial"/>
          <w:sz w:val="20"/>
          <w:szCs w:val="20"/>
          <w:lang w:val="en-GB"/>
        </w:rPr>
        <w:t xml:space="preserve">, L. </w:t>
      </w:r>
      <w:proofErr w:type="spellStart"/>
      <w:r w:rsidRPr="00BE0368">
        <w:rPr>
          <w:rFonts w:ascii="Arial" w:hAnsi="Arial" w:cs="Arial"/>
          <w:sz w:val="20"/>
          <w:szCs w:val="20"/>
          <w:lang w:val="en-GB"/>
        </w:rPr>
        <w:t>Delmée</w:t>
      </w:r>
      <w:proofErr w:type="spellEnd"/>
      <w:r w:rsidRPr="00BE0368">
        <w:rPr>
          <w:rFonts w:ascii="Arial" w:hAnsi="Arial" w:cs="Arial"/>
          <w:sz w:val="20"/>
          <w:szCs w:val="20"/>
          <w:lang w:val="en-GB"/>
        </w:rPr>
        <w:t xml:space="preserve">, J. </w:t>
      </w:r>
      <w:proofErr w:type="spellStart"/>
      <w:r w:rsidRPr="00BE0368">
        <w:rPr>
          <w:rFonts w:ascii="Arial" w:hAnsi="Arial" w:cs="Arial"/>
          <w:sz w:val="20"/>
          <w:szCs w:val="20"/>
          <w:lang w:val="en-GB"/>
        </w:rPr>
        <w:t>Michgelsen</w:t>
      </w:r>
      <w:proofErr w:type="spellEnd"/>
      <w:r w:rsidRPr="00BE0368">
        <w:rPr>
          <w:rFonts w:ascii="Arial" w:hAnsi="Arial" w:cs="Arial"/>
          <w:sz w:val="20"/>
          <w:szCs w:val="20"/>
          <w:lang w:val="en-GB"/>
        </w:rPr>
        <w:t xml:space="preserve">, </w:t>
      </w:r>
      <w:proofErr w:type="spellStart"/>
      <w:r w:rsidRPr="00BE0368">
        <w:rPr>
          <w:rFonts w:ascii="Arial" w:hAnsi="Arial" w:cs="Arial"/>
          <w:i/>
          <w:iCs/>
          <w:sz w:val="20"/>
          <w:szCs w:val="20"/>
          <w:lang w:val="en-GB"/>
        </w:rPr>
        <w:t>Adviesrapport</w:t>
      </w:r>
      <w:proofErr w:type="spellEnd"/>
      <w:r w:rsidRPr="00BE0368">
        <w:rPr>
          <w:rFonts w:ascii="Arial" w:hAnsi="Arial" w:cs="Arial"/>
          <w:i/>
          <w:iCs/>
          <w:sz w:val="20"/>
          <w:szCs w:val="20"/>
          <w:lang w:val="en-GB"/>
        </w:rPr>
        <w:t xml:space="preserve"> </w:t>
      </w:r>
      <w:proofErr w:type="spellStart"/>
      <w:r w:rsidRPr="00BE0368">
        <w:rPr>
          <w:rFonts w:ascii="Arial" w:hAnsi="Arial" w:cs="Arial"/>
          <w:i/>
          <w:iCs/>
          <w:sz w:val="20"/>
          <w:szCs w:val="20"/>
          <w:lang w:val="en-GB"/>
        </w:rPr>
        <w:t>Mobiliteit</w:t>
      </w:r>
      <w:proofErr w:type="spellEnd"/>
      <w:r w:rsidRPr="00BE0368">
        <w:rPr>
          <w:rFonts w:ascii="Arial" w:hAnsi="Arial" w:cs="Arial"/>
          <w:i/>
          <w:iCs/>
          <w:sz w:val="20"/>
          <w:szCs w:val="20"/>
          <w:lang w:val="en-GB"/>
        </w:rPr>
        <w:t xml:space="preserve"> </w:t>
      </w:r>
      <w:proofErr w:type="spellStart"/>
      <w:r w:rsidRPr="00BE0368">
        <w:rPr>
          <w:rFonts w:ascii="Arial" w:hAnsi="Arial" w:cs="Arial"/>
          <w:i/>
          <w:iCs/>
          <w:sz w:val="20"/>
          <w:szCs w:val="20"/>
          <w:lang w:val="en-GB"/>
        </w:rPr>
        <w:t>en</w:t>
      </w:r>
      <w:proofErr w:type="spellEnd"/>
      <w:r w:rsidRPr="00BE0368">
        <w:rPr>
          <w:rFonts w:ascii="Arial" w:hAnsi="Arial" w:cs="Arial"/>
          <w:i/>
          <w:iCs/>
          <w:sz w:val="20"/>
          <w:szCs w:val="20"/>
          <w:lang w:val="en-GB"/>
        </w:rPr>
        <w:t xml:space="preserve"> </w:t>
      </w:r>
      <w:proofErr w:type="spellStart"/>
      <w:r w:rsidRPr="00BE0368">
        <w:rPr>
          <w:rFonts w:ascii="Arial" w:hAnsi="Arial" w:cs="Arial"/>
          <w:i/>
          <w:iCs/>
          <w:sz w:val="20"/>
          <w:szCs w:val="20"/>
          <w:lang w:val="en-GB"/>
        </w:rPr>
        <w:t>verkeersveiligheid</w:t>
      </w:r>
      <w:proofErr w:type="spellEnd"/>
      <w:r w:rsidRPr="00BE0368">
        <w:rPr>
          <w:rFonts w:ascii="Arial" w:hAnsi="Arial" w:cs="Arial"/>
          <w:i/>
          <w:iCs/>
          <w:sz w:val="20"/>
          <w:szCs w:val="20"/>
          <w:lang w:val="en-GB"/>
        </w:rPr>
        <w:t xml:space="preserve"> </w:t>
      </w:r>
      <w:proofErr w:type="spellStart"/>
      <w:r w:rsidRPr="00BE0368">
        <w:rPr>
          <w:rFonts w:ascii="Arial" w:hAnsi="Arial" w:cs="Arial"/>
          <w:i/>
          <w:iCs/>
          <w:sz w:val="20"/>
          <w:szCs w:val="20"/>
          <w:lang w:val="en-GB"/>
        </w:rPr>
        <w:t>bij</w:t>
      </w:r>
      <w:proofErr w:type="spellEnd"/>
      <w:r w:rsidRPr="00BE0368">
        <w:rPr>
          <w:rFonts w:ascii="Arial" w:hAnsi="Arial" w:cs="Arial"/>
          <w:i/>
          <w:iCs/>
          <w:sz w:val="20"/>
          <w:szCs w:val="20"/>
          <w:lang w:val="en-GB"/>
        </w:rPr>
        <w:t xml:space="preserve"> </w:t>
      </w:r>
      <w:proofErr w:type="spellStart"/>
      <w:r w:rsidRPr="00BE0368">
        <w:rPr>
          <w:rFonts w:ascii="Arial" w:hAnsi="Arial" w:cs="Arial"/>
          <w:i/>
          <w:iCs/>
          <w:sz w:val="20"/>
          <w:szCs w:val="20"/>
          <w:lang w:val="en-GB"/>
        </w:rPr>
        <w:t>ouderen</w:t>
      </w:r>
      <w:proofErr w:type="spellEnd"/>
      <w:r w:rsidRPr="00BE0368">
        <w:rPr>
          <w:rFonts w:ascii="Arial" w:hAnsi="Arial" w:cs="Arial"/>
          <w:sz w:val="20"/>
          <w:szCs w:val="20"/>
          <w:lang w:val="en-GB"/>
        </w:rPr>
        <w:t xml:space="preserve"> (</w:t>
      </w:r>
      <w:r w:rsidRPr="00BE0368">
        <w:rPr>
          <w:rFonts w:ascii="Arial" w:hAnsi="Arial" w:cs="Arial"/>
          <w:i/>
          <w:iCs/>
          <w:sz w:val="20"/>
          <w:szCs w:val="20"/>
          <w:lang w:val="en-GB"/>
        </w:rPr>
        <w:t>Advisory report Mobility and road safety among the elderly</w:t>
      </w:r>
      <w:r w:rsidRPr="00BE0368">
        <w:rPr>
          <w:rFonts w:ascii="Arial" w:hAnsi="Arial" w:cs="Arial"/>
          <w:sz w:val="20"/>
          <w:szCs w:val="20"/>
          <w:lang w:val="en-GB"/>
        </w:rPr>
        <w:t xml:space="preserve">) (Consortium </w:t>
      </w:r>
      <w:proofErr w:type="spellStart"/>
      <w:r w:rsidRPr="00BE0368">
        <w:rPr>
          <w:rFonts w:ascii="Arial" w:hAnsi="Arial" w:cs="Arial"/>
          <w:sz w:val="20"/>
          <w:szCs w:val="20"/>
          <w:lang w:val="en-GB"/>
        </w:rPr>
        <w:t>Beter</w:t>
      </w:r>
      <w:proofErr w:type="spellEnd"/>
      <w:r w:rsidRPr="00BE0368">
        <w:rPr>
          <w:rFonts w:ascii="Arial" w:hAnsi="Arial" w:cs="Arial"/>
          <w:sz w:val="20"/>
          <w:szCs w:val="20"/>
          <w:lang w:val="en-GB"/>
        </w:rPr>
        <w:t xml:space="preserve"> Oud, 2019).</w:t>
      </w:r>
    </w:p>
  </w:footnote>
  <w:footnote w:id="100">
    <w:p w14:paraId="5AE881B7" w14:textId="6A1431F8" w:rsidR="00B5570E" w:rsidRPr="002F3BD6" w:rsidRDefault="00B5570E">
      <w:pPr>
        <w:pStyle w:val="FootnoteText"/>
      </w:pPr>
      <w:r>
        <w:rPr>
          <w:rStyle w:val="FootnoteReference"/>
        </w:rPr>
        <w:footnoteRef/>
      </w:r>
      <w:r w:rsidRPr="002F3BD6">
        <w:t xml:space="preserve"> </w:t>
      </w:r>
      <w:hyperlink r:id="rId34" w:history="1">
        <w:r w:rsidRPr="002F3BD6">
          <w:rPr>
            <w:rStyle w:val="Hyperlink"/>
            <w:rFonts w:cstheme="minorBidi"/>
          </w:rPr>
          <w:t>https://www.beteroud.nl/mobiliteit-ouderen</w:t>
        </w:r>
      </w:hyperlink>
      <w:r w:rsidRPr="002F3BD6">
        <w:t xml:space="preserve"> A</w:t>
      </w:r>
      <w:r>
        <w:t>ccessed 22 June 2020.</w:t>
      </w:r>
    </w:p>
  </w:footnote>
  <w:footnote w:id="101">
    <w:p w14:paraId="7F5B0E80" w14:textId="32B7404D" w:rsidR="00B5570E" w:rsidRPr="000C3AE8" w:rsidRDefault="00B5570E">
      <w:pPr>
        <w:pStyle w:val="FootnoteText"/>
      </w:pPr>
      <w:r>
        <w:rPr>
          <w:rStyle w:val="FootnoteReference"/>
        </w:rPr>
        <w:footnoteRef/>
      </w:r>
      <w:r>
        <w:t xml:space="preserve"> Articles 7 and 8, Act on equal treatment on grounds of disability/chronic illness.</w:t>
      </w:r>
    </w:p>
  </w:footnote>
  <w:footnote w:id="102">
    <w:p w14:paraId="3E58C6F5" w14:textId="17E6D726" w:rsidR="00B5570E" w:rsidRPr="00D47303" w:rsidRDefault="00B5570E">
      <w:pPr>
        <w:pStyle w:val="FootnoteText"/>
      </w:pPr>
      <w:r>
        <w:rPr>
          <w:rStyle w:val="FootnoteReference"/>
        </w:rPr>
        <w:footnoteRef/>
      </w:r>
      <w:r>
        <w:t xml:space="preserve"> </w:t>
      </w:r>
      <w:proofErr w:type="gramStart"/>
      <w:r w:rsidRPr="00D47303">
        <w:rPr>
          <w:szCs w:val="20"/>
        </w:rPr>
        <w:t>Decree on accessibility of public transport of 31 March 2011, containing rules regarding the accessibility of public transport and the adjustments to be made to that end (</w:t>
      </w:r>
      <w:r>
        <w:t>‘</w:t>
      </w:r>
      <w:proofErr w:type="spellStart"/>
      <w:r w:rsidRPr="003B3981">
        <w:rPr>
          <w:i/>
          <w:iCs/>
        </w:rPr>
        <w:t>Besluit</w:t>
      </w:r>
      <w:proofErr w:type="spellEnd"/>
      <w:r w:rsidRPr="003B3981">
        <w:rPr>
          <w:i/>
          <w:iCs/>
        </w:rPr>
        <w:t xml:space="preserve"> </w:t>
      </w:r>
      <w:proofErr w:type="spellStart"/>
      <w:r w:rsidRPr="003B3981">
        <w:rPr>
          <w:i/>
          <w:iCs/>
        </w:rPr>
        <w:t>toegankelijkheid</w:t>
      </w:r>
      <w:proofErr w:type="spellEnd"/>
      <w:r w:rsidRPr="003B3981">
        <w:rPr>
          <w:i/>
          <w:iCs/>
        </w:rPr>
        <w:t xml:space="preserve"> </w:t>
      </w:r>
      <w:proofErr w:type="spellStart"/>
      <w:r w:rsidRPr="003B3981">
        <w:rPr>
          <w:i/>
          <w:iCs/>
        </w:rPr>
        <w:t>openbaar</w:t>
      </w:r>
      <w:proofErr w:type="spellEnd"/>
      <w:r w:rsidRPr="003B3981">
        <w:rPr>
          <w:i/>
          <w:iCs/>
        </w:rPr>
        <w:t xml:space="preserve"> </w:t>
      </w:r>
      <w:proofErr w:type="spellStart"/>
      <w:r>
        <w:rPr>
          <w:i/>
          <w:iCs/>
        </w:rPr>
        <w:t>vervoer</w:t>
      </w:r>
      <w:proofErr w:type="spellEnd"/>
      <w:r>
        <w:rPr>
          <w:i/>
          <w:iCs/>
        </w:rPr>
        <w:t>’</w:t>
      </w:r>
      <w:r w:rsidRPr="00D47303">
        <w:rPr>
          <w:szCs w:val="20"/>
        </w:rPr>
        <w:t>)</w:t>
      </w:r>
      <w:r>
        <w:rPr>
          <w:szCs w:val="20"/>
        </w:rPr>
        <w:t>.</w:t>
      </w:r>
      <w:proofErr w:type="gramEnd"/>
    </w:p>
  </w:footnote>
  <w:footnote w:id="103">
    <w:p w14:paraId="3BB29995" w14:textId="20BEEAAD" w:rsidR="00B5570E" w:rsidRPr="00A57082" w:rsidRDefault="00B5570E">
      <w:pPr>
        <w:pStyle w:val="FootnoteText"/>
      </w:pPr>
      <w:r>
        <w:rPr>
          <w:rStyle w:val="FootnoteReference"/>
        </w:rPr>
        <w:footnoteRef/>
      </w:r>
      <w:r>
        <w:t xml:space="preserve"> </w:t>
      </w:r>
      <w:proofErr w:type="gramStart"/>
      <w:r w:rsidRPr="00A57082">
        <w:rPr>
          <w:szCs w:val="20"/>
        </w:rPr>
        <w:t>Regulation of the State Secretary for Health, Welfare and Sport and of the Minister of Infrastructure and the Environment of 4 April 2012, laying down rules regarding the accessibility of public transport (‘</w:t>
      </w:r>
      <w:proofErr w:type="spellStart"/>
      <w:r w:rsidRPr="00A57082">
        <w:rPr>
          <w:i/>
          <w:iCs/>
          <w:szCs w:val="20"/>
        </w:rPr>
        <w:t>Regeling</w:t>
      </w:r>
      <w:proofErr w:type="spellEnd"/>
      <w:r w:rsidRPr="00A57082">
        <w:rPr>
          <w:i/>
          <w:iCs/>
          <w:szCs w:val="20"/>
        </w:rPr>
        <w:t xml:space="preserve"> </w:t>
      </w:r>
      <w:proofErr w:type="spellStart"/>
      <w:r w:rsidRPr="00A57082">
        <w:rPr>
          <w:i/>
          <w:iCs/>
          <w:szCs w:val="20"/>
        </w:rPr>
        <w:t>toegankelijkheid</w:t>
      </w:r>
      <w:proofErr w:type="spellEnd"/>
      <w:r w:rsidRPr="00A57082">
        <w:rPr>
          <w:i/>
          <w:iCs/>
          <w:szCs w:val="20"/>
        </w:rPr>
        <w:t xml:space="preserve"> </w:t>
      </w:r>
      <w:proofErr w:type="spellStart"/>
      <w:r w:rsidRPr="00A57082">
        <w:rPr>
          <w:i/>
          <w:iCs/>
          <w:szCs w:val="20"/>
        </w:rPr>
        <w:t>openbaar</w:t>
      </w:r>
      <w:proofErr w:type="spellEnd"/>
      <w:r w:rsidRPr="00A57082">
        <w:rPr>
          <w:i/>
          <w:iCs/>
          <w:szCs w:val="20"/>
        </w:rPr>
        <w:t xml:space="preserve"> </w:t>
      </w:r>
      <w:proofErr w:type="spellStart"/>
      <w:r w:rsidRPr="00A57082">
        <w:rPr>
          <w:i/>
          <w:iCs/>
          <w:szCs w:val="20"/>
        </w:rPr>
        <w:t>vervoer</w:t>
      </w:r>
      <w:proofErr w:type="spellEnd"/>
      <w:r w:rsidRPr="00A57082">
        <w:rPr>
          <w:i/>
          <w:iCs/>
          <w:szCs w:val="20"/>
        </w:rPr>
        <w:t>’)</w:t>
      </w:r>
      <w:r>
        <w:rPr>
          <w:szCs w:val="20"/>
        </w:rPr>
        <w:t>.</w:t>
      </w:r>
      <w:proofErr w:type="gramEnd"/>
      <w:r>
        <w:rPr>
          <w:szCs w:val="20"/>
        </w:rPr>
        <w:t xml:space="preserve"> </w:t>
      </w:r>
    </w:p>
  </w:footnote>
  <w:footnote w:id="104">
    <w:p w14:paraId="55D6617E" w14:textId="5F450078" w:rsidR="00B5570E" w:rsidRPr="0097493B" w:rsidRDefault="00B5570E">
      <w:pPr>
        <w:pStyle w:val="FootnoteText"/>
      </w:pPr>
      <w:r>
        <w:rPr>
          <w:rStyle w:val="FootnoteReference"/>
        </w:rPr>
        <w:footnoteRef/>
      </w:r>
      <w:r>
        <w:t xml:space="preserve"> </w:t>
      </w:r>
      <w:proofErr w:type="gramStart"/>
      <w:r w:rsidRPr="0097493B">
        <w:t>A</w:t>
      </w:r>
      <w:r>
        <w:t xml:space="preserve">rticle 2.1, </w:t>
      </w:r>
      <w:r w:rsidRPr="00D47303">
        <w:rPr>
          <w:szCs w:val="20"/>
        </w:rPr>
        <w:t>Decree on accessibility of public transport</w:t>
      </w:r>
      <w:r>
        <w:rPr>
          <w:szCs w:val="20"/>
        </w:rPr>
        <w:t>.</w:t>
      </w:r>
      <w:proofErr w:type="gramEnd"/>
    </w:p>
  </w:footnote>
  <w:footnote w:id="105">
    <w:p w14:paraId="3484525A" w14:textId="61C21C2D" w:rsidR="00B5570E" w:rsidRPr="0097493B" w:rsidRDefault="00B5570E">
      <w:pPr>
        <w:pStyle w:val="FootnoteText"/>
      </w:pPr>
      <w:r>
        <w:rPr>
          <w:rStyle w:val="FootnoteReference"/>
        </w:rPr>
        <w:footnoteRef/>
      </w:r>
      <w:r>
        <w:t xml:space="preserve"> </w:t>
      </w:r>
      <w:proofErr w:type="gramStart"/>
      <w:r w:rsidRPr="0097493B">
        <w:t>A</w:t>
      </w:r>
      <w:r>
        <w:t xml:space="preserve">rticle 2.2, </w:t>
      </w:r>
      <w:r w:rsidRPr="00D47303">
        <w:rPr>
          <w:szCs w:val="20"/>
        </w:rPr>
        <w:t>Decree on accessibility of public transport</w:t>
      </w:r>
      <w:r>
        <w:rPr>
          <w:szCs w:val="20"/>
        </w:rPr>
        <w:t>.</w:t>
      </w:r>
      <w:proofErr w:type="gramEnd"/>
    </w:p>
  </w:footnote>
  <w:footnote w:id="106">
    <w:p w14:paraId="78BA5C5A" w14:textId="685EF1D0" w:rsidR="00B5570E" w:rsidRPr="00796746" w:rsidRDefault="00B5570E">
      <w:pPr>
        <w:pStyle w:val="FootnoteText"/>
      </w:pPr>
      <w:r>
        <w:rPr>
          <w:rStyle w:val="FootnoteReference"/>
        </w:rPr>
        <w:footnoteRef/>
      </w:r>
      <w:r>
        <w:t xml:space="preserve"> </w:t>
      </w:r>
      <w:proofErr w:type="gramStart"/>
      <w:r>
        <w:t>National Institute for Human Rights, 16 November 2017, judgment 2017-134.</w:t>
      </w:r>
      <w:proofErr w:type="gramEnd"/>
    </w:p>
  </w:footnote>
  <w:footnote w:id="107">
    <w:p w14:paraId="7DDB17EB" w14:textId="3D4B1403" w:rsidR="00B5570E" w:rsidRPr="00963B6A" w:rsidRDefault="00B5570E">
      <w:pPr>
        <w:pStyle w:val="FootnoteText"/>
      </w:pPr>
      <w:r>
        <w:rPr>
          <w:rStyle w:val="FootnoteReference"/>
        </w:rPr>
        <w:footnoteRef/>
      </w:r>
      <w:r>
        <w:t xml:space="preserve"> Parliamentary Documents II, 2018-2019, 24 170, no. 193, p. 7.</w:t>
      </w:r>
    </w:p>
  </w:footnote>
  <w:footnote w:id="108">
    <w:p w14:paraId="2650DC36" w14:textId="5799FF7E" w:rsidR="00B5570E" w:rsidRPr="00963B6A" w:rsidRDefault="00B5570E">
      <w:pPr>
        <w:pStyle w:val="FootnoteText"/>
      </w:pPr>
      <w:r>
        <w:rPr>
          <w:rStyle w:val="FootnoteReference"/>
        </w:rPr>
        <w:footnoteRef/>
      </w:r>
      <w:r>
        <w:t xml:space="preserve"> Parliamentary Documents II, 2018-2019, 24 170, no. 193, p. 8.</w:t>
      </w:r>
    </w:p>
  </w:footnote>
  <w:footnote w:id="109">
    <w:p w14:paraId="255E75FA" w14:textId="4C491AD1" w:rsidR="00B5570E" w:rsidRPr="00FE0B6A" w:rsidRDefault="00B5570E">
      <w:pPr>
        <w:pStyle w:val="FootnoteText"/>
      </w:pPr>
      <w:r>
        <w:rPr>
          <w:rStyle w:val="FootnoteReference"/>
        </w:rPr>
        <w:footnoteRef/>
      </w:r>
      <w:r>
        <w:t xml:space="preserve"> </w:t>
      </w:r>
      <w:hyperlink r:id="rId35" w:history="1">
        <w:r w:rsidRPr="00B054B0">
          <w:rPr>
            <w:rStyle w:val="Hyperlink"/>
            <w:rFonts w:cstheme="minorBidi"/>
          </w:rPr>
          <w:t>https://www.prorail.nl/reizigers/stations/toegankelijkheid</w:t>
        </w:r>
      </w:hyperlink>
      <w:r>
        <w:t xml:space="preserve"> </w:t>
      </w:r>
    </w:p>
  </w:footnote>
  <w:footnote w:id="110">
    <w:p w14:paraId="2136B928" w14:textId="143E2453" w:rsidR="00B5570E" w:rsidRPr="00EB20A7" w:rsidRDefault="00B5570E">
      <w:pPr>
        <w:pStyle w:val="FootnoteText"/>
      </w:pPr>
      <w:r>
        <w:rPr>
          <w:rStyle w:val="FootnoteReference"/>
        </w:rPr>
        <w:footnoteRef/>
      </w:r>
      <w:r>
        <w:t xml:space="preserve"> </w:t>
      </w:r>
      <w:hyperlink r:id="rId36" w:history="1">
        <w:r w:rsidRPr="00B054B0">
          <w:rPr>
            <w:rStyle w:val="Hyperlink"/>
            <w:rFonts w:cstheme="minorBidi"/>
          </w:rPr>
          <w:t>https://www.oogvereniging.nl/2017/10/stations-nederland-toegankelijk-blinden-en-slechtzienden/</w:t>
        </w:r>
      </w:hyperlink>
      <w:r>
        <w:t xml:space="preserve"> </w:t>
      </w:r>
    </w:p>
  </w:footnote>
  <w:footnote w:id="111">
    <w:p w14:paraId="390DE9B2" w14:textId="51EFE3ED" w:rsidR="00B5570E" w:rsidRPr="00E939A0" w:rsidRDefault="00B5570E">
      <w:pPr>
        <w:pStyle w:val="FootnoteText"/>
      </w:pPr>
      <w:r>
        <w:rPr>
          <w:rStyle w:val="FootnoteReference"/>
        </w:rPr>
        <w:footnoteRef/>
      </w:r>
      <w:r>
        <w:t xml:space="preserve"> </w:t>
      </w:r>
      <w:hyperlink r:id="rId37" w:history="1">
        <w:r w:rsidRPr="00B054B0">
          <w:rPr>
            <w:rStyle w:val="Hyperlink"/>
            <w:rFonts w:cstheme="minorBidi"/>
          </w:rPr>
          <w:t>https://www.oogvereniging.nl/leven-werken/verkeer-vervoer/weg-vinden-op-station/</w:t>
        </w:r>
      </w:hyperlink>
      <w:r>
        <w:t xml:space="preserve"> </w:t>
      </w:r>
    </w:p>
  </w:footnote>
  <w:footnote w:id="112">
    <w:p w14:paraId="355E5E45" w14:textId="10BA8B06" w:rsidR="00B5570E" w:rsidRPr="001052EA" w:rsidRDefault="00B5570E">
      <w:pPr>
        <w:pStyle w:val="FootnoteText"/>
      </w:pPr>
      <w:r>
        <w:rPr>
          <w:rStyle w:val="FootnoteReference"/>
        </w:rPr>
        <w:footnoteRef/>
      </w:r>
      <w:r>
        <w:t xml:space="preserve"> </w:t>
      </w:r>
      <w:r w:rsidRPr="001052EA">
        <w:t>https://www.oogvereniging.nl/english/</w:t>
      </w:r>
    </w:p>
  </w:footnote>
  <w:footnote w:id="113">
    <w:p w14:paraId="5A76A67C" w14:textId="36070A17" w:rsidR="00B5570E" w:rsidRPr="005C586C" w:rsidRDefault="00B5570E">
      <w:pPr>
        <w:pStyle w:val="FootnoteText"/>
      </w:pPr>
      <w:r>
        <w:rPr>
          <w:rStyle w:val="FootnoteReference"/>
        </w:rPr>
        <w:footnoteRef/>
      </w:r>
      <w:r>
        <w:t xml:space="preserve"> </w:t>
      </w:r>
      <w:hyperlink r:id="rId38" w:history="1">
        <w:r w:rsidRPr="008D50FA">
          <w:rPr>
            <w:rStyle w:val="Hyperlink"/>
            <w:rFonts w:cstheme="minorBidi"/>
          </w:rPr>
          <w:t>https://www.oogvereniging.nl/2017/06/15627/</w:t>
        </w:r>
      </w:hyperlink>
      <w:r>
        <w:t xml:space="preserve"> </w:t>
      </w:r>
    </w:p>
  </w:footnote>
  <w:footnote w:id="114">
    <w:p w14:paraId="16AF87FE" w14:textId="45B4318F" w:rsidR="00B5570E" w:rsidRPr="00A92B41" w:rsidRDefault="00B5570E">
      <w:pPr>
        <w:pStyle w:val="FootnoteText"/>
      </w:pPr>
      <w:r>
        <w:rPr>
          <w:rStyle w:val="FootnoteReference"/>
        </w:rPr>
        <w:footnoteRef/>
      </w:r>
      <w:r>
        <w:t xml:space="preserve"> </w:t>
      </w:r>
      <w:hyperlink r:id="rId39" w:history="1">
        <w:r w:rsidRPr="00B054B0">
          <w:rPr>
            <w:rStyle w:val="Hyperlink"/>
            <w:rFonts w:cstheme="minorBidi"/>
          </w:rPr>
          <w:t>https://www.ns.nl/en/travel-information/traveling-with-a-functional-disability/assistance-while-travelling.html</w:t>
        </w:r>
      </w:hyperlink>
      <w:r>
        <w:t xml:space="preserve"> </w:t>
      </w:r>
    </w:p>
  </w:footnote>
  <w:footnote w:id="115">
    <w:p w14:paraId="6800FAB6" w14:textId="1C9F21F8" w:rsidR="00B5570E" w:rsidRPr="003F6678" w:rsidRDefault="00B5570E">
      <w:pPr>
        <w:pStyle w:val="FootnoteText"/>
      </w:pPr>
      <w:r>
        <w:rPr>
          <w:rStyle w:val="FootnoteReference"/>
        </w:rPr>
        <w:footnoteRef/>
      </w:r>
      <w:r>
        <w:t xml:space="preserve"> </w:t>
      </w:r>
      <w:hyperlink r:id="rId40" w:history="1">
        <w:r w:rsidRPr="00B054B0">
          <w:rPr>
            <w:rStyle w:val="Hyperlink"/>
            <w:rFonts w:cstheme="minorBidi"/>
          </w:rPr>
          <w:t>https://www.rijksoverheid.nl/onderwerpen/openbaar-vervoer/betere-verbindingen-openbaar-vervoer/ov-in-de-toekomst</w:t>
        </w:r>
      </w:hyperlink>
      <w:r>
        <w:t xml:space="preserve"> </w:t>
      </w:r>
    </w:p>
  </w:footnote>
  <w:footnote w:id="116">
    <w:p w14:paraId="0167B6EA" w14:textId="65D2A876" w:rsidR="00B5570E" w:rsidRPr="00721B62" w:rsidRDefault="00B5570E">
      <w:pPr>
        <w:pStyle w:val="FootnoteText"/>
      </w:pPr>
      <w:r>
        <w:rPr>
          <w:rStyle w:val="FootnoteReference"/>
        </w:rPr>
        <w:footnoteRef/>
      </w:r>
      <w:r>
        <w:t xml:space="preserve"> </w:t>
      </w:r>
      <w:hyperlink r:id="rId41" w:history="1">
        <w:r w:rsidRPr="00B054B0">
          <w:rPr>
            <w:rStyle w:val="Hyperlink"/>
            <w:rFonts w:cstheme="minorBidi"/>
          </w:rPr>
          <w:t>https://magazines.rijksoverheid.nl/ienw/ienw-specials/2019/07/pijler-2-drempelloos-van-deur-tot-deur</w:t>
        </w:r>
      </w:hyperlink>
      <w:r>
        <w:t xml:space="preserve"> </w:t>
      </w:r>
    </w:p>
  </w:footnote>
  <w:footnote w:id="117">
    <w:p w14:paraId="59E187D6" w14:textId="7302AE9A" w:rsidR="00B5570E" w:rsidRPr="002874E3" w:rsidRDefault="00B5570E">
      <w:pPr>
        <w:pStyle w:val="FootnoteText"/>
      </w:pPr>
      <w:r>
        <w:rPr>
          <w:rStyle w:val="FootnoteReference"/>
        </w:rPr>
        <w:footnoteRef/>
      </w:r>
      <w:r>
        <w:t xml:space="preserve"> </w:t>
      </w:r>
      <w:hyperlink r:id="rId42" w:history="1">
        <w:r w:rsidRPr="00ED4A04">
          <w:rPr>
            <w:rStyle w:val="Hyperlink"/>
            <w:rFonts w:cstheme="minorBidi"/>
          </w:rPr>
          <w:t>https://mensenrechten.nl/nl/netherlands-institute-human-rights</w:t>
        </w:r>
      </w:hyperlink>
      <w:r>
        <w:t xml:space="preserve"> Accessed 20 April 2020.</w:t>
      </w:r>
    </w:p>
  </w:footnote>
  <w:footnote w:id="118">
    <w:p w14:paraId="3C5002FB" w14:textId="4573B802" w:rsidR="00B5570E" w:rsidRPr="00F32266" w:rsidRDefault="00B5570E">
      <w:pPr>
        <w:pStyle w:val="FootnoteText"/>
      </w:pPr>
      <w:r>
        <w:rPr>
          <w:rStyle w:val="FootnoteReference"/>
        </w:rPr>
        <w:footnoteRef/>
      </w:r>
      <w:r>
        <w:t xml:space="preserve"> </w:t>
      </w:r>
      <w:hyperlink r:id="rId43" w:history="1">
        <w:r w:rsidRPr="00CD79A9">
          <w:rPr>
            <w:rStyle w:val="Hyperlink"/>
            <w:rFonts w:cstheme="minorBidi"/>
          </w:rPr>
          <w:t>https://mensenrechten.nl/nl/publicatie/5de636e4b55daa48dd78be31</w:t>
        </w:r>
      </w:hyperlink>
      <w:r>
        <w:t xml:space="preserve"> .</w:t>
      </w:r>
    </w:p>
  </w:footnote>
  <w:footnote w:id="119">
    <w:p w14:paraId="2EFA6DE4" w14:textId="04A05B7A" w:rsidR="00B5570E" w:rsidRPr="002874E3" w:rsidRDefault="00B5570E">
      <w:pPr>
        <w:pStyle w:val="FootnoteText"/>
      </w:pPr>
      <w:r>
        <w:rPr>
          <w:rStyle w:val="FootnoteReference"/>
        </w:rPr>
        <w:footnoteRef/>
      </w:r>
      <w:r w:rsidRPr="00E375AE">
        <w:rPr>
          <w:lang w:val="nl-NL"/>
        </w:rPr>
        <w:t xml:space="preserve"> </w:t>
      </w:r>
      <w:r w:rsidRPr="00E375AE">
        <w:rPr>
          <w:lang w:val="nl-NL"/>
        </w:rPr>
        <w:t>Colleg</w:t>
      </w:r>
      <w:r>
        <w:rPr>
          <w:lang w:val="nl-NL"/>
        </w:rPr>
        <w:t>e</w:t>
      </w:r>
      <w:r w:rsidRPr="00E375AE">
        <w:rPr>
          <w:lang w:val="nl-NL"/>
        </w:rPr>
        <w:t xml:space="preserve"> voor de Rechten v</w:t>
      </w:r>
      <w:r>
        <w:rPr>
          <w:lang w:val="nl-NL"/>
        </w:rPr>
        <w:t xml:space="preserve">an de Mens, Toegankelijkheid van goederen en diensten. Jaarlijkse rapportage over de naleving van het VN-verdrag Handicap in Nederland.  </w:t>
      </w:r>
      <w:proofErr w:type="gramStart"/>
      <w:r w:rsidRPr="002874E3">
        <w:t>(</w:t>
      </w:r>
      <w:r>
        <w:t>‘</w:t>
      </w:r>
      <w:r w:rsidRPr="002874E3">
        <w:rPr>
          <w:i/>
          <w:iCs/>
        </w:rPr>
        <w:t>Accessibility of goods and services.</w:t>
      </w:r>
      <w:proofErr w:type="gramEnd"/>
      <w:r w:rsidRPr="002874E3">
        <w:rPr>
          <w:i/>
          <w:iCs/>
        </w:rPr>
        <w:t xml:space="preserve"> Annual report on compliance with the UN Convention on </w:t>
      </w:r>
      <w:r>
        <w:rPr>
          <w:i/>
          <w:iCs/>
        </w:rPr>
        <w:t>Persons with Disabilities</w:t>
      </w:r>
      <w:r w:rsidRPr="002874E3">
        <w:rPr>
          <w:i/>
          <w:iCs/>
        </w:rPr>
        <w:t xml:space="preserve"> in the Netherlands</w:t>
      </w:r>
      <w:r>
        <w:rPr>
          <w:i/>
          <w:iCs/>
        </w:rPr>
        <w:t>’</w:t>
      </w:r>
      <w:r>
        <w:t>)</w:t>
      </w:r>
      <w:r w:rsidRPr="002874E3">
        <w:t xml:space="preserve"> Utrecht: College </w:t>
      </w:r>
      <w:proofErr w:type="spellStart"/>
      <w:r w:rsidRPr="002874E3">
        <w:t>voor</w:t>
      </w:r>
      <w:proofErr w:type="spellEnd"/>
      <w:r w:rsidRPr="002874E3">
        <w:t xml:space="preserve"> de </w:t>
      </w:r>
      <w:proofErr w:type="spellStart"/>
      <w:r w:rsidRPr="002874E3">
        <w:t>Rechten</w:t>
      </w:r>
      <w:proofErr w:type="spellEnd"/>
      <w:r w:rsidRPr="002874E3">
        <w:t xml:space="preserve"> van de </w:t>
      </w:r>
      <w:proofErr w:type="spellStart"/>
      <w:r w:rsidRPr="002874E3">
        <w:t>Mens</w:t>
      </w:r>
      <w:proofErr w:type="spellEnd"/>
      <w:r w:rsidRPr="002874E3">
        <w:t xml:space="preserve"> 2019, p. 28.</w:t>
      </w:r>
    </w:p>
  </w:footnote>
  <w:footnote w:id="120">
    <w:p w14:paraId="6C5E3A78" w14:textId="13749BFF" w:rsidR="00B5570E" w:rsidRPr="006D4055" w:rsidRDefault="00B5570E" w:rsidP="005B760B">
      <w:pPr>
        <w:pStyle w:val="FootnoteText"/>
        <w:rPr>
          <w:lang w:val="nl-NL"/>
        </w:rPr>
      </w:pPr>
      <w:r>
        <w:rPr>
          <w:rStyle w:val="FootnoteReference"/>
        </w:rPr>
        <w:footnoteRef/>
      </w:r>
      <w:r w:rsidRPr="006D4055">
        <w:rPr>
          <w:lang w:val="nl-NL"/>
        </w:rPr>
        <w:t xml:space="preserve"> </w:t>
      </w:r>
      <w:r w:rsidRPr="006D4055">
        <w:rPr>
          <w:lang w:val="nl-NL"/>
        </w:rPr>
        <w:t>Wet ruimtelijke ordening, Act of 22</w:t>
      </w:r>
      <w:r>
        <w:rPr>
          <w:lang w:val="nl-NL"/>
        </w:rPr>
        <w:t xml:space="preserve"> </w:t>
      </w:r>
      <w:r w:rsidRPr="006D4055">
        <w:rPr>
          <w:lang w:val="nl-NL"/>
        </w:rPr>
        <w:t>May 2008, Stb. 2008, 180.</w:t>
      </w:r>
    </w:p>
  </w:footnote>
  <w:footnote w:id="121">
    <w:p w14:paraId="75F60D91" w14:textId="77777777" w:rsidR="00B5570E" w:rsidRPr="00C33520" w:rsidRDefault="00B5570E" w:rsidP="005B760B">
      <w:r>
        <w:rPr>
          <w:rStyle w:val="FootnoteReference"/>
        </w:rPr>
        <w:footnoteRef/>
      </w:r>
      <w:r>
        <w:t xml:space="preserve"> </w:t>
      </w:r>
      <w:hyperlink r:id="rId44" w:history="1">
        <w:r w:rsidRPr="00C33520">
          <w:rPr>
            <w:rStyle w:val="Hyperlink"/>
            <w:rFonts w:cstheme="minorBidi"/>
            <w:sz w:val="20"/>
            <w:szCs w:val="20"/>
          </w:rPr>
          <w:t>https://www.government.nl/topics/spatial-planning-and-infrastructure/spatial-planning-in-the-netherlands</w:t>
        </w:r>
      </w:hyperlink>
      <w:r>
        <w:rPr>
          <w:rStyle w:val="Hyperlink"/>
          <w:rFonts w:cstheme="minorBidi"/>
          <w:sz w:val="20"/>
          <w:szCs w:val="20"/>
        </w:rPr>
        <w:t xml:space="preserve"> </w:t>
      </w:r>
      <w:r w:rsidRPr="00C33520">
        <w:rPr>
          <w:rStyle w:val="Hyperlink"/>
          <w:rFonts w:cstheme="minorBidi"/>
          <w:color w:val="auto"/>
          <w:sz w:val="20"/>
          <w:szCs w:val="20"/>
        </w:rPr>
        <w:t>Accessed 18 May 2020</w:t>
      </w:r>
      <w:r>
        <w:rPr>
          <w:rStyle w:val="Hyperlink"/>
          <w:rFonts w:cstheme="minorBidi"/>
          <w:sz w:val="20"/>
          <w:szCs w:val="20"/>
        </w:rPr>
        <w:t>.</w:t>
      </w:r>
    </w:p>
  </w:footnote>
  <w:footnote w:id="122">
    <w:p w14:paraId="7B737D2A" w14:textId="77777777" w:rsidR="00B5570E" w:rsidRPr="00A631F9" w:rsidRDefault="00B5570E" w:rsidP="005B760B">
      <w:pPr>
        <w:pStyle w:val="FootnoteText"/>
      </w:pPr>
      <w:r>
        <w:rPr>
          <w:rStyle w:val="FootnoteReference"/>
        </w:rPr>
        <w:footnoteRef/>
      </w:r>
      <w:r>
        <w:t xml:space="preserve"> </w:t>
      </w:r>
      <w:hyperlink r:id="rId45" w:history="1">
        <w:r w:rsidRPr="004B4C8D">
          <w:rPr>
            <w:rStyle w:val="Hyperlink"/>
            <w:rFonts w:cstheme="minorBidi"/>
          </w:rPr>
          <w:t>https://www.ruimtelijkeplannen.nl/</w:t>
        </w:r>
      </w:hyperlink>
      <w:r>
        <w:t xml:space="preserve"> Accessed 22 April 2020.</w:t>
      </w:r>
    </w:p>
  </w:footnote>
  <w:footnote w:id="123">
    <w:p w14:paraId="1895C074" w14:textId="3A135A1B" w:rsidR="00B5570E" w:rsidRPr="00953305" w:rsidRDefault="00B5570E" w:rsidP="005B760B">
      <w:pPr>
        <w:rPr>
          <w:sz w:val="20"/>
          <w:szCs w:val="20"/>
        </w:rPr>
      </w:pPr>
      <w:r>
        <w:rPr>
          <w:rStyle w:val="FootnoteReference"/>
        </w:rPr>
        <w:footnoteRef/>
      </w:r>
      <w:r w:rsidRPr="007B52F7">
        <w:rPr>
          <w:lang w:val="nl-NL"/>
        </w:rPr>
        <w:t xml:space="preserve"> </w:t>
      </w:r>
      <w:r w:rsidRPr="007B52F7">
        <w:rPr>
          <w:sz w:val="20"/>
          <w:szCs w:val="20"/>
          <w:lang w:val="nl-NL"/>
        </w:rPr>
        <w:t xml:space="preserve">Ministry of Infrastructure and Environment (2012), </w:t>
      </w:r>
      <w:r w:rsidRPr="007B52F7">
        <w:rPr>
          <w:rFonts w:eastAsiaTheme="minorHAnsi" w:cs="Arial"/>
          <w:color w:val="000000" w:themeColor="text1"/>
          <w:sz w:val="20"/>
          <w:szCs w:val="20"/>
          <w:lang w:val="nl-NL" w:eastAsia="en-US"/>
        </w:rPr>
        <w:t>Structuurvisie</w:t>
      </w:r>
      <w:r>
        <w:rPr>
          <w:rFonts w:eastAsiaTheme="minorHAnsi" w:cs="Arial"/>
          <w:color w:val="000000" w:themeColor="text1"/>
          <w:sz w:val="20"/>
          <w:szCs w:val="20"/>
          <w:lang w:val="nl-NL" w:eastAsia="en-US"/>
        </w:rPr>
        <w:t xml:space="preserve"> </w:t>
      </w:r>
      <w:r w:rsidRPr="007B52F7">
        <w:rPr>
          <w:rFonts w:eastAsiaTheme="minorHAnsi" w:cs="Arial"/>
          <w:color w:val="000000" w:themeColor="text1"/>
          <w:sz w:val="20"/>
          <w:szCs w:val="20"/>
          <w:lang w:val="nl-NL" w:eastAsia="en-US"/>
        </w:rPr>
        <w:t>Infrastructuur en Ruimte</w:t>
      </w:r>
      <w:r>
        <w:rPr>
          <w:rFonts w:eastAsiaTheme="minorHAnsi" w:cs="Arial"/>
          <w:color w:val="000000" w:themeColor="text1"/>
          <w:sz w:val="20"/>
          <w:szCs w:val="20"/>
          <w:lang w:val="nl-NL" w:eastAsia="en-US"/>
        </w:rPr>
        <w:t xml:space="preserve">. </w:t>
      </w:r>
      <w:r w:rsidRPr="007B52F7">
        <w:rPr>
          <w:rFonts w:eastAsiaTheme="minorHAnsi" w:cs="Arial"/>
          <w:color w:val="000000" w:themeColor="text1"/>
          <w:sz w:val="20"/>
          <w:szCs w:val="20"/>
          <w:lang w:val="nl-NL" w:eastAsia="en-US"/>
        </w:rPr>
        <w:t>Nederland concurrerend, bereikbaar,</w:t>
      </w:r>
      <w:r>
        <w:rPr>
          <w:rFonts w:eastAsiaTheme="minorHAnsi" w:cs="Arial"/>
          <w:color w:val="000000" w:themeColor="text1"/>
          <w:sz w:val="20"/>
          <w:szCs w:val="20"/>
          <w:lang w:val="nl-NL" w:eastAsia="en-US"/>
        </w:rPr>
        <w:t xml:space="preserve"> </w:t>
      </w:r>
      <w:r w:rsidRPr="007B52F7">
        <w:rPr>
          <w:rFonts w:eastAsiaTheme="minorHAnsi" w:cs="Arial"/>
          <w:color w:val="000000" w:themeColor="text1"/>
          <w:sz w:val="20"/>
          <w:szCs w:val="20"/>
          <w:lang w:val="nl-NL" w:eastAsia="en-US"/>
        </w:rPr>
        <w:t>leefbaar en veilig</w:t>
      </w:r>
      <w:r>
        <w:rPr>
          <w:rFonts w:eastAsiaTheme="minorHAnsi" w:cs="Arial"/>
          <w:color w:val="000000" w:themeColor="text1"/>
          <w:sz w:val="20"/>
          <w:szCs w:val="20"/>
          <w:lang w:val="nl-NL" w:eastAsia="en-US"/>
        </w:rPr>
        <w:t>.</w:t>
      </w:r>
      <w:r w:rsidRPr="007B52F7">
        <w:rPr>
          <w:sz w:val="20"/>
          <w:szCs w:val="20"/>
          <w:lang w:val="nl-NL"/>
        </w:rPr>
        <w:t xml:space="preserve"> </w:t>
      </w:r>
      <w:proofErr w:type="gramStart"/>
      <w:r w:rsidRPr="009E4499">
        <w:rPr>
          <w:sz w:val="20"/>
          <w:szCs w:val="20"/>
        </w:rPr>
        <w:t>(‘</w:t>
      </w:r>
      <w:r w:rsidRPr="009E4499">
        <w:rPr>
          <w:rFonts w:eastAsiaTheme="minorHAnsi"/>
          <w:i/>
          <w:iCs/>
          <w:sz w:val="20"/>
          <w:szCs w:val="20"/>
          <w:lang w:eastAsia="en-US"/>
        </w:rPr>
        <w:t>National Policy Strategy for Infrastructure and Spatial Planning.</w:t>
      </w:r>
      <w:proofErr w:type="gramEnd"/>
      <w:r w:rsidRPr="009E4499">
        <w:rPr>
          <w:rFonts w:eastAsiaTheme="minorHAnsi"/>
          <w:i/>
          <w:iCs/>
          <w:sz w:val="20"/>
          <w:szCs w:val="20"/>
          <w:lang w:eastAsia="en-US"/>
        </w:rPr>
        <w:t xml:space="preserve"> </w:t>
      </w:r>
      <w:proofErr w:type="gramStart"/>
      <w:r w:rsidRPr="007B52F7">
        <w:rPr>
          <w:rFonts w:eastAsiaTheme="minorHAnsi"/>
          <w:i/>
          <w:iCs/>
          <w:color w:val="000000"/>
          <w:sz w:val="20"/>
          <w:szCs w:val="20"/>
          <w:lang w:eastAsia="en-US"/>
        </w:rPr>
        <w:t>Making the Netherlands competitive, accessible, liveable and safe</w:t>
      </w:r>
      <w:r>
        <w:rPr>
          <w:rFonts w:eastAsiaTheme="minorHAnsi"/>
          <w:i/>
          <w:iCs/>
          <w:color w:val="000000"/>
          <w:sz w:val="20"/>
          <w:szCs w:val="20"/>
          <w:lang w:eastAsia="en-US"/>
        </w:rPr>
        <w:t>’</w:t>
      </w:r>
      <w:r w:rsidRPr="00953305">
        <w:rPr>
          <w:rFonts w:eastAsiaTheme="minorHAnsi"/>
          <w:color w:val="000000"/>
          <w:sz w:val="20"/>
          <w:szCs w:val="20"/>
          <w:lang w:eastAsia="en-US"/>
        </w:rPr>
        <w:t>.</w:t>
      </w:r>
      <w:r>
        <w:rPr>
          <w:rFonts w:eastAsiaTheme="minorHAnsi"/>
          <w:color w:val="000000"/>
          <w:sz w:val="20"/>
          <w:szCs w:val="20"/>
          <w:lang w:eastAsia="en-US"/>
        </w:rPr>
        <w:t>)</w:t>
      </w:r>
      <w:proofErr w:type="gramEnd"/>
      <w:r w:rsidRPr="00953305">
        <w:rPr>
          <w:rFonts w:eastAsiaTheme="minorHAnsi"/>
          <w:color w:val="000000"/>
          <w:sz w:val="20"/>
          <w:szCs w:val="20"/>
          <w:lang w:eastAsia="en-US"/>
        </w:rPr>
        <w:t xml:space="preserve"> </w:t>
      </w:r>
      <w:hyperlink r:id="rId46" w:history="1">
        <w:r w:rsidRPr="004B4C8D">
          <w:rPr>
            <w:rStyle w:val="Hyperlink"/>
            <w:rFonts w:cstheme="minorBidi"/>
            <w:sz w:val="20"/>
            <w:szCs w:val="20"/>
          </w:rPr>
          <w:t>https://www.government.nl/topics/spatial-planning-and-infrastructure/documents/publications/2013/07/24/summary-national-policy-strategy-for-infrastructure-and-spatial-planning</w:t>
        </w:r>
      </w:hyperlink>
      <w:r>
        <w:rPr>
          <w:sz w:val="20"/>
          <w:szCs w:val="20"/>
        </w:rPr>
        <w:t xml:space="preserve"> Accessed 22 April 2020.</w:t>
      </w:r>
    </w:p>
  </w:footnote>
  <w:footnote w:id="124">
    <w:p w14:paraId="4404CFEC" w14:textId="77777777" w:rsidR="00B5570E" w:rsidRPr="00873248" w:rsidRDefault="00B5570E" w:rsidP="005B760B">
      <w:pPr>
        <w:pStyle w:val="FootnoteText"/>
        <w:rPr>
          <w:lang w:val="nl-NL"/>
        </w:rPr>
      </w:pPr>
      <w:r>
        <w:rPr>
          <w:rStyle w:val="FootnoteReference"/>
        </w:rPr>
        <w:footnoteRef/>
      </w:r>
      <w:r w:rsidRPr="00873248">
        <w:rPr>
          <w:lang w:val="nl-NL"/>
        </w:rPr>
        <w:t xml:space="preserve"> </w:t>
      </w:r>
      <w:r w:rsidRPr="00873248">
        <w:rPr>
          <w:lang w:val="nl-NL"/>
        </w:rPr>
        <w:t>Besluit van 29 augustus 2011 houdende vaststelling van voorschriften met betrekking tot het bouwen, gebruiken en slopen van bouwwerken (Bouwbesluit 2012)</w:t>
      </w:r>
      <w:r>
        <w:rPr>
          <w:lang w:val="nl-NL"/>
        </w:rPr>
        <w:t xml:space="preserve"> (‘</w:t>
      </w:r>
      <w:r w:rsidRPr="00826780">
        <w:rPr>
          <w:i/>
          <w:iCs/>
          <w:lang w:val="nl-NL"/>
        </w:rPr>
        <w:t>Building Decree 2012</w:t>
      </w:r>
      <w:r>
        <w:rPr>
          <w:lang w:val="nl-NL"/>
        </w:rPr>
        <w:t>’)</w:t>
      </w:r>
    </w:p>
  </w:footnote>
  <w:footnote w:id="125">
    <w:p w14:paraId="07A969E7" w14:textId="77777777" w:rsidR="00B5570E" w:rsidRPr="00AC2195" w:rsidRDefault="00B5570E" w:rsidP="005B760B">
      <w:pPr>
        <w:pStyle w:val="FootnoteText"/>
      </w:pPr>
      <w:r>
        <w:rPr>
          <w:rStyle w:val="FootnoteReference"/>
        </w:rPr>
        <w:footnoteRef/>
      </w:r>
      <w:r>
        <w:t xml:space="preserve"> </w:t>
      </w:r>
      <w:proofErr w:type="spellStart"/>
      <w:proofErr w:type="gramStart"/>
      <w:r w:rsidRPr="00AC2195">
        <w:t>Woningwet</w:t>
      </w:r>
      <w:proofErr w:type="spellEnd"/>
      <w:r w:rsidRPr="00AC2195">
        <w:t xml:space="preserve"> 2015</w:t>
      </w:r>
      <w:r>
        <w:t xml:space="preserve"> (‘</w:t>
      </w:r>
      <w:r w:rsidRPr="00036CE1">
        <w:rPr>
          <w:i/>
          <w:iCs/>
        </w:rPr>
        <w:t>Housing Act 2015</w:t>
      </w:r>
      <w:r>
        <w:t>’)</w:t>
      </w:r>
      <w:r w:rsidRPr="00AC2195">
        <w:t xml:space="preserve">, </w:t>
      </w:r>
      <w:proofErr w:type="spellStart"/>
      <w:r w:rsidRPr="00AC2195">
        <w:t>Stb</w:t>
      </w:r>
      <w:proofErr w:type="spellEnd"/>
      <w:r w:rsidRPr="00AC2195">
        <w:t>. 2015, 145.</w:t>
      </w:r>
      <w:proofErr w:type="gramEnd"/>
    </w:p>
  </w:footnote>
  <w:footnote w:id="126">
    <w:p w14:paraId="09507C3E" w14:textId="77777777" w:rsidR="00B5570E" w:rsidRPr="00143EDF" w:rsidRDefault="00B5570E" w:rsidP="005B760B">
      <w:r>
        <w:rPr>
          <w:rStyle w:val="FootnoteReference"/>
        </w:rPr>
        <w:footnoteRef/>
      </w:r>
      <w:r w:rsidRPr="00AC2195">
        <w:t xml:space="preserve"> </w:t>
      </w:r>
      <w:proofErr w:type="gramStart"/>
      <w:r w:rsidRPr="00AC2195">
        <w:rPr>
          <w:sz w:val="20"/>
          <w:szCs w:val="20"/>
        </w:rPr>
        <w:t>Article 5.1.3.</w:t>
      </w:r>
      <w:proofErr w:type="gramEnd"/>
      <w:r w:rsidRPr="00AC2195">
        <w:rPr>
          <w:sz w:val="20"/>
          <w:szCs w:val="20"/>
        </w:rPr>
        <w:t xml:space="preserve"> </w:t>
      </w:r>
      <w:r w:rsidRPr="00143EDF">
        <w:rPr>
          <w:sz w:val="20"/>
          <w:szCs w:val="20"/>
        </w:rPr>
        <w:t>Building Decree, section 2:</w:t>
      </w:r>
      <w:r>
        <w:t xml:space="preserve"> </w:t>
      </w:r>
      <w:r>
        <w:rPr>
          <w:sz w:val="20"/>
          <w:szCs w:val="20"/>
        </w:rPr>
        <w:t>T</w:t>
      </w:r>
      <w:r w:rsidRPr="00143EDF">
        <w:rPr>
          <w:sz w:val="20"/>
          <w:szCs w:val="20"/>
        </w:rPr>
        <w:t>he roads and paths referred to in the first paragraph:</w:t>
      </w:r>
      <w:r>
        <w:rPr>
          <w:sz w:val="20"/>
          <w:szCs w:val="20"/>
        </w:rPr>
        <w:t xml:space="preserve"> (</w:t>
      </w:r>
      <w:r w:rsidRPr="00143EDF">
        <w:rPr>
          <w:sz w:val="20"/>
          <w:szCs w:val="20"/>
        </w:rPr>
        <w:t>a</w:t>
      </w:r>
      <w:r>
        <w:rPr>
          <w:sz w:val="20"/>
          <w:szCs w:val="20"/>
        </w:rPr>
        <w:t>)</w:t>
      </w:r>
      <w:r w:rsidRPr="00143EDF">
        <w:rPr>
          <w:sz w:val="20"/>
          <w:szCs w:val="20"/>
        </w:rPr>
        <w:t xml:space="preserve"> must be at least 1.10 meters wide; and</w:t>
      </w:r>
      <w:r>
        <w:rPr>
          <w:sz w:val="20"/>
          <w:szCs w:val="20"/>
        </w:rPr>
        <w:t xml:space="preserve"> (</w:t>
      </w:r>
      <w:r w:rsidRPr="00143EDF">
        <w:rPr>
          <w:sz w:val="20"/>
          <w:szCs w:val="20"/>
        </w:rPr>
        <w:t>b</w:t>
      </w:r>
      <w:r>
        <w:rPr>
          <w:sz w:val="20"/>
          <w:szCs w:val="20"/>
        </w:rPr>
        <w:t xml:space="preserve">) </w:t>
      </w:r>
      <w:r w:rsidRPr="00143EDF">
        <w:rPr>
          <w:sz w:val="20"/>
          <w:szCs w:val="20"/>
        </w:rPr>
        <w:t>must not have a free passage smaller than 0.85 meters; and</w:t>
      </w:r>
      <w:r>
        <w:rPr>
          <w:sz w:val="20"/>
          <w:szCs w:val="20"/>
        </w:rPr>
        <w:t xml:space="preserve"> (</w:t>
      </w:r>
      <w:r w:rsidRPr="00143EDF">
        <w:rPr>
          <w:sz w:val="20"/>
          <w:szCs w:val="20"/>
        </w:rPr>
        <w:t>c</w:t>
      </w:r>
      <w:r>
        <w:rPr>
          <w:sz w:val="20"/>
          <w:szCs w:val="20"/>
        </w:rPr>
        <w:t>)</w:t>
      </w:r>
      <w:r w:rsidRPr="00143EDF">
        <w:rPr>
          <w:sz w:val="20"/>
          <w:szCs w:val="20"/>
        </w:rPr>
        <w:t xml:space="preserve"> may not exceed a height difference of 0.02 m, unless this is done by means of a ramp that complies with the provisions of Articles 2.39 and 2.40 of the Building Decree.</w:t>
      </w:r>
    </w:p>
  </w:footnote>
  <w:footnote w:id="127">
    <w:p w14:paraId="386561E2" w14:textId="77777777" w:rsidR="00B5570E" w:rsidRPr="00B8609A" w:rsidRDefault="00B5570E" w:rsidP="00B8609A">
      <w:pPr>
        <w:pStyle w:val="FootnoteText"/>
      </w:pPr>
      <w:r>
        <w:rPr>
          <w:rStyle w:val="FootnoteReference"/>
        </w:rPr>
        <w:footnoteRef/>
      </w:r>
      <w:r w:rsidRPr="00B8609A">
        <w:t xml:space="preserve"> Ministry of </w:t>
      </w:r>
      <w:r w:rsidRPr="00B8609A">
        <w:rPr>
          <w:lang w:bidi="en-US"/>
        </w:rPr>
        <w:t>Infrastructure and Water Management,</w:t>
      </w:r>
      <w:r w:rsidRPr="00B8609A">
        <w:t xml:space="preserve"> </w:t>
      </w:r>
      <w:proofErr w:type="spellStart"/>
      <w:r w:rsidRPr="00B8609A">
        <w:rPr>
          <w:rStyle w:val="A7"/>
          <w:i/>
          <w:iCs/>
          <w:sz w:val="20"/>
          <w:szCs w:val="20"/>
        </w:rPr>
        <w:t>Veilig</w:t>
      </w:r>
      <w:proofErr w:type="spellEnd"/>
      <w:r w:rsidRPr="00B8609A">
        <w:rPr>
          <w:rStyle w:val="A7"/>
          <w:i/>
          <w:iCs/>
          <w:sz w:val="20"/>
          <w:szCs w:val="20"/>
        </w:rPr>
        <w:t xml:space="preserve"> van </w:t>
      </w:r>
      <w:proofErr w:type="spellStart"/>
      <w:r w:rsidRPr="00B8609A">
        <w:rPr>
          <w:rStyle w:val="A7"/>
          <w:i/>
          <w:iCs/>
          <w:sz w:val="20"/>
          <w:szCs w:val="20"/>
        </w:rPr>
        <w:t>deur</w:t>
      </w:r>
      <w:proofErr w:type="spellEnd"/>
      <w:r w:rsidRPr="00B8609A">
        <w:rPr>
          <w:rStyle w:val="A7"/>
          <w:i/>
          <w:iCs/>
          <w:sz w:val="20"/>
          <w:szCs w:val="20"/>
        </w:rPr>
        <w:t xml:space="preserve"> tot </w:t>
      </w:r>
      <w:proofErr w:type="spellStart"/>
      <w:r w:rsidRPr="00B8609A">
        <w:rPr>
          <w:rStyle w:val="A7"/>
          <w:i/>
          <w:iCs/>
          <w:sz w:val="20"/>
          <w:szCs w:val="20"/>
        </w:rPr>
        <w:t>deur</w:t>
      </w:r>
      <w:proofErr w:type="spellEnd"/>
      <w:r w:rsidRPr="00B8609A">
        <w:rPr>
          <w:rStyle w:val="A7"/>
          <w:i/>
          <w:iCs/>
          <w:sz w:val="20"/>
          <w:szCs w:val="20"/>
        </w:rPr>
        <w:t xml:space="preserve">: </w:t>
      </w:r>
      <w:proofErr w:type="spellStart"/>
      <w:r w:rsidRPr="00B8609A">
        <w:rPr>
          <w:rStyle w:val="A7"/>
          <w:i/>
          <w:iCs/>
          <w:sz w:val="20"/>
          <w:szCs w:val="20"/>
        </w:rPr>
        <w:t>strategisch</w:t>
      </w:r>
      <w:proofErr w:type="spellEnd"/>
      <w:r w:rsidRPr="00B8609A">
        <w:rPr>
          <w:rStyle w:val="A7"/>
          <w:i/>
          <w:iCs/>
          <w:sz w:val="20"/>
          <w:szCs w:val="20"/>
        </w:rPr>
        <w:t xml:space="preserve"> plan </w:t>
      </w:r>
      <w:proofErr w:type="spellStart"/>
      <w:r w:rsidRPr="00B8609A">
        <w:rPr>
          <w:rStyle w:val="A7"/>
          <w:i/>
          <w:iCs/>
          <w:sz w:val="20"/>
          <w:szCs w:val="20"/>
        </w:rPr>
        <w:t>verkeersveiligheid</w:t>
      </w:r>
      <w:proofErr w:type="spellEnd"/>
      <w:r w:rsidRPr="00B8609A">
        <w:rPr>
          <w:rStyle w:val="A7"/>
          <w:i/>
          <w:iCs/>
          <w:sz w:val="20"/>
          <w:szCs w:val="20"/>
        </w:rPr>
        <w:t xml:space="preserve"> 2030</w:t>
      </w:r>
      <w:r w:rsidRPr="00B8609A">
        <w:rPr>
          <w:rStyle w:val="A7"/>
          <w:sz w:val="20"/>
          <w:szCs w:val="20"/>
        </w:rPr>
        <w:t xml:space="preserve"> (‘</w:t>
      </w:r>
      <w:r w:rsidRPr="00B8609A">
        <w:rPr>
          <w:rStyle w:val="A7"/>
          <w:i/>
          <w:iCs/>
          <w:sz w:val="20"/>
          <w:szCs w:val="20"/>
        </w:rPr>
        <w:t>Safety from door to door: strategic road safety plan 2030’</w:t>
      </w:r>
      <w:r w:rsidRPr="00B8609A">
        <w:rPr>
          <w:rStyle w:val="A7"/>
          <w:sz w:val="20"/>
          <w:szCs w:val="20"/>
        </w:rPr>
        <w:t>) (2018).</w:t>
      </w:r>
    </w:p>
  </w:footnote>
  <w:footnote w:id="128">
    <w:p w14:paraId="2468E2A9" w14:textId="77777777" w:rsidR="00B5570E" w:rsidRPr="001211BA" w:rsidRDefault="00B5570E" w:rsidP="00B8609A">
      <w:pPr>
        <w:pStyle w:val="FootnoteText"/>
      </w:pPr>
      <w:r>
        <w:rPr>
          <w:rStyle w:val="FootnoteReference"/>
        </w:rPr>
        <w:footnoteRef/>
      </w:r>
      <w:r>
        <w:t xml:space="preserve"> </w:t>
      </w:r>
      <w:hyperlink r:id="rId47" w:history="1">
        <w:r w:rsidRPr="00B67A72">
          <w:rPr>
            <w:rStyle w:val="Hyperlink"/>
            <w:rFonts w:cstheme="minorBidi"/>
          </w:rPr>
          <w:t>https://ruimtevoorlopen.nl/partners/</w:t>
        </w:r>
      </w:hyperlink>
      <w:r>
        <w:t xml:space="preserve"> Accessed 19 June 2020.</w:t>
      </w:r>
    </w:p>
  </w:footnote>
  <w:footnote w:id="129">
    <w:p w14:paraId="66CC32C7" w14:textId="77777777" w:rsidR="00B5570E" w:rsidRPr="00D33320" w:rsidRDefault="00B5570E" w:rsidP="00B8609A">
      <w:pPr>
        <w:pStyle w:val="FootnoteText"/>
      </w:pPr>
      <w:r>
        <w:rPr>
          <w:rStyle w:val="FootnoteReference"/>
        </w:rPr>
        <w:footnoteRef/>
      </w:r>
      <w:r>
        <w:t xml:space="preserve"> </w:t>
      </w:r>
      <w:hyperlink r:id="rId48" w:history="1">
        <w:r w:rsidRPr="00B67A72">
          <w:rPr>
            <w:rStyle w:val="Hyperlink"/>
            <w:rFonts w:cstheme="minorBidi"/>
          </w:rPr>
          <w:t>https://www.crow.nl/over-crow/nieuws/2019/oktober-(1)/lancering-platform-ruimte-voor-lopen-tijdens-walk2</w:t>
        </w:r>
      </w:hyperlink>
      <w:r>
        <w:t xml:space="preserve"> Accessed 19 June 2020.</w:t>
      </w:r>
    </w:p>
  </w:footnote>
  <w:footnote w:id="130">
    <w:p w14:paraId="42C4DDC6" w14:textId="77777777" w:rsidR="00B5570E" w:rsidRPr="00D33320" w:rsidRDefault="00B5570E" w:rsidP="00B8609A">
      <w:pPr>
        <w:pStyle w:val="FootnoteText"/>
      </w:pPr>
      <w:r>
        <w:rPr>
          <w:rStyle w:val="FootnoteReference"/>
        </w:rPr>
        <w:footnoteRef/>
      </w:r>
      <w:r>
        <w:t xml:space="preserve"> </w:t>
      </w:r>
      <w:hyperlink r:id="rId49" w:history="1">
        <w:r w:rsidRPr="00B67A72">
          <w:rPr>
            <w:rStyle w:val="Hyperlink"/>
            <w:rFonts w:cstheme="minorBidi"/>
          </w:rPr>
          <w:t>https://www.swov.nl/publicatie/voetgangersveiligheid-0</w:t>
        </w:r>
      </w:hyperlink>
      <w:r>
        <w:t xml:space="preserve"> Accessed 19 June 2020.</w:t>
      </w:r>
    </w:p>
  </w:footnote>
  <w:footnote w:id="131">
    <w:p w14:paraId="157CDAD6" w14:textId="77777777" w:rsidR="00B5570E" w:rsidRPr="00D33320" w:rsidRDefault="00B5570E" w:rsidP="00B8609A">
      <w:pPr>
        <w:pStyle w:val="FootnoteText"/>
      </w:pPr>
      <w:r>
        <w:rPr>
          <w:rStyle w:val="FootnoteReference"/>
        </w:rPr>
        <w:footnoteRef/>
      </w:r>
      <w:r>
        <w:t xml:space="preserve"> </w:t>
      </w:r>
      <w:hyperlink r:id="rId50" w:history="1">
        <w:r w:rsidRPr="00B67A72">
          <w:rPr>
            <w:rStyle w:val="Hyperlink"/>
            <w:rFonts w:cstheme="minorBidi"/>
          </w:rPr>
          <w:t>https://www.wandelnet.nl/beleidsdossiers</w:t>
        </w:r>
      </w:hyperlink>
      <w:r>
        <w:t xml:space="preserve"> Accessed 19 June 2020.</w:t>
      </w:r>
    </w:p>
  </w:footnote>
  <w:footnote w:id="132">
    <w:p w14:paraId="71E3F86A" w14:textId="77777777" w:rsidR="00B5570E" w:rsidRPr="00D33320" w:rsidRDefault="00B5570E" w:rsidP="00B8609A">
      <w:pPr>
        <w:pStyle w:val="FootnoteText"/>
      </w:pPr>
      <w:r>
        <w:rPr>
          <w:rStyle w:val="FootnoteReference"/>
        </w:rPr>
        <w:footnoteRef/>
      </w:r>
      <w:r>
        <w:t xml:space="preserve"> </w:t>
      </w:r>
      <w:hyperlink r:id="rId51" w:history="1">
        <w:r w:rsidRPr="00B67A72">
          <w:rPr>
            <w:rStyle w:val="Hyperlink"/>
            <w:rFonts w:cstheme="minorBidi"/>
          </w:rPr>
          <w:t>https://iederin.nl/onze-doelen/vervoer/</w:t>
        </w:r>
      </w:hyperlink>
      <w:r>
        <w:t xml:space="preserve"> Accessed 19 June 2020.</w:t>
      </w:r>
    </w:p>
  </w:footnote>
  <w:footnote w:id="133">
    <w:p w14:paraId="51BDEEF2" w14:textId="77777777" w:rsidR="00B5570E" w:rsidRPr="00D9681D" w:rsidRDefault="00B5570E" w:rsidP="00B8609A">
      <w:pPr>
        <w:pStyle w:val="FootnoteText"/>
      </w:pPr>
      <w:r>
        <w:rPr>
          <w:rStyle w:val="FootnoteReference"/>
        </w:rPr>
        <w:footnoteRef/>
      </w:r>
      <w:r>
        <w:t xml:space="preserve"> </w:t>
      </w:r>
      <w:hyperlink r:id="rId52" w:history="1">
        <w:r w:rsidRPr="00B67A72">
          <w:rPr>
            <w:rStyle w:val="Hyperlink"/>
            <w:rFonts w:cstheme="minorBidi"/>
          </w:rPr>
          <w:t>https://ruimtevoorlopen.nl/agenda-lopen/</w:t>
        </w:r>
      </w:hyperlink>
      <w:r>
        <w:t xml:space="preserve"> Accessed 19 June 2020.</w:t>
      </w:r>
    </w:p>
  </w:footnote>
  <w:footnote w:id="134">
    <w:p w14:paraId="006593E3" w14:textId="32102F53" w:rsidR="00B5570E" w:rsidRPr="00E1778A" w:rsidRDefault="00B5570E">
      <w:pPr>
        <w:pStyle w:val="FootnoteText"/>
      </w:pPr>
      <w:r>
        <w:rPr>
          <w:rStyle w:val="FootnoteReference"/>
        </w:rPr>
        <w:footnoteRef/>
      </w:r>
      <w:r>
        <w:t xml:space="preserve"> </w:t>
      </w:r>
      <w:hyperlink r:id="rId53" w:history="1">
        <w:r w:rsidRPr="00827214">
          <w:rPr>
            <w:rStyle w:val="Hyperlink"/>
            <w:rFonts w:cstheme="minorBidi"/>
          </w:rPr>
          <w:t>https://www.crow.nl/english-summary</w:t>
        </w:r>
      </w:hyperlink>
      <w:r>
        <w:t xml:space="preserve"> Accessed 17 July 2020.</w:t>
      </w:r>
    </w:p>
  </w:footnote>
  <w:footnote w:id="135">
    <w:p w14:paraId="05E4EB77" w14:textId="7460ACCC" w:rsidR="00B5570E" w:rsidRPr="00E1778A" w:rsidRDefault="00B5570E">
      <w:pPr>
        <w:pStyle w:val="FootnoteText"/>
      </w:pPr>
      <w:r>
        <w:rPr>
          <w:rStyle w:val="FootnoteReference"/>
        </w:rPr>
        <w:footnoteRef/>
      </w:r>
      <w:r>
        <w:t xml:space="preserve"> </w:t>
      </w:r>
      <w:hyperlink r:id="rId54" w:history="1">
        <w:r w:rsidRPr="00827214">
          <w:rPr>
            <w:rStyle w:val="Hyperlink"/>
            <w:rFonts w:cstheme="minorBidi"/>
          </w:rPr>
          <w:t>https://www.crow.nl/publicaties/asvv-2012</w:t>
        </w:r>
      </w:hyperlink>
      <w:r>
        <w:t xml:space="preserve"> Accessed 17 July 2020.</w:t>
      </w:r>
    </w:p>
  </w:footnote>
  <w:footnote w:id="136">
    <w:p w14:paraId="753A953D" w14:textId="7AE58C03" w:rsidR="00B5570E" w:rsidRPr="00114345" w:rsidRDefault="00B5570E">
      <w:pPr>
        <w:pStyle w:val="FootnoteText"/>
      </w:pPr>
      <w:r>
        <w:rPr>
          <w:rStyle w:val="FootnoteReference"/>
        </w:rPr>
        <w:footnoteRef/>
      </w:r>
      <w:r>
        <w:t xml:space="preserve"> </w:t>
      </w:r>
      <w:r w:rsidRPr="00114345">
        <w:t>A</w:t>
      </w:r>
      <w:r>
        <w:t>dministrative Jurisdiction Division Council of State, 8 July 2009, ECLI</w:t>
      </w:r>
      <w:proofErr w:type="gramStart"/>
      <w:r>
        <w:t>:NL:RVS:2009:BJ1901</w:t>
      </w:r>
      <w:proofErr w:type="gramEnd"/>
      <w:r>
        <w:t>, para 2.4.5.</w:t>
      </w:r>
    </w:p>
  </w:footnote>
  <w:footnote w:id="137">
    <w:p w14:paraId="6FBB0846" w14:textId="77777777" w:rsidR="00B5570E" w:rsidRPr="009E4499" w:rsidRDefault="00B5570E" w:rsidP="005B760B">
      <w:pPr>
        <w:pStyle w:val="FootnoteText"/>
        <w:rPr>
          <w:lang w:val="it-IT"/>
        </w:rPr>
      </w:pPr>
      <w:r>
        <w:rPr>
          <w:rStyle w:val="FootnoteReference"/>
        </w:rPr>
        <w:footnoteRef/>
      </w:r>
      <w:r w:rsidRPr="009E4499">
        <w:rPr>
          <w:lang w:val="it-IT"/>
        </w:rPr>
        <w:t xml:space="preserve"> </w:t>
      </w:r>
      <w:r w:rsidRPr="009E4499">
        <w:rPr>
          <w:i/>
          <w:iCs/>
          <w:lang w:val="it-IT"/>
        </w:rPr>
        <w:t>Parliamentary Documents I</w:t>
      </w:r>
      <w:r w:rsidRPr="009E4499">
        <w:rPr>
          <w:lang w:val="it-IT"/>
        </w:rPr>
        <w:t>, 2014-2015, 33 962 no. A.</w:t>
      </w:r>
    </w:p>
  </w:footnote>
  <w:footnote w:id="138">
    <w:p w14:paraId="753956A5" w14:textId="77777777" w:rsidR="00B5570E" w:rsidRPr="00004BE7" w:rsidRDefault="00B5570E" w:rsidP="005B760B">
      <w:pPr>
        <w:pStyle w:val="Default"/>
        <w:rPr>
          <w:rFonts w:ascii="Arial" w:hAnsi="Arial" w:cs="Arial"/>
          <w:sz w:val="20"/>
          <w:szCs w:val="20"/>
          <w:lang w:val="en-GB"/>
        </w:rPr>
      </w:pPr>
      <w:r>
        <w:rPr>
          <w:rStyle w:val="FootnoteReference"/>
        </w:rPr>
        <w:footnoteRef/>
      </w:r>
      <w:r w:rsidRPr="00004BE7">
        <w:rPr>
          <w:lang w:val="en-GB"/>
        </w:rPr>
        <w:t xml:space="preserve"> </w:t>
      </w:r>
      <w:proofErr w:type="gramStart"/>
      <w:r w:rsidRPr="00004BE7">
        <w:rPr>
          <w:rFonts w:ascii="Arial" w:hAnsi="Arial" w:cs="Arial"/>
          <w:sz w:val="20"/>
          <w:szCs w:val="20"/>
          <w:lang w:val="en-GB"/>
        </w:rPr>
        <w:t>Letter from the Minister for Building and Environment, 1 April 2020, ref no. 2020-0000174160</w:t>
      </w:r>
      <w:r>
        <w:rPr>
          <w:rFonts w:ascii="Arial" w:hAnsi="Arial" w:cs="Arial"/>
          <w:sz w:val="20"/>
          <w:szCs w:val="20"/>
          <w:lang w:val="en-GB"/>
        </w:rPr>
        <w:t>.</w:t>
      </w:r>
      <w:proofErr w:type="gramEnd"/>
    </w:p>
  </w:footnote>
  <w:footnote w:id="139">
    <w:p w14:paraId="33BDE377" w14:textId="11BD46A1" w:rsidR="00B5570E" w:rsidRPr="00C12AEE" w:rsidRDefault="00B5570E" w:rsidP="005B760B">
      <w:pPr>
        <w:pStyle w:val="FootnoteText"/>
      </w:pPr>
      <w:r>
        <w:rPr>
          <w:rStyle w:val="FootnoteReference"/>
        </w:rPr>
        <w:footnoteRef/>
      </w:r>
      <w:r>
        <w:t xml:space="preserve"> Article 2.1.3 and article 2.28 (f) of the Environment and Planning Bill. </w:t>
      </w:r>
    </w:p>
  </w:footnote>
  <w:footnote w:id="140">
    <w:p w14:paraId="16CC18E3" w14:textId="77777777" w:rsidR="00B5570E" w:rsidRPr="006D269E" w:rsidRDefault="00B5570E" w:rsidP="005B760B">
      <w:pPr>
        <w:pStyle w:val="FootnoteText"/>
        <w:rPr>
          <w:lang w:val="nl-NL"/>
        </w:rPr>
      </w:pPr>
      <w:r>
        <w:rPr>
          <w:rStyle w:val="FootnoteReference"/>
        </w:rPr>
        <w:footnoteRef/>
      </w:r>
      <w:r w:rsidRPr="006D269E">
        <w:rPr>
          <w:lang w:val="nl-NL"/>
        </w:rPr>
        <w:t xml:space="preserve"> </w:t>
      </w:r>
      <w:r w:rsidRPr="006D269E">
        <w:rPr>
          <w:rFonts w:cs="Arial"/>
          <w:szCs w:val="20"/>
          <w:lang w:val="nl-NL"/>
        </w:rPr>
        <w:t xml:space="preserve">Amendment-Dik-Faber/Albert de Vries, </w:t>
      </w:r>
      <w:r w:rsidRPr="006D269E">
        <w:rPr>
          <w:i/>
          <w:iCs/>
          <w:lang w:val="nl-NL"/>
        </w:rPr>
        <w:t>Parliamentary Documents II</w:t>
      </w:r>
      <w:r w:rsidRPr="006D269E">
        <w:rPr>
          <w:lang w:val="nl-NL"/>
        </w:rPr>
        <w:t>, 2014-2015, 33 962 no. 157.</w:t>
      </w:r>
    </w:p>
  </w:footnote>
  <w:footnote w:id="141">
    <w:p w14:paraId="2EE368F9" w14:textId="77777777" w:rsidR="00B5570E" w:rsidRPr="005E1984" w:rsidRDefault="00B5570E" w:rsidP="005B760B">
      <w:pPr>
        <w:pStyle w:val="FootnoteText"/>
        <w:rPr>
          <w:lang w:val="nl-NL"/>
        </w:rPr>
      </w:pPr>
      <w:r>
        <w:rPr>
          <w:rStyle w:val="FootnoteReference"/>
        </w:rPr>
        <w:footnoteRef/>
      </w:r>
      <w:r w:rsidRPr="005E1984">
        <w:rPr>
          <w:lang w:val="nl-NL"/>
        </w:rPr>
        <w:t xml:space="preserve"> </w:t>
      </w:r>
      <w:r>
        <w:rPr>
          <w:lang w:val="nl-NL"/>
        </w:rPr>
        <w:t xml:space="preserve">Besluit </w:t>
      </w:r>
      <w:r>
        <w:rPr>
          <w:lang w:val="nl-NL"/>
        </w:rPr>
        <w:t xml:space="preserve">kwaliteit leefomgeving, Stb. 2018, 292.  </w:t>
      </w:r>
    </w:p>
  </w:footnote>
  <w:footnote w:id="142">
    <w:p w14:paraId="653EEE3F" w14:textId="77777777" w:rsidR="00B5570E" w:rsidRPr="002E443A" w:rsidRDefault="00B5570E" w:rsidP="005B760B">
      <w:pPr>
        <w:pStyle w:val="FootnoteText"/>
      </w:pPr>
      <w:r>
        <w:rPr>
          <w:rStyle w:val="FootnoteReference"/>
        </w:rPr>
        <w:footnoteRef/>
      </w:r>
      <w:r w:rsidRPr="002E443A">
        <w:rPr>
          <w:lang w:val="nl-NL"/>
        </w:rPr>
        <w:t xml:space="preserve"> </w:t>
      </w:r>
      <w:r w:rsidRPr="002E443A">
        <w:rPr>
          <w:lang w:val="nl-NL"/>
        </w:rPr>
        <w:t xml:space="preserve">Besluit </w:t>
      </w:r>
      <w:r w:rsidRPr="002E443A">
        <w:rPr>
          <w:lang w:val="nl-NL"/>
        </w:rPr>
        <w:t xml:space="preserve">kwaliteit leefomgeving, explanatory note 8.1.10. </w:t>
      </w:r>
      <w:proofErr w:type="gramStart"/>
      <w:r w:rsidRPr="002E443A">
        <w:t>Promotion of accessibility of</w:t>
      </w:r>
      <w:r>
        <w:t xml:space="preserve"> </w:t>
      </w:r>
      <w:r w:rsidRPr="002E443A">
        <w:t>public space fo</w:t>
      </w:r>
      <w:r>
        <w:t>r persons.</w:t>
      </w:r>
      <w:proofErr w:type="gramEnd"/>
      <w:r>
        <w:t xml:space="preserve"> The text was included after the adoption of parliamentary motion-</w:t>
      </w:r>
      <w:proofErr w:type="spellStart"/>
      <w:r>
        <w:t>Çegerek</w:t>
      </w:r>
      <w:proofErr w:type="spellEnd"/>
      <w:r>
        <w:t xml:space="preserve"> of</w:t>
      </w:r>
      <w:r w:rsidRPr="002E443A">
        <w:rPr>
          <w:rFonts w:cs="Arial"/>
          <w:szCs w:val="20"/>
        </w:rPr>
        <w:t xml:space="preserve"> 19 December 2016,</w:t>
      </w:r>
      <w:r>
        <w:rPr>
          <w:rFonts w:cs="Arial"/>
          <w:szCs w:val="20"/>
        </w:rPr>
        <w:t xml:space="preserve"> </w:t>
      </w:r>
      <w:r w:rsidRPr="002E443A">
        <w:rPr>
          <w:rFonts w:cs="Arial"/>
          <w:i/>
          <w:iCs/>
          <w:szCs w:val="20"/>
        </w:rPr>
        <w:t>Parliamentary Documents</w:t>
      </w:r>
      <w:r>
        <w:rPr>
          <w:rFonts w:cs="Arial"/>
          <w:szCs w:val="20"/>
        </w:rPr>
        <w:t xml:space="preserve"> II,</w:t>
      </w:r>
      <w:r w:rsidRPr="002E443A">
        <w:rPr>
          <w:rFonts w:eastAsia="Times New Roman" w:cs="Arial"/>
          <w:szCs w:val="20"/>
          <w:lang w:eastAsia="nl-NL"/>
        </w:rPr>
        <w:t xml:space="preserve"> 2016-17, 33 118, n</w:t>
      </w:r>
      <w:r>
        <w:rPr>
          <w:rFonts w:eastAsia="Times New Roman" w:cs="Arial"/>
          <w:szCs w:val="20"/>
          <w:lang w:eastAsia="nl-NL"/>
        </w:rPr>
        <w:t>o.</w:t>
      </w:r>
      <w:r w:rsidRPr="002E443A">
        <w:rPr>
          <w:rFonts w:eastAsia="Times New Roman" w:cs="Arial"/>
          <w:szCs w:val="20"/>
          <w:lang w:eastAsia="nl-NL"/>
        </w:rPr>
        <w:t xml:space="preserve"> 56</w:t>
      </w:r>
      <w:r>
        <w:rPr>
          <w:rFonts w:eastAsia="Times New Roman" w:cs="Arial"/>
          <w:szCs w:val="20"/>
          <w:lang w:eastAsia="nl-NL"/>
        </w:rPr>
        <w:t>.</w:t>
      </w:r>
      <w:r>
        <w:t xml:space="preserve"> </w:t>
      </w:r>
    </w:p>
  </w:footnote>
  <w:footnote w:id="143">
    <w:p w14:paraId="3A46E644" w14:textId="0A5FCC26" w:rsidR="00B5570E" w:rsidRPr="00F85EBE" w:rsidRDefault="00B5570E" w:rsidP="005B760B">
      <w:pPr>
        <w:pStyle w:val="FootnoteText"/>
      </w:pPr>
      <w:r>
        <w:rPr>
          <w:rStyle w:val="FootnoteReference"/>
        </w:rPr>
        <w:footnoteRef/>
      </w:r>
      <w:r w:rsidRPr="002E443A">
        <w:t xml:space="preserve"> PBT Consult: </w:t>
      </w:r>
      <w:proofErr w:type="spellStart"/>
      <w:r w:rsidRPr="002E443A">
        <w:t>Integrale</w:t>
      </w:r>
      <w:proofErr w:type="spellEnd"/>
      <w:r w:rsidRPr="002E443A">
        <w:t xml:space="preserve"> </w:t>
      </w:r>
      <w:proofErr w:type="spellStart"/>
      <w:r w:rsidRPr="002E443A">
        <w:t>Standaard</w:t>
      </w:r>
      <w:proofErr w:type="spellEnd"/>
      <w:r w:rsidRPr="002E443A">
        <w:t xml:space="preserve"> </w:t>
      </w:r>
      <w:proofErr w:type="spellStart"/>
      <w:r w:rsidRPr="002E443A">
        <w:t>Toegankelijkheid</w:t>
      </w:r>
      <w:proofErr w:type="spellEnd"/>
      <w:r w:rsidRPr="002E443A">
        <w:t xml:space="preserve"> 2018 </w:t>
      </w:r>
      <w:proofErr w:type="gramStart"/>
      <w:r w:rsidRPr="002E443A">
        <w:t>( ‘</w:t>
      </w:r>
      <w:r w:rsidRPr="002E443A">
        <w:rPr>
          <w:i/>
          <w:iCs/>
        </w:rPr>
        <w:t>Integrated</w:t>
      </w:r>
      <w:proofErr w:type="gramEnd"/>
      <w:r w:rsidRPr="002E443A">
        <w:rPr>
          <w:i/>
          <w:iCs/>
        </w:rPr>
        <w:t xml:space="preserve"> Accessibility Standard 2018</w:t>
      </w:r>
      <w:r w:rsidRPr="002E443A">
        <w:t>’)</w:t>
      </w:r>
      <w:r>
        <w:t xml:space="preserve"> (PBT Consult 2018)</w:t>
      </w:r>
      <w:r w:rsidRPr="002E443A">
        <w:t xml:space="preserve">. </w:t>
      </w:r>
      <w:r w:rsidRPr="00F85EBE">
        <w:t>Th</w:t>
      </w:r>
      <w:r>
        <w:t>is</w:t>
      </w:r>
      <w:r w:rsidRPr="00F85EBE">
        <w:t xml:space="preserve"> Standard contains international norms as agreed in ISO21542</w:t>
      </w:r>
      <w:r>
        <w:t xml:space="preserve">. </w:t>
      </w:r>
      <w:hyperlink r:id="rId55" w:history="1">
        <w:r w:rsidRPr="00AC3CAB">
          <w:rPr>
            <w:rStyle w:val="Hyperlink"/>
            <w:rFonts w:cstheme="minorBidi"/>
          </w:rPr>
          <w:t>https://standards.globalspec.com/std/10297376/NEN-ISO%2021542</w:t>
        </w:r>
      </w:hyperlink>
      <w:r>
        <w:t xml:space="preserve"> Accessed 22 April 2020.</w:t>
      </w:r>
    </w:p>
  </w:footnote>
  <w:footnote w:id="144">
    <w:p w14:paraId="4CFC9073" w14:textId="48866AD3" w:rsidR="00B5570E" w:rsidRPr="006A01E2" w:rsidRDefault="00B5570E" w:rsidP="005B760B">
      <w:r>
        <w:rPr>
          <w:rStyle w:val="FootnoteReference"/>
        </w:rPr>
        <w:footnoteRef/>
      </w:r>
      <w:r>
        <w:t xml:space="preserve"> </w:t>
      </w:r>
      <w:r w:rsidRPr="00C64CB8">
        <w:rPr>
          <w:sz w:val="20"/>
          <w:szCs w:val="20"/>
        </w:rPr>
        <w:t xml:space="preserve">Ministry of </w:t>
      </w:r>
      <w:r>
        <w:rPr>
          <w:sz w:val="20"/>
          <w:szCs w:val="20"/>
        </w:rPr>
        <w:t xml:space="preserve">the Interior </w:t>
      </w:r>
      <w:r w:rsidRPr="00C64CB8">
        <w:rPr>
          <w:sz w:val="20"/>
          <w:szCs w:val="20"/>
        </w:rPr>
        <w:t xml:space="preserve">and Kingdom Relations, </w:t>
      </w:r>
      <w:proofErr w:type="spellStart"/>
      <w:r>
        <w:rPr>
          <w:sz w:val="20"/>
          <w:szCs w:val="20"/>
        </w:rPr>
        <w:t>Toelichting</w:t>
      </w:r>
      <w:proofErr w:type="spellEnd"/>
      <w:r>
        <w:rPr>
          <w:sz w:val="20"/>
          <w:szCs w:val="20"/>
        </w:rPr>
        <w:t xml:space="preserve"> </w:t>
      </w:r>
      <w:proofErr w:type="spellStart"/>
      <w:r>
        <w:rPr>
          <w:sz w:val="20"/>
          <w:szCs w:val="20"/>
        </w:rPr>
        <w:t>Ontwerp</w:t>
      </w:r>
      <w:proofErr w:type="spellEnd"/>
      <w:r>
        <w:rPr>
          <w:sz w:val="20"/>
          <w:szCs w:val="20"/>
        </w:rPr>
        <w:t xml:space="preserve"> </w:t>
      </w:r>
      <w:proofErr w:type="spellStart"/>
      <w:r>
        <w:rPr>
          <w:sz w:val="20"/>
          <w:szCs w:val="20"/>
        </w:rPr>
        <w:t>Nationale</w:t>
      </w:r>
      <w:proofErr w:type="spellEnd"/>
      <w:r>
        <w:rPr>
          <w:sz w:val="20"/>
          <w:szCs w:val="20"/>
        </w:rPr>
        <w:t xml:space="preserve"> </w:t>
      </w:r>
      <w:proofErr w:type="spellStart"/>
      <w:r>
        <w:rPr>
          <w:sz w:val="20"/>
          <w:szCs w:val="20"/>
        </w:rPr>
        <w:t>Omgevingsvisie</w:t>
      </w:r>
      <w:proofErr w:type="spellEnd"/>
      <w:r>
        <w:rPr>
          <w:sz w:val="20"/>
          <w:szCs w:val="20"/>
        </w:rPr>
        <w:t>, (‘</w:t>
      </w:r>
      <w:r w:rsidRPr="00227B5B">
        <w:rPr>
          <w:i/>
          <w:sz w:val="20"/>
          <w:szCs w:val="20"/>
        </w:rPr>
        <w:t>Explanatory note</w:t>
      </w:r>
      <w:r>
        <w:rPr>
          <w:sz w:val="20"/>
          <w:szCs w:val="20"/>
        </w:rPr>
        <w:t xml:space="preserve"> </w:t>
      </w:r>
      <w:r w:rsidRPr="00227B5B">
        <w:rPr>
          <w:rFonts w:cs="Arial"/>
          <w:i/>
          <w:sz w:val="20"/>
          <w:szCs w:val="20"/>
        </w:rPr>
        <w:t>Draft National Strategy on Spatial Planning and the Environment’ (2019)</w:t>
      </w:r>
      <w:r w:rsidRPr="00C64CB8">
        <w:rPr>
          <w:rFonts w:cs="Arial"/>
          <w:sz w:val="20"/>
          <w:szCs w:val="20"/>
        </w:rPr>
        <w:t xml:space="preserve">, </w:t>
      </w:r>
      <w:r w:rsidRPr="00C64CB8">
        <w:rPr>
          <w:sz w:val="20"/>
          <w:szCs w:val="20"/>
        </w:rPr>
        <w:t xml:space="preserve">p. </w:t>
      </w:r>
      <w:r>
        <w:rPr>
          <w:sz w:val="20"/>
          <w:szCs w:val="20"/>
        </w:rPr>
        <w:t>29</w:t>
      </w:r>
      <w:r w:rsidRPr="00C64CB8">
        <w:rPr>
          <w:sz w:val="20"/>
          <w:szCs w:val="20"/>
        </w:rPr>
        <w:t>.</w:t>
      </w:r>
      <w:r>
        <w:rPr>
          <w:sz w:val="20"/>
          <w:szCs w:val="20"/>
        </w:rPr>
        <w:t xml:space="preserve"> Version in English:</w:t>
      </w:r>
      <w:r>
        <w:rPr>
          <w:rFonts w:cs="Arial"/>
          <w:sz w:val="20"/>
          <w:szCs w:val="20"/>
        </w:rPr>
        <w:t xml:space="preserve"> </w:t>
      </w:r>
      <w:hyperlink r:id="rId56" w:history="1">
        <w:r w:rsidRPr="006A01E2">
          <w:rPr>
            <w:rStyle w:val="Hyperlink"/>
            <w:rFonts w:cs="Arial"/>
            <w:sz w:val="20"/>
            <w:szCs w:val="20"/>
          </w:rPr>
          <w:t>https://www.denationaleomgevingsvisie.nl/publicaties/english+versions/default.aspx</w:t>
        </w:r>
      </w:hyperlink>
      <w:r w:rsidRPr="006A01E2">
        <w:rPr>
          <w:rStyle w:val="Hyperlink"/>
          <w:rFonts w:cs="Arial"/>
          <w:sz w:val="20"/>
          <w:szCs w:val="20"/>
        </w:rPr>
        <w:t>,</w:t>
      </w:r>
      <w:r w:rsidRPr="006A01E2">
        <w:t xml:space="preserve"> </w:t>
      </w:r>
      <w:r w:rsidRPr="006A01E2">
        <w:rPr>
          <w:sz w:val="20"/>
          <w:szCs w:val="20"/>
        </w:rPr>
        <w:t>p.48.</w:t>
      </w:r>
    </w:p>
  </w:footnote>
  <w:footnote w:id="145">
    <w:p w14:paraId="1475A63A" w14:textId="38A7C744" w:rsidR="00B5570E" w:rsidRPr="004912CE" w:rsidRDefault="00B5570E">
      <w:pPr>
        <w:pStyle w:val="FootnoteText"/>
        <w:rPr>
          <w:lang w:val="nl-NL"/>
        </w:rPr>
      </w:pPr>
      <w:r>
        <w:rPr>
          <w:rStyle w:val="FootnoteReference"/>
        </w:rPr>
        <w:footnoteRef/>
      </w:r>
      <w:r>
        <w:t xml:space="preserve"> E.g. s</w:t>
      </w:r>
      <w:r w:rsidRPr="006A01E2">
        <w:t xml:space="preserve">ee: Municipality of Almere, </w:t>
      </w:r>
      <w:proofErr w:type="spellStart"/>
      <w:r w:rsidRPr="006A01E2">
        <w:t>Omgevingsvisie</w:t>
      </w:r>
      <w:proofErr w:type="spellEnd"/>
      <w:r w:rsidRPr="006A01E2">
        <w:t xml:space="preserve"> Almere. </w:t>
      </w:r>
      <w:r w:rsidRPr="009E4499">
        <w:rPr>
          <w:lang w:val="nl-NL"/>
        </w:rPr>
        <w:t>Structuurvisie Almere conform Wro. (2017). (‘</w:t>
      </w:r>
      <w:r w:rsidRPr="009E4499">
        <w:rPr>
          <w:i/>
          <w:iCs/>
          <w:lang w:val="nl-NL"/>
        </w:rPr>
        <w:t xml:space="preserve">Environmental Vision Almere. </w:t>
      </w:r>
      <w:r w:rsidRPr="006A01E2">
        <w:rPr>
          <w:i/>
          <w:iCs/>
          <w:lang w:val="nl-NL"/>
        </w:rPr>
        <w:t>Structural vision in accordance with Wro, 2017</w:t>
      </w:r>
      <w:r w:rsidRPr="006A01E2">
        <w:rPr>
          <w:lang w:val="nl-NL"/>
        </w:rPr>
        <w:t>’), p. 8.</w:t>
      </w:r>
    </w:p>
  </w:footnote>
  <w:footnote w:id="146">
    <w:p w14:paraId="27D5AD65" w14:textId="77777777" w:rsidR="00B5570E" w:rsidRPr="00C842C8" w:rsidRDefault="00B5570E" w:rsidP="008D1B5D">
      <w:pPr>
        <w:autoSpaceDE w:val="0"/>
        <w:autoSpaceDN w:val="0"/>
        <w:adjustRightInd w:val="0"/>
        <w:rPr>
          <w:lang w:val="nl-NL"/>
        </w:rPr>
      </w:pPr>
      <w:r>
        <w:rPr>
          <w:rStyle w:val="FootnoteReference"/>
        </w:rPr>
        <w:footnoteRef/>
      </w:r>
      <w:r w:rsidRPr="00C842C8">
        <w:rPr>
          <w:lang w:val="nl-NL"/>
        </w:rPr>
        <w:t xml:space="preserve"> </w:t>
      </w:r>
      <w:r w:rsidRPr="007337B7">
        <w:rPr>
          <w:sz w:val="20"/>
          <w:szCs w:val="20"/>
          <w:lang w:val="nl-NL"/>
        </w:rPr>
        <w:t xml:space="preserve">College </w:t>
      </w:r>
      <w:r w:rsidRPr="007337B7">
        <w:rPr>
          <w:sz w:val="20"/>
          <w:szCs w:val="20"/>
          <w:lang w:val="nl-NL"/>
        </w:rPr>
        <w:t>voor de Rechten van de Mens:</w:t>
      </w:r>
      <w:r>
        <w:rPr>
          <w:sz w:val="20"/>
          <w:szCs w:val="20"/>
          <w:lang w:val="nl-NL"/>
        </w:rPr>
        <w:t xml:space="preserve"> </w:t>
      </w:r>
      <w:r w:rsidRPr="00C842C8">
        <w:rPr>
          <w:rFonts w:eastAsiaTheme="minorHAnsi" w:cs="Arial"/>
          <w:sz w:val="20"/>
          <w:szCs w:val="20"/>
          <w:lang w:val="nl-NL" w:eastAsia="en-US"/>
        </w:rPr>
        <w:t xml:space="preserve">Advies </w:t>
      </w:r>
      <w:r>
        <w:rPr>
          <w:rFonts w:eastAsiaTheme="minorHAnsi" w:cs="Arial"/>
          <w:sz w:val="20"/>
          <w:szCs w:val="20"/>
          <w:lang w:val="nl-NL" w:eastAsia="en-US"/>
        </w:rPr>
        <w:t>o</w:t>
      </w:r>
      <w:r w:rsidRPr="00C842C8">
        <w:rPr>
          <w:rFonts w:eastAsiaTheme="minorHAnsi" w:cs="Arial"/>
          <w:sz w:val="20"/>
          <w:szCs w:val="20"/>
          <w:lang w:val="nl-NL" w:eastAsia="en-US"/>
        </w:rPr>
        <w:t>ver de concepten van de Goedkeuringswet en Uitvoeringswet bij het VN-Verdrag inzake de rechten van personen met een handicap</w:t>
      </w:r>
      <w:r>
        <w:rPr>
          <w:rFonts w:eastAsiaTheme="minorHAnsi" w:cs="Arial"/>
          <w:sz w:val="20"/>
          <w:szCs w:val="20"/>
          <w:lang w:val="nl-NL" w:eastAsia="en-US"/>
        </w:rPr>
        <w:t xml:space="preserve"> (2013)</w:t>
      </w:r>
      <w:r w:rsidRPr="00C842C8">
        <w:rPr>
          <w:sz w:val="20"/>
          <w:szCs w:val="20"/>
          <w:lang w:val="nl-NL"/>
        </w:rPr>
        <w:t xml:space="preserve"> </w:t>
      </w:r>
      <w:hyperlink r:id="rId57" w:history="1">
        <w:r w:rsidRPr="00C842C8">
          <w:rPr>
            <w:rStyle w:val="Hyperlink"/>
            <w:rFonts w:cstheme="minorBidi"/>
            <w:sz w:val="20"/>
            <w:szCs w:val="20"/>
            <w:lang w:val="nl-NL"/>
          </w:rPr>
          <w:t>https://mensenrechten.nl/nl/publicatie/18564</w:t>
        </w:r>
      </w:hyperlink>
      <w:r w:rsidRPr="00C842C8">
        <w:rPr>
          <w:lang w:val="nl-NL"/>
        </w:rPr>
        <w:t xml:space="preserve"> </w:t>
      </w:r>
      <w:r w:rsidRPr="00C842C8">
        <w:rPr>
          <w:sz w:val="20"/>
          <w:szCs w:val="20"/>
          <w:lang w:val="nl-NL"/>
        </w:rPr>
        <w:t>Accessed 15 June 2020.</w:t>
      </w:r>
    </w:p>
  </w:footnote>
  <w:footnote w:id="147">
    <w:p w14:paraId="4B69CAAA" w14:textId="77777777" w:rsidR="00B5570E" w:rsidRPr="004A41B9" w:rsidRDefault="00B5570E" w:rsidP="008D1B5D">
      <w:pPr>
        <w:pStyle w:val="FootnoteText"/>
      </w:pPr>
      <w:r>
        <w:rPr>
          <w:rStyle w:val="FootnoteReference"/>
        </w:rPr>
        <w:footnoteRef/>
      </w:r>
      <w:r w:rsidRPr="00C842C8">
        <w:rPr>
          <w:lang w:val="nl-NL"/>
        </w:rPr>
        <w:t xml:space="preserve"> </w:t>
      </w:r>
      <w:r>
        <w:rPr>
          <w:rFonts w:eastAsiaTheme="minorHAnsi" w:cs="Arial"/>
          <w:szCs w:val="20"/>
          <w:lang w:val="nl-NL" w:eastAsia="en-US"/>
        </w:rPr>
        <w:t xml:space="preserve">Kiesraad, </w:t>
      </w:r>
      <w:r w:rsidRPr="007337B7">
        <w:rPr>
          <w:rFonts w:eastAsiaTheme="minorHAnsi" w:cs="Arial"/>
          <w:szCs w:val="20"/>
          <w:lang w:val="nl-NL" w:eastAsia="en-US"/>
        </w:rPr>
        <w:t>Consultatie Goedkeuringswet en Uitvoeringswet bij VN-verdrag inzake de rechten van personen met een handicap</w:t>
      </w:r>
      <w:r>
        <w:rPr>
          <w:rFonts w:eastAsiaTheme="minorHAnsi" w:cs="Arial"/>
          <w:szCs w:val="20"/>
          <w:lang w:val="nl-NL" w:eastAsia="en-US"/>
        </w:rPr>
        <w:t xml:space="preserve"> (2013).</w:t>
      </w:r>
      <w:r w:rsidRPr="007337B7">
        <w:rPr>
          <w:lang w:val="nl-NL"/>
        </w:rPr>
        <w:t xml:space="preserve"> </w:t>
      </w:r>
      <w:r w:rsidR="00043F52">
        <w:fldChar w:fldCharType="begin"/>
      </w:r>
      <w:r w:rsidR="00043F52">
        <w:instrText xml:space="preserve"> HYPERLINK "https://www.kiesraad.nl/adviezen-en-publicaties/adviezen/2013/08/27/meer-aandacht-voor-kiezers-met-een-handicap" </w:instrText>
      </w:r>
      <w:r w:rsidR="00043F52">
        <w:fldChar w:fldCharType="separate"/>
      </w:r>
      <w:r w:rsidRPr="004A41B9">
        <w:rPr>
          <w:rStyle w:val="Hyperlink"/>
          <w:rFonts w:cstheme="minorBidi"/>
        </w:rPr>
        <w:t>https://www.kiesraad.nl/adviezen-en-publicaties/adviezen/2013/08/27/meer-aandacht-voor-kiezers-met-een-handicap</w:t>
      </w:r>
      <w:r w:rsidR="00043F52">
        <w:rPr>
          <w:rStyle w:val="Hyperlink"/>
          <w:rFonts w:cstheme="minorBidi"/>
        </w:rPr>
        <w:fldChar w:fldCharType="end"/>
      </w:r>
      <w:r w:rsidRPr="004A41B9">
        <w:t xml:space="preserve"> </w:t>
      </w:r>
    </w:p>
  </w:footnote>
  <w:footnote w:id="148">
    <w:p w14:paraId="765E564D" w14:textId="777A95CA" w:rsidR="00B5570E" w:rsidRPr="00C842C8" w:rsidRDefault="00B5570E">
      <w:pPr>
        <w:pStyle w:val="FootnoteText"/>
      </w:pPr>
      <w:r>
        <w:rPr>
          <w:rStyle w:val="FootnoteReference"/>
        </w:rPr>
        <w:footnoteRef/>
      </w:r>
      <w:r>
        <w:t xml:space="preserve"> </w:t>
      </w:r>
      <w:hyperlink r:id="rId58" w:history="1">
        <w:r w:rsidRPr="00CD79A9">
          <w:rPr>
            <w:rStyle w:val="Hyperlink"/>
            <w:rFonts w:cstheme="minorBidi"/>
          </w:rPr>
          <w:t>https://www.internetconsultatie.nl/vnverdraghandicap/details</w:t>
        </w:r>
      </w:hyperlink>
      <w:r>
        <w:t xml:space="preserve"> Accessed 15 June 2020.</w:t>
      </w:r>
    </w:p>
  </w:footnote>
  <w:footnote w:id="149">
    <w:p w14:paraId="7F94849C" w14:textId="11247DBC" w:rsidR="00B5570E" w:rsidRPr="008D1B5D" w:rsidRDefault="00B5570E">
      <w:pPr>
        <w:pStyle w:val="FootnoteText"/>
      </w:pPr>
      <w:r>
        <w:rPr>
          <w:rStyle w:val="FootnoteReference"/>
        </w:rPr>
        <w:footnoteRef/>
      </w:r>
      <w:r>
        <w:t xml:space="preserve"> </w:t>
      </w:r>
      <w:r w:rsidRPr="008D1B5D">
        <w:t>P</w:t>
      </w:r>
      <w:r>
        <w:t>arliamentary Documents II, 2013-2014, 33992 (R2034), no. 3, p. 15-21.</w:t>
      </w:r>
    </w:p>
  </w:footnote>
  <w:footnote w:id="150">
    <w:p w14:paraId="368F4CC1" w14:textId="4AD21B41" w:rsidR="00B5570E" w:rsidRPr="006A01E2" w:rsidRDefault="00B5570E">
      <w:pPr>
        <w:pStyle w:val="FootnoteText"/>
      </w:pPr>
      <w:r>
        <w:rPr>
          <w:rStyle w:val="FootnoteReference"/>
        </w:rPr>
        <w:footnoteRef/>
      </w:r>
      <w:r>
        <w:t xml:space="preserve"> </w:t>
      </w:r>
      <w:proofErr w:type="gramStart"/>
      <w:r>
        <w:t xml:space="preserve">Letter of the </w:t>
      </w:r>
      <w:r>
        <w:rPr>
          <w:szCs w:val="20"/>
        </w:rPr>
        <w:t xml:space="preserve">Minister of Health, Welfare and Sports6 June 2019, </w:t>
      </w:r>
      <w:r>
        <w:t>Parliamentary Documents II 2019-2020, 24 170, no. 192.</w:t>
      </w:r>
      <w:proofErr w:type="gramEnd"/>
    </w:p>
  </w:footnote>
  <w:footnote w:id="151">
    <w:p w14:paraId="2A209C8A" w14:textId="223D5848" w:rsidR="00B5570E" w:rsidRPr="00E87ED2" w:rsidRDefault="00B5570E">
      <w:pPr>
        <w:pStyle w:val="FootnoteText"/>
      </w:pPr>
      <w:r>
        <w:rPr>
          <w:rStyle w:val="FootnoteReference"/>
        </w:rPr>
        <w:footnoteRef/>
      </w:r>
      <w:r>
        <w:t xml:space="preserve"> </w:t>
      </w:r>
      <w:hyperlink r:id="rId59" w:history="1">
        <w:r w:rsidRPr="00CD79A9">
          <w:rPr>
            <w:rStyle w:val="Hyperlink"/>
            <w:rFonts w:cstheme="minorBidi"/>
          </w:rPr>
          <w:t>https://gewoongelijk.nl/over-deze-website/alliantie-voor-Inclusie/</w:t>
        </w:r>
      </w:hyperlink>
      <w:r>
        <w:t xml:space="preserve"> Accessed 15 June 2020.</w:t>
      </w:r>
    </w:p>
  </w:footnote>
  <w:footnote w:id="152">
    <w:p w14:paraId="020D46B5" w14:textId="2539E71D" w:rsidR="00B5570E" w:rsidRPr="00F63578" w:rsidRDefault="00B5570E">
      <w:pPr>
        <w:pStyle w:val="FootnoteText"/>
      </w:pPr>
      <w:r>
        <w:rPr>
          <w:rStyle w:val="FootnoteReference"/>
        </w:rPr>
        <w:footnoteRef/>
      </w:r>
      <w:r>
        <w:t xml:space="preserve"> </w:t>
      </w:r>
      <w:hyperlink r:id="rId60" w:history="1">
        <w:r w:rsidRPr="00CD79A9">
          <w:rPr>
            <w:rStyle w:val="Hyperlink"/>
            <w:rFonts w:cstheme="minorBidi"/>
          </w:rPr>
          <w:t>https://www.vno-ncw.nl/over-vno-ncw/english</w:t>
        </w:r>
      </w:hyperlink>
      <w:r>
        <w:t xml:space="preserve"> Accessed 15 June 2020.</w:t>
      </w:r>
    </w:p>
  </w:footnote>
  <w:footnote w:id="153">
    <w:p w14:paraId="10F32F6E" w14:textId="2E3ED45E" w:rsidR="00B5570E" w:rsidRPr="00F63578" w:rsidRDefault="00B5570E">
      <w:pPr>
        <w:pStyle w:val="FootnoteText"/>
      </w:pPr>
      <w:r>
        <w:rPr>
          <w:rStyle w:val="FootnoteReference"/>
        </w:rPr>
        <w:footnoteRef/>
      </w:r>
      <w:r>
        <w:t xml:space="preserve"> </w:t>
      </w:r>
      <w:hyperlink r:id="rId61" w:history="1">
        <w:r w:rsidRPr="00CD79A9">
          <w:rPr>
            <w:rStyle w:val="Hyperlink"/>
            <w:rFonts w:cstheme="minorBidi"/>
          </w:rPr>
          <w:t>https://www.mkb.nl/over-mkb-nederland/english</w:t>
        </w:r>
      </w:hyperlink>
      <w:r>
        <w:t xml:space="preserve"> Accessed 15 June 2020.</w:t>
      </w:r>
    </w:p>
  </w:footnote>
  <w:footnote w:id="154">
    <w:p w14:paraId="592E8F87" w14:textId="5323FD2F" w:rsidR="00B5570E" w:rsidRPr="00E87ED2" w:rsidRDefault="00B5570E">
      <w:pPr>
        <w:pStyle w:val="FootnoteText"/>
      </w:pPr>
      <w:r>
        <w:rPr>
          <w:rStyle w:val="FootnoteReference"/>
        </w:rPr>
        <w:footnoteRef/>
      </w:r>
      <w:r>
        <w:t xml:space="preserve"> </w:t>
      </w:r>
      <w:hyperlink r:id="rId62" w:history="1">
        <w:r w:rsidRPr="00E87ED2">
          <w:rPr>
            <w:rStyle w:val="Hyperlink"/>
            <w:rFonts w:cstheme="minorBidi"/>
          </w:rPr>
          <w:t>https://vng.nl/artikelen/koplopergemeenten-iedereen-doet-mee</w:t>
        </w:r>
      </w:hyperlink>
      <w:r w:rsidRPr="00E87ED2">
        <w:t xml:space="preserve"> </w:t>
      </w:r>
      <w:r>
        <w:t>Accessed 15 June 2020.</w:t>
      </w:r>
    </w:p>
  </w:footnote>
  <w:footnote w:id="155">
    <w:p w14:paraId="4B50503F" w14:textId="572605AA" w:rsidR="00B5570E" w:rsidRPr="00FB0837" w:rsidRDefault="00B5570E" w:rsidP="002F2013">
      <w:pPr>
        <w:pStyle w:val="Default"/>
        <w:rPr>
          <w:lang w:val="en-GB"/>
        </w:rPr>
      </w:pPr>
      <w:r>
        <w:rPr>
          <w:rStyle w:val="FootnoteReference"/>
        </w:rPr>
        <w:footnoteRef/>
      </w:r>
      <w:r>
        <w:t xml:space="preserve"> </w:t>
      </w:r>
      <w:r w:rsidRPr="00FB0837">
        <w:rPr>
          <w:rFonts w:ascii="Arial" w:hAnsi="Arial" w:cs="Arial"/>
          <w:sz w:val="20"/>
          <w:szCs w:val="20"/>
        </w:rPr>
        <w:t xml:space="preserve">College voor de Rechten van de Mens </w:t>
      </w:r>
      <w:r>
        <w:rPr>
          <w:rFonts w:ascii="Arial" w:hAnsi="Arial" w:cs="Arial"/>
          <w:sz w:val="20"/>
          <w:szCs w:val="20"/>
        </w:rPr>
        <w:t>‘</w:t>
      </w:r>
      <w:r w:rsidRPr="00FB0837">
        <w:rPr>
          <w:rFonts w:ascii="Arial" w:hAnsi="Arial" w:cs="Arial"/>
          <w:sz w:val="20"/>
          <w:szCs w:val="20"/>
        </w:rPr>
        <w:t>VN-verdrag Handicap in Nederland 2017. Jaarlijkse rapportage over de naleving van het VN-verdrag handicap in Nederland</w:t>
      </w:r>
      <w:r>
        <w:rPr>
          <w:rFonts w:ascii="Arial" w:hAnsi="Arial" w:cs="Arial"/>
          <w:sz w:val="20"/>
          <w:szCs w:val="20"/>
        </w:rPr>
        <w:t>’</w:t>
      </w:r>
      <w:r w:rsidRPr="00FB0837">
        <w:rPr>
          <w:rFonts w:ascii="Arial" w:hAnsi="Arial" w:cs="Arial"/>
          <w:sz w:val="20"/>
          <w:szCs w:val="20"/>
        </w:rPr>
        <w:t xml:space="preserve"> (</w:t>
      </w:r>
      <w:r>
        <w:rPr>
          <w:rFonts w:ascii="Arial" w:hAnsi="Arial" w:cs="Arial"/>
          <w:sz w:val="20"/>
          <w:szCs w:val="20"/>
        </w:rPr>
        <w:t>‘</w:t>
      </w:r>
      <w:r w:rsidRPr="00FB0837">
        <w:rPr>
          <w:rFonts w:ascii="Arial" w:hAnsi="Arial" w:cs="Arial"/>
          <w:i/>
          <w:iCs/>
          <w:sz w:val="20"/>
          <w:szCs w:val="20"/>
        </w:rPr>
        <w:t>UN-Convention on Disability in the Netherlands 2017</w:t>
      </w:r>
      <w:r w:rsidRPr="00FB0837">
        <w:rPr>
          <w:rFonts w:cs="Arial"/>
          <w:i/>
          <w:iCs/>
          <w:sz w:val="20"/>
          <w:szCs w:val="20"/>
        </w:rPr>
        <w:t xml:space="preserve">. </w:t>
      </w:r>
      <w:proofErr w:type="gramStart"/>
      <w:r w:rsidRPr="00FB0837">
        <w:rPr>
          <w:rFonts w:ascii="Arial" w:hAnsi="Arial" w:cs="Arial"/>
          <w:i/>
          <w:iCs/>
          <w:sz w:val="20"/>
          <w:szCs w:val="20"/>
          <w:lang w:val="en-GB"/>
        </w:rPr>
        <w:t>Annual report on compliance with the UN Convention on disability in the Netherlands</w:t>
      </w:r>
      <w:r>
        <w:rPr>
          <w:rFonts w:ascii="Arial" w:hAnsi="Arial" w:cs="Arial"/>
          <w:i/>
          <w:iCs/>
          <w:sz w:val="20"/>
          <w:szCs w:val="20"/>
          <w:lang w:val="en-GB"/>
        </w:rPr>
        <w:t>’</w:t>
      </w:r>
      <w:r w:rsidRPr="00FB0837">
        <w:rPr>
          <w:rFonts w:ascii="Arial" w:hAnsi="Arial" w:cs="Arial"/>
          <w:sz w:val="20"/>
          <w:szCs w:val="20"/>
          <w:lang w:val="en-GB"/>
        </w:rPr>
        <w:t>)</w:t>
      </w:r>
      <w:r>
        <w:rPr>
          <w:rFonts w:ascii="Arial" w:hAnsi="Arial" w:cs="Arial"/>
          <w:sz w:val="20"/>
          <w:szCs w:val="20"/>
          <w:lang w:val="en-GB"/>
        </w:rPr>
        <w:t xml:space="preserve"> (</w:t>
      </w:r>
      <w:r w:rsidRPr="002B1C53">
        <w:rPr>
          <w:rFonts w:ascii="Arial" w:hAnsi="Arial" w:cs="Arial"/>
          <w:sz w:val="20"/>
          <w:szCs w:val="20"/>
          <w:lang w:val="en-GB"/>
        </w:rPr>
        <w:t xml:space="preserve">College </w:t>
      </w:r>
      <w:proofErr w:type="spellStart"/>
      <w:r w:rsidRPr="002B1C53">
        <w:rPr>
          <w:rFonts w:ascii="Arial" w:hAnsi="Arial" w:cs="Arial"/>
          <w:sz w:val="20"/>
          <w:szCs w:val="20"/>
          <w:lang w:val="en-GB"/>
        </w:rPr>
        <w:t>voor</w:t>
      </w:r>
      <w:proofErr w:type="spellEnd"/>
      <w:r w:rsidRPr="002B1C53">
        <w:rPr>
          <w:rFonts w:ascii="Arial" w:hAnsi="Arial" w:cs="Arial"/>
          <w:sz w:val="20"/>
          <w:szCs w:val="20"/>
          <w:lang w:val="en-GB"/>
        </w:rPr>
        <w:t xml:space="preserve"> de </w:t>
      </w:r>
      <w:proofErr w:type="spellStart"/>
      <w:r w:rsidRPr="002B1C53">
        <w:rPr>
          <w:rFonts w:ascii="Arial" w:hAnsi="Arial" w:cs="Arial"/>
          <w:sz w:val="20"/>
          <w:szCs w:val="20"/>
          <w:lang w:val="en-GB"/>
        </w:rPr>
        <w:t>Rechten</w:t>
      </w:r>
      <w:proofErr w:type="spellEnd"/>
      <w:r w:rsidRPr="002B1C53">
        <w:rPr>
          <w:rFonts w:ascii="Arial" w:hAnsi="Arial" w:cs="Arial"/>
          <w:sz w:val="20"/>
          <w:szCs w:val="20"/>
          <w:lang w:val="en-GB"/>
        </w:rPr>
        <w:t xml:space="preserve"> van de </w:t>
      </w:r>
      <w:proofErr w:type="spellStart"/>
      <w:r w:rsidRPr="002B1C53">
        <w:rPr>
          <w:rFonts w:ascii="Arial" w:hAnsi="Arial" w:cs="Arial"/>
          <w:sz w:val="20"/>
          <w:szCs w:val="20"/>
          <w:lang w:val="en-GB"/>
        </w:rPr>
        <w:t>Mens</w:t>
      </w:r>
      <w:proofErr w:type="spellEnd"/>
      <w:r>
        <w:rPr>
          <w:rFonts w:ascii="Arial" w:hAnsi="Arial" w:cs="Arial"/>
          <w:sz w:val="20"/>
          <w:szCs w:val="20"/>
          <w:lang w:val="en-GB"/>
        </w:rPr>
        <w:t xml:space="preserve"> 2017).</w:t>
      </w:r>
      <w:proofErr w:type="gramEnd"/>
    </w:p>
  </w:footnote>
  <w:footnote w:id="156">
    <w:p w14:paraId="4A24D9FF" w14:textId="20CA092C" w:rsidR="00B5570E" w:rsidRPr="00851513" w:rsidRDefault="00B5570E">
      <w:pPr>
        <w:pStyle w:val="FootnoteText"/>
      </w:pPr>
      <w:r>
        <w:rPr>
          <w:rStyle w:val="FootnoteReference"/>
        </w:rPr>
        <w:footnoteRef/>
      </w:r>
      <w:r>
        <w:t xml:space="preserve"> See chapter A2.1: </w:t>
      </w:r>
      <w:r w:rsidRPr="00DC1317">
        <w:rPr>
          <w:rFonts w:eastAsia="Times New Roman" w:cs="Arial"/>
          <w:szCs w:val="20"/>
          <w:lang w:eastAsia="nl-NL"/>
        </w:rPr>
        <w:t xml:space="preserve">Initial report submitted by the Netherlands under article 35 of the Convention. </w:t>
      </w:r>
      <w:hyperlink r:id="rId63" w:history="1">
        <w:r w:rsidRPr="00DC1317">
          <w:rPr>
            <w:rStyle w:val="Hyperlink"/>
            <w:rFonts w:eastAsia="Times New Roman" w:cs="Arial"/>
            <w:szCs w:val="20"/>
            <w:lang w:eastAsia="nl-NL"/>
          </w:rPr>
          <w:t>https://digitallibrary.un.org/record/3794832</w:t>
        </w:r>
      </w:hyperlink>
      <w:r>
        <w:rPr>
          <w:rStyle w:val="Hyperlink"/>
          <w:rFonts w:eastAsia="Times New Roman" w:cs="Arial"/>
          <w:szCs w:val="20"/>
          <w:lang w:eastAsia="nl-NL"/>
        </w:rPr>
        <w:t xml:space="preserve">. </w:t>
      </w:r>
    </w:p>
  </w:footnote>
  <w:footnote w:id="157">
    <w:p w14:paraId="5147B25A" w14:textId="3C2FB92E" w:rsidR="00B5570E" w:rsidRPr="00851513" w:rsidRDefault="00B5570E">
      <w:pPr>
        <w:pStyle w:val="FootnoteText"/>
      </w:pPr>
      <w:r>
        <w:rPr>
          <w:rStyle w:val="FootnoteReference"/>
        </w:rPr>
        <w:footnoteRef/>
      </w:r>
      <w:r>
        <w:t xml:space="preserve"> </w:t>
      </w:r>
      <w:hyperlink r:id="rId64" w:history="1">
        <w:r w:rsidRPr="00B3480D">
          <w:rPr>
            <w:rStyle w:val="Hyperlink"/>
            <w:rFonts w:cstheme="minorBidi"/>
          </w:rPr>
          <w:t>https://mensenrechten.nl/nl/publicatie/5c051025c155b7037d1ec495</w:t>
        </w:r>
      </w:hyperlink>
      <w:r>
        <w:t>, includes a version in English.</w:t>
      </w:r>
    </w:p>
  </w:footnote>
  <w:footnote w:id="158">
    <w:p w14:paraId="540286D7" w14:textId="77777777" w:rsidR="00B5570E" w:rsidRPr="004D63C4" w:rsidRDefault="00B5570E" w:rsidP="002E620B">
      <w:pPr>
        <w:pStyle w:val="FootnoteText"/>
      </w:pPr>
      <w:r>
        <w:rPr>
          <w:rStyle w:val="FootnoteReference"/>
        </w:rPr>
        <w:footnoteRef/>
      </w:r>
      <w:r w:rsidRPr="004D63C4">
        <w:t xml:space="preserve"> Act of 4 November 1992, </w:t>
      </w:r>
      <w:proofErr w:type="spellStart"/>
      <w:r w:rsidRPr="004D63C4">
        <w:t>Stb</w:t>
      </w:r>
      <w:proofErr w:type="spellEnd"/>
      <w:r w:rsidRPr="004D63C4">
        <w:t>. 1992, 563</w:t>
      </w:r>
    </w:p>
  </w:footnote>
  <w:footnote w:id="159">
    <w:p w14:paraId="6C78956E" w14:textId="5E6ECCB7" w:rsidR="00B5570E" w:rsidRPr="00836A18" w:rsidRDefault="00B5570E">
      <w:pPr>
        <w:pStyle w:val="FootnoteText"/>
      </w:pPr>
      <w:r>
        <w:rPr>
          <w:rStyle w:val="FootnoteReference"/>
        </w:rPr>
        <w:footnoteRef/>
      </w:r>
      <w:r>
        <w:t xml:space="preserve"> </w:t>
      </w:r>
      <w:proofErr w:type="gramStart"/>
      <w:r>
        <w:t>Ordinance of 28 June 2010, Provincial Journal 2010, 38.</w:t>
      </w:r>
      <w:proofErr w:type="gramEnd"/>
    </w:p>
  </w:footnote>
  <w:footnote w:id="160">
    <w:p w14:paraId="34516CC1" w14:textId="4C4FF228" w:rsidR="00B5570E" w:rsidRPr="002B1C53" w:rsidRDefault="00B5570E">
      <w:pPr>
        <w:pStyle w:val="FootnoteText"/>
        <w:rPr>
          <w:lang w:val="nl-NL"/>
        </w:rPr>
      </w:pPr>
      <w:r>
        <w:rPr>
          <w:rStyle w:val="FootnoteReference"/>
        </w:rPr>
        <w:footnoteRef/>
      </w:r>
      <w:r w:rsidRPr="000A6AC4">
        <w:rPr>
          <w:lang w:val="nl-NL"/>
        </w:rPr>
        <w:t xml:space="preserve"> </w:t>
      </w:r>
      <w:r>
        <w:rPr>
          <w:lang w:val="nl-NL"/>
        </w:rPr>
        <w:t>Samenwerkende BRU-gemeenten,</w:t>
      </w:r>
      <w:r w:rsidRPr="000A6AC4">
        <w:rPr>
          <w:lang w:val="nl-NL"/>
        </w:rPr>
        <w:t xml:space="preserve"> </w:t>
      </w:r>
      <w:r w:rsidRPr="00EF372C">
        <w:rPr>
          <w:i/>
          <w:iCs/>
          <w:lang w:val="nl-NL"/>
        </w:rPr>
        <w:t>Snel, betrouwbaar en effectief. OV visie voor de regio Utrecht</w:t>
      </w:r>
      <w:r>
        <w:rPr>
          <w:lang w:val="nl-NL"/>
        </w:rPr>
        <w:t xml:space="preserve"> (‘</w:t>
      </w:r>
      <w:r w:rsidRPr="002B1C53">
        <w:rPr>
          <w:i/>
          <w:iCs/>
          <w:lang w:val="nl-NL"/>
        </w:rPr>
        <w:t>Fast, reliable and effective. Public transport vision for the Utrecht region</w:t>
      </w:r>
      <w:r>
        <w:rPr>
          <w:lang w:val="nl-NL"/>
        </w:rPr>
        <w:t xml:space="preserve">’). </w:t>
      </w:r>
      <w:r w:rsidRPr="002B1C53">
        <w:rPr>
          <w:lang w:val="nl-NL"/>
        </w:rPr>
        <w:t>(Bestuur Regio Utrecht 2012), p. 48.</w:t>
      </w:r>
    </w:p>
  </w:footnote>
  <w:footnote w:id="161">
    <w:p w14:paraId="4BAF3CD3" w14:textId="586881BC" w:rsidR="00B5570E" w:rsidRPr="00B22A7E" w:rsidRDefault="00B5570E">
      <w:pPr>
        <w:pStyle w:val="FootnoteText"/>
      </w:pPr>
      <w:r>
        <w:rPr>
          <w:rStyle w:val="FootnoteReference"/>
        </w:rPr>
        <w:footnoteRef/>
      </w:r>
      <w:r>
        <w:t xml:space="preserve"> </w:t>
      </w:r>
      <w:proofErr w:type="gramStart"/>
      <w:r>
        <w:t>Ordinance of 27 February 2019, Provincial Journal 2019-2248.</w:t>
      </w:r>
      <w:proofErr w:type="gramEnd"/>
    </w:p>
  </w:footnote>
  <w:footnote w:id="162">
    <w:p w14:paraId="5F670BAC" w14:textId="51EC80E3" w:rsidR="00B5570E" w:rsidRPr="00F56102" w:rsidRDefault="00B5570E" w:rsidP="00F56102">
      <w:r>
        <w:rPr>
          <w:rStyle w:val="FootnoteReference"/>
        </w:rPr>
        <w:footnoteRef/>
      </w:r>
      <w:r>
        <w:t xml:space="preserve"> </w:t>
      </w:r>
      <w:r w:rsidRPr="00F56102">
        <w:rPr>
          <w:sz w:val="20"/>
          <w:szCs w:val="20"/>
        </w:rPr>
        <w:t>Consolidated Environmental Ordinance 2019,</w:t>
      </w:r>
      <w:r>
        <w:rPr>
          <w:sz w:val="20"/>
          <w:szCs w:val="20"/>
        </w:rPr>
        <w:t xml:space="preserve"> article </w:t>
      </w:r>
      <w:r w:rsidRPr="00F56102">
        <w:rPr>
          <w:sz w:val="20"/>
          <w:szCs w:val="20"/>
        </w:rPr>
        <w:t>15.</w:t>
      </w:r>
      <w:r>
        <w:rPr>
          <w:sz w:val="20"/>
          <w:szCs w:val="20"/>
        </w:rPr>
        <w:t>6:</w:t>
      </w:r>
      <w:r w:rsidRPr="00F56102">
        <w:rPr>
          <w:sz w:val="20"/>
          <w:szCs w:val="20"/>
        </w:rPr>
        <w:t xml:space="preserve"> </w:t>
      </w:r>
      <w:r>
        <w:rPr>
          <w:sz w:val="20"/>
          <w:szCs w:val="20"/>
        </w:rPr>
        <w:t>‘</w:t>
      </w:r>
      <w:r w:rsidRPr="00F56102">
        <w:rPr>
          <w:sz w:val="20"/>
          <w:szCs w:val="20"/>
        </w:rPr>
        <w:t>It is forbidden to use a public road or waterway, other than for which it is intended: (</w:t>
      </w:r>
      <w:r>
        <w:rPr>
          <w:sz w:val="20"/>
          <w:szCs w:val="20"/>
        </w:rPr>
        <w:t>…</w:t>
      </w:r>
      <w:r w:rsidRPr="00F56102">
        <w:rPr>
          <w:sz w:val="20"/>
          <w:szCs w:val="20"/>
        </w:rPr>
        <w:t>) to deposit, place or deposit solids or objects therein, thereon, below or above, or to leave or keep them there</w:t>
      </w:r>
      <w:r>
        <w:rPr>
          <w:sz w:val="20"/>
          <w:szCs w:val="20"/>
        </w:rPr>
        <w:t>.’</w:t>
      </w:r>
    </w:p>
  </w:footnote>
  <w:footnote w:id="163">
    <w:p w14:paraId="7B940872" w14:textId="5AA4FDB3" w:rsidR="00B5570E" w:rsidRPr="00061D4E" w:rsidRDefault="00B5570E">
      <w:pPr>
        <w:pStyle w:val="FootnoteText"/>
      </w:pPr>
      <w:r>
        <w:rPr>
          <w:rStyle w:val="FootnoteReference"/>
        </w:rPr>
        <w:footnoteRef/>
      </w:r>
      <w:r w:rsidRPr="00061D4E">
        <w:t xml:space="preserve"> </w:t>
      </w:r>
      <w:proofErr w:type="gramStart"/>
      <w:r w:rsidRPr="00061D4E">
        <w:t xml:space="preserve">Decree of 15 March 2019, </w:t>
      </w:r>
      <w:proofErr w:type="spellStart"/>
      <w:r w:rsidRPr="00061D4E">
        <w:t>Omgevingsprogramma</w:t>
      </w:r>
      <w:proofErr w:type="spellEnd"/>
      <w:r w:rsidRPr="00061D4E">
        <w:t xml:space="preserve"> Flevoland</w:t>
      </w:r>
      <w:r>
        <w:t xml:space="preserve"> (</w:t>
      </w:r>
      <w:r w:rsidRPr="00061D4E">
        <w:rPr>
          <w:i/>
          <w:iCs/>
        </w:rPr>
        <w:t>Environmental Planning Programme</w:t>
      </w:r>
      <w:r>
        <w:t>)</w:t>
      </w:r>
      <w:r w:rsidRPr="00061D4E">
        <w:t>, Provincial Journal 2019-1849.</w:t>
      </w:r>
      <w:proofErr w:type="gramEnd"/>
    </w:p>
  </w:footnote>
  <w:footnote w:id="164">
    <w:p w14:paraId="0896C2B4" w14:textId="1F65BEFB" w:rsidR="00B5570E" w:rsidRPr="00061D4E" w:rsidRDefault="00B5570E">
      <w:pPr>
        <w:pStyle w:val="FootnoteText"/>
      </w:pPr>
      <w:r>
        <w:rPr>
          <w:rStyle w:val="FootnoteReference"/>
        </w:rPr>
        <w:footnoteRef/>
      </w:r>
      <w:r>
        <w:t xml:space="preserve"> </w:t>
      </w:r>
      <w:r w:rsidRPr="00061D4E">
        <w:t>Environmental Planning Programme</w:t>
      </w:r>
      <w:r>
        <w:t xml:space="preserve"> Flevoland, section 7.6.7.4.</w:t>
      </w:r>
    </w:p>
  </w:footnote>
  <w:footnote w:id="165">
    <w:p w14:paraId="3B19E244" w14:textId="18E24DF6" w:rsidR="00B5570E" w:rsidRPr="00AC535F" w:rsidRDefault="00B5570E">
      <w:pPr>
        <w:pStyle w:val="FootnoteText"/>
      </w:pPr>
      <w:r>
        <w:rPr>
          <w:rStyle w:val="FootnoteReference"/>
        </w:rPr>
        <w:footnoteRef/>
      </w:r>
      <w:r>
        <w:t xml:space="preserve"> </w:t>
      </w:r>
      <w:r w:rsidRPr="00061D4E">
        <w:t>Environmental Planning Programme</w:t>
      </w:r>
      <w:r>
        <w:t xml:space="preserve"> Flevoland, section 4.1.</w:t>
      </w:r>
    </w:p>
  </w:footnote>
  <w:footnote w:id="166">
    <w:p w14:paraId="7827E349" w14:textId="393473FA" w:rsidR="00B5570E" w:rsidRPr="000E47BC" w:rsidRDefault="00B5570E">
      <w:pPr>
        <w:pStyle w:val="FootnoteText"/>
      </w:pPr>
      <w:r>
        <w:rPr>
          <w:rStyle w:val="FootnoteReference"/>
        </w:rPr>
        <w:footnoteRef/>
      </w:r>
      <w:r>
        <w:t xml:space="preserve"> Agenda 22 refers to the 22 Standard Rules on the Equalization of Opportunities for Persons with Disabilities, adopted by the General Assembly on 20 December 1993 (resolution 48/96 annex). </w:t>
      </w:r>
    </w:p>
  </w:footnote>
  <w:footnote w:id="167">
    <w:p w14:paraId="01F6C4CB" w14:textId="154E99A0" w:rsidR="00B5570E" w:rsidRPr="00FA1C52" w:rsidRDefault="00B5570E">
      <w:pPr>
        <w:pStyle w:val="FootnoteText"/>
      </w:pPr>
      <w:r>
        <w:rPr>
          <w:rStyle w:val="FootnoteReference"/>
        </w:rPr>
        <w:footnoteRef/>
      </w:r>
      <w:r>
        <w:t xml:space="preserve"> </w:t>
      </w:r>
      <w:proofErr w:type="gramStart"/>
      <w:r>
        <w:t xml:space="preserve">Decision of 26 June 2012, </w:t>
      </w:r>
      <w:hyperlink r:id="rId65" w:history="1">
        <w:r w:rsidRPr="007C5597">
          <w:rPr>
            <w:rStyle w:val="Hyperlink"/>
            <w:rFonts w:cstheme="minorBidi"/>
          </w:rPr>
          <w:t>https://ris2.ibabs.eu/Reports/ViewListEntry/Utrecht/b3ccc49b-0ca1-4a25-950e-7d3c990db135</w:t>
        </w:r>
      </w:hyperlink>
      <w:r>
        <w:t>.</w:t>
      </w:r>
      <w:proofErr w:type="gramEnd"/>
      <w:r>
        <w:t xml:space="preserve"> </w:t>
      </w:r>
    </w:p>
  </w:footnote>
  <w:footnote w:id="168">
    <w:p w14:paraId="2FEA4227" w14:textId="4FA8F316" w:rsidR="00B5570E" w:rsidRPr="00031854" w:rsidRDefault="00B5570E">
      <w:pPr>
        <w:pStyle w:val="FootnoteText"/>
      </w:pPr>
      <w:r>
        <w:rPr>
          <w:rStyle w:val="FootnoteReference"/>
        </w:rPr>
        <w:footnoteRef/>
      </w:r>
      <w:r>
        <w:rPr>
          <w:lang w:val="nl-NL"/>
        </w:rPr>
        <w:t xml:space="preserve"> </w:t>
      </w:r>
      <w:r>
        <w:rPr>
          <w:lang w:val="nl-NL"/>
        </w:rPr>
        <w:t xml:space="preserve">Gemeente Utrecht </w:t>
      </w:r>
      <w:r w:rsidRPr="002C2DBC">
        <w:rPr>
          <w:i/>
          <w:iCs/>
          <w:lang w:val="nl-NL"/>
        </w:rPr>
        <w:t>Agenda 22, Plan 2012-2018</w:t>
      </w:r>
      <w:r>
        <w:rPr>
          <w:lang w:val="nl-NL"/>
        </w:rPr>
        <w:t xml:space="preserve"> (Gemeente Utrecht 2012),</w:t>
      </w:r>
      <w:r w:rsidRPr="00031854">
        <w:rPr>
          <w:lang w:val="nl-NL"/>
        </w:rPr>
        <w:t xml:space="preserve"> p. 19</w:t>
      </w:r>
      <w:r>
        <w:rPr>
          <w:lang w:val="nl-NL"/>
        </w:rPr>
        <w:t>.</w:t>
      </w:r>
      <w:r w:rsidRPr="000A1C75">
        <w:rPr>
          <w:lang w:val="nl-NL"/>
        </w:rPr>
        <w:t xml:space="preserve"> </w:t>
      </w:r>
      <w:r w:rsidR="00043F52">
        <w:fldChar w:fldCharType="begin"/>
      </w:r>
      <w:r w:rsidR="00043F52">
        <w:instrText xml:space="preserve"> HYPERLINK "https://www.utrecht.nl/fileadmin/uploads/documenten/ondernemen/bing-beheer-inrichting-gebruik/Plan_Agenda_22_2012_2018.pdf" </w:instrText>
      </w:r>
      <w:r w:rsidR="00043F52">
        <w:fldChar w:fldCharType="separate"/>
      </w:r>
      <w:r w:rsidRPr="00031854">
        <w:rPr>
          <w:rStyle w:val="Hyperlink"/>
          <w:rFonts w:cstheme="minorBidi"/>
        </w:rPr>
        <w:t>https://www.utrecht.nl/fileadmin/uploads/documenten/ondernemen/bing-beheer-inrichting-gebruik/Plan_Agenda_22_2012_2018.pdf</w:t>
      </w:r>
      <w:r w:rsidR="00043F52">
        <w:rPr>
          <w:rStyle w:val="Hyperlink"/>
          <w:rFonts w:cstheme="minorBidi"/>
        </w:rPr>
        <w:fldChar w:fldCharType="end"/>
      </w:r>
      <w:proofErr w:type="gramStart"/>
      <w:r>
        <w:t>,.</w:t>
      </w:r>
      <w:proofErr w:type="gramEnd"/>
    </w:p>
  </w:footnote>
  <w:footnote w:id="169">
    <w:p w14:paraId="2B332D09" w14:textId="69D2F5C1" w:rsidR="00B5570E" w:rsidRPr="000F1EF5" w:rsidRDefault="00B5570E">
      <w:pPr>
        <w:pStyle w:val="FootnoteText"/>
        <w:rPr>
          <w:lang w:val="nl-NL"/>
        </w:rPr>
      </w:pPr>
      <w:r>
        <w:rPr>
          <w:rStyle w:val="FootnoteReference"/>
        </w:rPr>
        <w:footnoteRef/>
      </w:r>
      <w:r w:rsidRPr="000F1EF5">
        <w:rPr>
          <w:lang w:val="nl-NL"/>
        </w:rPr>
        <w:t xml:space="preserve"> </w:t>
      </w:r>
      <w:r>
        <w:rPr>
          <w:lang w:val="nl-NL"/>
        </w:rPr>
        <w:t xml:space="preserve">Gemeentebestuur Utrecht, </w:t>
      </w:r>
      <w:r w:rsidRPr="002C2DBC">
        <w:rPr>
          <w:i/>
          <w:iCs/>
          <w:lang w:val="nl-NL"/>
        </w:rPr>
        <w:t>Ruimte voor iedereen. Coalitieakkoord GroenLinks, D66, ChristenUnie, Utrecht 2018-2022</w:t>
      </w:r>
      <w:r>
        <w:rPr>
          <w:lang w:val="nl-NL"/>
        </w:rPr>
        <w:t xml:space="preserve"> (Gemeente Utrecht 2018), p. 15.</w:t>
      </w:r>
    </w:p>
  </w:footnote>
  <w:footnote w:id="170">
    <w:p w14:paraId="4E986A49" w14:textId="2A53C497" w:rsidR="00B5570E" w:rsidRPr="00C263BA" w:rsidRDefault="00B5570E">
      <w:pPr>
        <w:pStyle w:val="FootnoteText"/>
        <w:rPr>
          <w:lang w:val="nl-NL"/>
        </w:rPr>
      </w:pPr>
      <w:r>
        <w:rPr>
          <w:rStyle w:val="FootnoteReference"/>
        </w:rPr>
        <w:footnoteRef/>
      </w:r>
      <w:r w:rsidRPr="00C263BA">
        <w:rPr>
          <w:lang w:val="nl-NL"/>
        </w:rPr>
        <w:t xml:space="preserve"> </w:t>
      </w:r>
      <w:hyperlink r:id="rId66" w:history="1">
        <w:r w:rsidRPr="00511314">
          <w:rPr>
            <w:rStyle w:val="Hyperlink"/>
            <w:rFonts w:cstheme="minorBidi"/>
            <w:lang w:val="nl-NL"/>
          </w:rPr>
          <w:t>https://vng.nl/artikelen/koplopergemeenten-iedereen-doet-mee</w:t>
        </w:r>
      </w:hyperlink>
      <w:r>
        <w:rPr>
          <w:lang w:val="nl-NL"/>
        </w:rPr>
        <w:t xml:space="preserve"> </w:t>
      </w:r>
    </w:p>
  </w:footnote>
  <w:footnote w:id="171">
    <w:p w14:paraId="4262955F" w14:textId="1985F23B" w:rsidR="00B5570E" w:rsidRPr="00C263BA" w:rsidRDefault="00B5570E">
      <w:pPr>
        <w:pStyle w:val="FootnoteText"/>
        <w:rPr>
          <w:lang w:val="nl-NL"/>
        </w:rPr>
      </w:pPr>
      <w:r>
        <w:rPr>
          <w:rStyle w:val="FootnoteReference"/>
        </w:rPr>
        <w:footnoteRef/>
      </w:r>
      <w:r w:rsidRPr="00C263BA">
        <w:rPr>
          <w:lang w:val="nl-NL"/>
        </w:rPr>
        <w:t xml:space="preserve"> </w:t>
      </w:r>
      <w:hyperlink r:id="rId67" w:history="1">
        <w:r w:rsidRPr="00511314">
          <w:rPr>
            <w:rStyle w:val="Hyperlink"/>
            <w:rFonts w:cstheme="minorBidi"/>
            <w:lang w:val="nl-NL"/>
          </w:rPr>
          <w:t>https://vng.nl/artikelen/about-vng</w:t>
        </w:r>
      </w:hyperlink>
      <w:r>
        <w:rPr>
          <w:lang w:val="nl-NL"/>
        </w:rPr>
        <w:t xml:space="preserve"> </w:t>
      </w:r>
    </w:p>
  </w:footnote>
  <w:footnote w:id="172">
    <w:p w14:paraId="6E60E63A" w14:textId="1605B482" w:rsidR="00B5570E" w:rsidRPr="009F7C16" w:rsidRDefault="00B5570E">
      <w:pPr>
        <w:pStyle w:val="FootnoteText"/>
        <w:rPr>
          <w:lang w:val="nl-NL"/>
        </w:rPr>
      </w:pPr>
      <w:r>
        <w:rPr>
          <w:rStyle w:val="FootnoteReference"/>
        </w:rPr>
        <w:footnoteRef/>
      </w:r>
      <w:r w:rsidRPr="009F7C16">
        <w:rPr>
          <w:lang w:val="nl-NL"/>
        </w:rPr>
        <w:t xml:space="preserve"> </w:t>
      </w:r>
      <w:hyperlink r:id="rId68" w:history="1">
        <w:r w:rsidRPr="00511314">
          <w:rPr>
            <w:rStyle w:val="Hyperlink"/>
            <w:rFonts w:cstheme="minorBidi"/>
            <w:lang w:val="nl-NL"/>
          </w:rPr>
          <w:t>https://www.utrecht.nl/zorg-en-onderwijs/samenleven-welzijn/utrecht-voor-iedereen/toegankelijk/</w:t>
        </w:r>
      </w:hyperlink>
      <w:r>
        <w:rPr>
          <w:lang w:val="nl-NL"/>
        </w:rPr>
        <w:t xml:space="preserve"> </w:t>
      </w:r>
    </w:p>
  </w:footnote>
  <w:footnote w:id="173">
    <w:p w14:paraId="06419CD0" w14:textId="52FD5A55" w:rsidR="00B5570E" w:rsidRPr="00031854" w:rsidRDefault="00B5570E">
      <w:pPr>
        <w:pStyle w:val="FootnoteText"/>
        <w:rPr>
          <w:lang w:val="nl-NL"/>
        </w:rPr>
      </w:pPr>
      <w:r>
        <w:rPr>
          <w:rStyle w:val="FootnoteReference"/>
        </w:rPr>
        <w:footnoteRef/>
      </w:r>
      <w:r>
        <w:t xml:space="preserve"> </w:t>
      </w:r>
      <w:proofErr w:type="gramStart"/>
      <w:r>
        <w:t>Policy letter to the City Council, 24 January 2017.</w:t>
      </w:r>
      <w:proofErr w:type="gramEnd"/>
      <w:r>
        <w:t xml:space="preserve"> </w:t>
      </w:r>
      <w:r w:rsidRPr="00031854">
        <w:rPr>
          <w:lang w:val="nl-NL"/>
        </w:rPr>
        <w:t xml:space="preserve">Progress Report Utrecht Standaard Toegankelijk   </w:t>
      </w:r>
      <w:r w:rsidR="00043F52">
        <w:fldChar w:fldCharType="begin"/>
      </w:r>
      <w:r w:rsidR="00043F52">
        <w:instrText xml:space="preserve"> HYPERLINK "https://www.utrecht.nl/fileadmin/uploads/documenten/zorg-en-onderwijs/samenleven-welzijn/Toegankelijk/Utrecht-Standaard-Toegankelijk-januari-2017.pdf" </w:instrText>
      </w:r>
      <w:r w:rsidR="00043F52">
        <w:fldChar w:fldCharType="separate"/>
      </w:r>
      <w:r w:rsidRPr="00031854">
        <w:rPr>
          <w:rStyle w:val="Hyperlink"/>
          <w:rFonts w:cstheme="minorBidi"/>
          <w:lang w:val="nl-NL"/>
        </w:rPr>
        <w:t>https://www.utrecht.nl/fileadmin/uploads/documenten/zorg-en-onderwijs/samenleven-welzijn/Toegankelijk/Utrecht-Standaard-Toegankelijk-januari-2017.pdf</w:t>
      </w:r>
      <w:r w:rsidR="00043F52">
        <w:rPr>
          <w:rStyle w:val="Hyperlink"/>
          <w:rFonts w:cstheme="minorBidi"/>
          <w:lang w:val="nl-NL"/>
        </w:rPr>
        <w:fldChar w:fldCharType="end"/>
      </w:r>
      <w:r w:rsidRPr="00031854">
        <w:rPr>
          <w:lang w:val="nl-NL"/>
        </w:rPr>
        <w:t xml:space="preserve"> </w:t>
      </w:r>
    </w:p>
  </w:footnote>
  <w:footnote w:id="174">
    <w:p w14:paraId="055E0DBB" w14:textId="59ACBA6E" w:rsidR="00B5570E" w:rsidRPr="00254C81" w:rsidRDefault="00B5570E">
      <w:pPr>
        <w:pStyle w:val="FootnoteText"/>
        <w:rPr>
          <w:lang w:val="nl-NL"/>
        </w:rPr>
      </w:pPr>
      <w:r>
        <w:rPr>
          <w:rStyle w:val="FootnoteReference"/>
        </w:rPr>
        <w:footnoteRef/>
      </w:r>
      <w:r w:rsidRPr="00254C81">
        <w:rPr>
          <w:lang w:val="nl-NL"/>
        </w:rPr>
        <w:t xml:space="preserve"> </w:t>
      </w:r>
      <w:hyperlink r:id="rId69" w:history="1">
        <w:r w:rsidRPr="00511314">
          <w:rPr>
            <w:rStyle w:val="Hyperlink"/>
            <w:rFonts w:cstheme="minorBidi"/>
            <w:lang w:val="nl-NL"/>
          </w:rPr>
          <w:t>https://wheelmap.org/</w:t>
        </w:r>
      </w:hyperlink>
      <w:r>
        <w:rPr>
          <w:lang w:val="nl-NL"/>
        </w:rPr>
        <w:t xml:space="preserve"> </w:t>
      </w:r>
    </w:p>
  </w:footnote>
  <w:footnote w:id="175">
    <w:p w14:paraId="5E87AAB8" w14:textId="56C49155" w:rsidR="00B5570E" w:rsidRPr="002C2A5A" w:rsidRDefault="00B5570E">
      <w:pPr>
        <w:pStyle w:val="FootnoteText"/>
        <w:rPr>
          <w:lang w:val="nl-NL"/>
        </w:rPr>
      </w:pPr>
      <w:r>
        <w:rPr>
          <w:rStyle w:val="FootnoteReference"/>
        </w:rPr>
        <w:footnoteRef/>
      </w:r>
      <w:r w:rsidRPr="002C2A5A">
        <w:rPr>
          <w:lang w:val="nl-NL"/>
        </w:rPr>
        <w:t xml:space="preserve"> </w:t>
      </w:r>
      <w:hyperlink r:id="rId70" w:history="1">
        <w:r w:rsidRPr="002C2A5A">
          <w:rPr>
            <w:rStyle w:val="Hyperlink"/>
            <w:rFonts w:cstheme="minorBidi"/>
            <w:lang w:val="nl-NL"/>
          </w:rPr>
          <w:t>https://www.bezoek-utrecht.nl/toegankelijk/openbare-ruimtes</w:t>
        </w:r>
      </w:hyperlink>
      <w:r w:rsidRPr="002C2A5A">
        <w:rPr>
          <w:lang w:val="nl-NL"/>
        </w:rPr>
        <w:t xml:space="preserve"> </w:t>
      </w:r>
    </w:p>
  </w:footnote>
  <w:footnote w:id="176">
    <w:p w14:paraId="0E632ED9" w14:textId="2FE6CB3C" w:rsidR="00B5570E" w:rsidRPr="00CE7CC8" w:rsidRDefault="00B5570E">
      <w:pPr>
        <w:pStyle w:val="FootnoteText"/>
      </w:pPr>
      <w:r>
        <w:rPr>
          <w:rStyle w:val="FootnoteReference"/>
        </w:rPr>
        <w:footnoteRef/>
      </w:r>
      <w:r w:rsidRPr="00CE7CC8">
        <w:t xml:space="preserve"> </w:t>
      </w:r>
      <w:proofErr w:type="spellStart"/>
      <w:r w:rsidRPr="00CE7CC8">
        <w:t>Gemeente</w:t>
      </w:r>
      <w:proofErr w:type="spellEnd"/>
      <w:r w:rsidRPr="00CE7CC8">
        <w:t xml:space="preserve"> Utrecht, </w:t>
      </w:r>
      <w:proofErr w:type="spellStart"/>
      <w:r w:rsidRPr="002C2DBC">
        <w:rPr>
          <w:rFonts w:cs="Arial"/>
          <w:i/>
          <w:iCs/>
          <w:sz w:val="19"/>
          <w:szCs w:val="19"/>
        </w:rPr>
        <w:t>Kadernota</w:t>
      </w:r>
      <w:proofErr w:type="spellEnd"/>
      <w:r w:rsidRPr="002C2DBC">
        <w:rPr>
          <w:rFonts w:cs="Arial"/>
          <w:i/>
          <w:iCs/>
          <w:sz w:val="19"/>
          <w:szCs w:val="19"/>
        </w:rPr>
        <w:t xml:space="preserve"> </w:t>
      </w:r>
      <w:proofErr w:type="spellStart"/>
      <w:r w:rsidRPr="002C2DBC">
        <w:rPr>
          <w:rFonts w:cs="Arial"/>
          <w:i/>
          <w:iCs/>
          <w:sz w:val="19"/>
          <w:szCs w:val="19"/>
        </w:rPr>
        <w:t>Kwaliteit</w:t>
      </w:r>
      <w:proofErr w:type="spellEnd"/>
      <w:r w:rsidRPr="002C2DBC">
        <w:rPr>
          <w:rFonts w:cs="Arial"/>
          <w:i/>
          <w:iCs/>
          <w:sz w:val="19"/>
          <w:szCs w:val="19"/>
        </w:rPr>
        <w:t xml:space="preserve"> </w:t>
      </w:r>
      <w:proofErr w:type="spellStart"/>
      <w:r w:rsidRPr="002C2DBC">
        <w:rPr>
          <w:rFonts w:cs="Arial"/>
          <w:i/>
          <w:iCs/>
          <w:sz w:val="19"/>
          <w:szCs w:val="19"/>
        </w:rPr>
        <w:t>Openbare</w:t>
      </w:r>
      <w:proofErr w:type="spellEnd"/>
      <w:r w:rsidRPr="002C2DBC">
        <w:rPr>
          <w:rFonts w:cs="Arial"/>
          <w:i/>
          <w:iCs/>
          <w:sz w:val="19"/>
          <w:szCs w:val="19"/>
        </w:rPr>
        <w:t xml:space="preserve"> </w:t>
      </w:r>
      <w:proofErr w:type="spellStart"/>
      <w:r w:rsidRPr="002C2DBC">
        <w:rPr>
          <w:rFonts w:cs="Arial"/>
          <w:i/>
          <w:iCs/>
          <w:sz w:val="19"/>
          <w:szCs w:val="19"/>
        </w:rPr>
        <w:t>Ruimte</w:t>
      </w:r>
      <w:proofErr w:type="spellEnd"/>
      <w:r w:rsidRPr="002C2DBC">
        <w:rPr>
          <w:rFonts w:cs="Arial"/>
          <w:i/>
          <w:iCs/>
          <w:sz w:val="19"/>
          <w:szCs w:val="19"/>
        </w:rPr>
        <w:t xml:space="preserve"> 2016</w:t>
      </w:r>
      <w:r w:rsidRPr="00CE7CC8">
        <w:rPr>
          <w:rFonts w:cs="Arial"/>
          <w:sz w:val="19"/>
          <w:szCs w:val="19"/>
        </w:rPr>
        <w:t xml:space="preserve"> (‘</w:t>
      </w:r>
      <w:r w:rsidRPr="00CE7CC8">
        <w:rPr>
          <w:rFonts w:cs="Arial"/>
          <w:i/>
          <w:iCs/>
          <w:sz w:val="19"/>
          <w:szCs w:val="19"/>
        </w:rPr>
        <w:t>Framework Document Quality of Public Space 2016)</w:t>
      </w:r>
      <w:r w:rsidRPr="00CE7CC8">
        <w:rPr>
          <w:rFonts w:cs="Arial"/>
          <w:sz w:val="19"/>
          <w:szCs w:val="19"/>
        </w:rPr>
        <w:t>’, p.10: “where necessary and possible, the interests of disabl</w:t>
      </w:r>
      <w:r>
        <w:rPr>
          <w:rFonts w:cs="Arial"/>
          <w:sz w:val="19"/>
          <w:szCs w:val="19"/>
        </w:rPr>
        <w:t>ed person</w:t>
      </w:r>
      <w:r w:rsidRPr="00CE7CC8">
        <w:rPr>
          <w:rFonts w:cs="Arial"/>
          <w:sz w:val="19"/>
          <w:szCs w:val="19"/>
        </w:rPr>
        <w:t>s are taken into account as equally as possible</w:t>
      </w:r>
      <w:r>
        <w:rPr>
          <w:rFonts w:cs="Arial"/>
          <w:sz w:val="19"/>
          <w:szCs w:val="19"/>
        </w:rPr>
        <w:t xml:space="preserve"> in all</w:t>
      </w:r>
      <w:r w:rsidRPr="00CE7CC8">
        <w:rPr>
          <w:rFonts w:cs="Arial"/>
          <w:sz w:val="19"/>
          <w:szCs w:val="19"/>
        </w:rPr>
        <w:t xml:space="preserve"> aspects </w:t>
      </w:r>
      <w:r>
        <w:rPr>
          <w:rFonts w:cs="Arial"/>
          <w:sz w:val="19"/>
          <w:szCs w:val="19"/>
        </w:rPr>
        <w:t>of</w:t>
      </w:r>
      <w:r w:rsidRPr="00CE7CC8">
        <w:rPr>
          <w:rFonts w:cs="Arial"/>
          <w:sz w:val="19"/>
          <w:szCs w:val="19"/>
        </w:rPr>
        <w:t xml:space="preserve"> a design</w:t>
      </w:r>
      <w:r>
        <w:rPr>
          <w:rFonts w:cs="Arial"/>
          <w:sz w:val="19"/>
          <w:szCs w:val="19"/>
        </w:rPr>
        <w:t>”.</w:t>
      </w:r>
    </w:p>
  </w:footnote>
  <w:footnote w:id="177">
    <w:p w14:paraId="10100CC4" w14:textId="3B5FCC37" w:rsidR="00B5570E" w:rsidRPr="00E700A0" w:rsidRDefault="00B5570E">
      <w:pPr>
        <w:pStyle w:val="FootnoteText"/>
      </w:pPr>
      <w:r>
        <w:rPr>
          <w:rStyle w:val="FootnoteReference"/>
        </w:rPr>
        <w:footnoteRef/>
      </w:r>
      <w:r>
        <w:t xml:space="preserve"> The BING committee (‘</w:t>
      </w:r>
      <w:proofErr w:type="spellStart"/>
      <w:r>
        <w:t>Beheer</w:t>
      </w:r>
      <w:proofErr w:type="spellEnd"/>
      <w:r>
        <w:t xml:space="preserve">, </w:t>
      </w:r>
      <w:proofErr w:type="spellStart"/>
      <w:r>
        <w:t>Inrichting</w:t>
      </w:r>
      <w:proofErr w:type="spellEnd"/>
      <w:r>
        <w:t xml:space="preserve">, </w:t>
      </w:r>
      <w:proofErr w:type="spellStart"/>
      <w:r>
        <w:t>Gebruik</w:t>
      </w:r>
      <w:proofErr w:type="spellEnd"/>
      <w:r>
        <w:t xml:space="preserve"> – </w:t>
      </w:r>
      <w:r w:rsidRPr="00E700A0">
        <w:rPr>
          <w:i/>
          <w:iCs/>
        </w:rPr>
        <w:t xml:space="preserve">‘Management, organization, </w:t>
      </w:r>
      <w:proofErr w:type="gramStart"/>
      <w:r w:rsidRPr="00E700A0">
        <w:rPr>
          <w:i/>
          <w:iCs/>
        </w:rPr>
        <w:t>use’</w:t>
      </w:r>
      <w:proofErr w:type="gramEnd"/>
      <w:r>
        <w:t>) reviews local street construction plans.</w:t>
      </w:r>
    </w:p>
  </w:footnote>
  <w:footnote w:id="178">
    <w:p w14:paraId="2A12EAC3" w14:textId="67EC8C30" w:rsidR="00B5570E" w:rsidRPr="0061212D" w:rsidRDefault="00B5570E">
      <w:pPr>
        <w:pStyle w:val="FootnoteText"/>
      </w:pPr>
      <w:r>
        <w:rPr>
          <w:rStyle w:val="FootnoteReference"/>
        </w:rPr>
        <w:footnoteRef/>
      </w:r>
      <w:r w:rsidRPr="009E4499">
        <w:rPr>
          <w:lang w:val="nl-NL"/>
        </w:rPr>
        <w:t xml:space="preserve"> </w:t>
      </w:r>
      <w:r w:rsidRPr="009E4499">
        <w:rPr>
          <w:lang w:val="nl-NL"/>
        </w:rPr>
        <w:t xml:space="preserve">J. Haug and F. Schuurman, </w:t>
      </w:r>
      <w:r w:rsidRPr="009E4499">
        <w:rPr>
          <w:i/>
          <w:iCs/>
          <w:lang w:val="nl-NL"/>
        </w:rPr>
        <w:t>Voetpaden voor iedereen</w:t>
      </w:r>
      <w:r w:rsidRPr="009E4499">
        <w:rPr>
          <w:lang w:val="nl-NL"/>
        </w:rPr>
        <w:t xml:space="preserve"> (‘</w:t>
      </w:r>
      <w:r w:rsidRPr="009E4499">
        <w:rPr>
          <w:i/>
          <w:iCs/>
          <w:lang w:val="nl-NL"/>
        </w:rPr>
        <w:t>Footpaths for everyone’</w:t>
      </w:r>
      <w:r w:rsidRPr="009E4499">
        <w:rPr>
          <w:lang w:val="nl-NL"/>
        </w:rPr>
        <w:t xml:space="preserve">). </w:t>
      </w:r>
      <w:r w:rsidRPr="009E4499">
        <w:rPr>
          <w:lang w:val="fr-FR"/>
        </w:rPr>
        <w:t xml:space="preserve">(BAT 2020). </w:t>
      </w:r>
      <w:hyperlink r:id="rId71" w:history="1">
        <w:r w:rsidRPr="009E4499">
          <w:rPr>
            <w:rStyle w:val="Hyperlink"/>
            <w:rFonts w:cstheme="minorBidi"/>
            <w:lang w:val="fr-FR"/>
          </w:rPr>
          <w:t>http://www.batutrecht.nl/download/Voetpaden%20voor%20iedereen.pdf</w:t>
        </w:r>
      </w:hyperlink>
      <w:r w:rsidRPr="009E4499">
        <w:rPr>
          <w:lang w:val="fr-FR"/>
        </w:rPr>
        <w:t xml:space="preserve"> . </w:t>
      </w:r>
      <w:proofErr w:type="gramStart"/>
      <w:r w:rsidRPr="0061212D">
        <w:t>A</w:t>
      </w:r>
      <w:r>
        <w:t>ccessed 15 April 2020.</w:t>
      </w:r>
      <w:proofErr w:type="gramEnd"/>
    </w:p>
  </w:footnote>
  <w:footnote w:id="179">
    <w:p w14:paraId="1BDC7FDC" w14:textId="3B9B6D94" w:rsidR="00B5570E" w:rsidRPr="001C78CB" w:rsidRDefault="00B5570E">
      <w:pPr>
        <w:pStyle w:val="FootnoteText"/>
      </w:pPr>
      <w:r>
        <w:rPr>
          <w:rStyle w:val="FootnoteReference"/>
        </w:rPr>
        <w:footnoteRef/>
      </w:r>
      <w:r>
        <w:t xml:space="preserve"> The ASVV manual is published by CROW, a technology platform for transport, infrastructure and public space. Many municipalities comply with the ASVV as the leading guideline for the design and management of traffic and roads. </w:t>
      </w:r>
      <w:hyperlink r:id="rId72" w:history="1">
        <w:r w:rsidRPr="00ED4A04">
          <w:rPr>
            <w:rStyle w:val="Hyperlink"/>
            <w:rFonts w:cstheme="minorBidi"/>
          </w:rPr>
          <w:t>https://www.crow.nl/english-summary</w:t>
        </w:r>
      </w:hyperlink>
      <w:r>
        <w:t xml:space="preserve"> . </w:t>
      </w:r>
    </w:p>
  </w:footnote>
  <w:footnote w:id="180">
    <w:p w14:paraId="2BD15A63" w14:textId="52F3C443" w:rsidR="00B5570E" w:rsidRPr="005D03B3" w:rsidRDefault="00B5570E">
      <w:pPr>
        <w:pStyle w:val="FootnoteText"/>
      </w:pPr>
      <w:r>
        <w:rPr>
          <w:rStyle w:val="FootnoteReference"/>
        </w:rPr>
        <w:footnoteRef/>
      </w:r>
      <w:r>
        <w:t xml:space="preserve"> NEN 1814 is standardization tool for accessibility for the construction industry, published by the Netherlands Standardization Institute NEN. </w:t>
      </w:r>
      <w:hyperlink r:id="rId73" w:history="1">
        <w:r w:rsidRPr="00F65F2D">
          <w:rPr>
            <w:rStyle w:val="Hyperlink"/>
            <w:rFonts w:cstheme="minorBidi"/>
          </w:rPr>
          <w:t>https://www.nen.nl/Home_EN.htm</w:t>
        </w:r>
      </w:hyperlink>
      <w:r>
        <w:t xml:space="preserve"> Accessed 15 April 2020.</w:t>
      </w:r>
    </w:p>
  </w:footnote>
  <w:footnote w:id="181">
    <w:p w14:paraId="38FD9F1F" w14:textId="5D6066B7" w:rsidR="00B5570E" w:rsidRPr="001E0DB2" w:rsidRDefault="00B5570E">
      <w:pPr>
        <w:pStyle w:val="FootnoteText"/>
      </w:pPr>
      <w:r>
        <w:rPr>
          <w:rStyle w:val="FootnoteReference"/>
        </w:rPr>
        <w:footnoteRef/>
      </w:r>
      <w:r w:rsidRPr="001E0DB2">
        <w:t xml:space="preserve"> </w:t>
      </w:r>
      <w:proofErr w:type="gramStart"/>
      <w:r w:rsidRPr="001E0DB2">
        <w:t>Based on</w:t>
      </w:r>
      <w:r>
        <w:t xml:space="preserve"> article </w:t>
      </w:r>
      <w:r w:rsidRPr="001E0DB2">
        <w:t>149 M</w:t>
      </w:r>
      <w:r>
        <w:t>u</w:t>
      </w:r>
      <w:r w:rsidRPr="001E0DB2">
        <w:t>nicipalit</w:t>
      </w:r>
      <w:r>
        <w:t>ies</w:t>
      </w:r>
      <w:r w:rsidRPr="001E0DB2">
        <w:t xml:space="preserve"> A</w:t>
      </w:r>
      <w:r>
        <w:t>ct.</w:t>
      </w:r>
      <w:proofErr w:type="gramEnd"/>
    </w:p>
  </w:footnote>
  <w:footnote w:id="182">
    <w:p w14:paraId="37309372" w14:textId="7067B5E3" w:rsidR="00B5570E" w:rsidRPr="009D0D0A" w:rsidRDefault="00B5570E">
      <w:pPr>
        <w:pStyle w:val="FootnoteText"/>
      </w:pPr>
      <w:r>
        <w:rPr>
          <w:rStyle w:val="FootnoteReference"/>
        </w:rPr>
        <w:footnoteRef/>
      </w:r>
      <w:r w:rsidRPr="009D0D0A">
        <w:t xml:space="preserve"> </w:t>
      </w:r>
      <w:proofErr w:type="gramStart"/>
      <w:r w:rsidRPr="009D0D0A">
        <w:t>Article</w:t>
      </w:r>
      <w:r>
        <w:t>s 2.9 and</w:t>
      </w:r>
      <w:r w:rsidRPr="009D0D0A">
        <w:t xml:space="preserve"> 2.32, General Local Ordinance Utrecht.</w:t>
      </w:r>
      <w:proofErr w:type="gramEnd"/>
      <w:r w:rsidRPr="009D0D0A">
        <w:t xml:space="preserve"> </w:t>
      </w:r>
    </w:p>
  </w:footnote>
  <w:footnote w:id="183">
    <w:p w14:paraId="1866038D" w14:textId="068489C0" w:rsidR="00B5570E" w:rsidRPr="00B21044" w:rsidRDefault="00B5570E">
      <w:pPr>
        <w:pStyle w:val="FootnoteText"/>
      </w:pPr>
      <w:r>
        <w:rPr>
          <w:rStyle w:val="FootnoteReference"/>
        </w:rPr>
        <w:footnoteRef/>
      </w:r>
      <w:r w:rsidRPr="00B21044">
        <w:rPr>
          <w:lang w:val="nl-NL"/>
        </w:rPr>
        <w:t xml:space="preserve"> </w:t>
      </w:r>
      <w:r w:rsidRPr="00B21044">
        <w:rPr>
          <w:rFonts w:cs="Arial"/>
          <w:szCs w:val="20"/>
          <w:lang w:val="nl-NL"/>
        </w:rPr>
        <w:t>Kadernota Kwaliteit Openbare Ruimte</w:t>
      </w:r>
      <w:r>
        <w:rPr>
          <w:rFonts w:cs="Arial"/>
          <w:szCs w:val="20"/>
          <w:lang w:val="nl-NL"/>
        </w:rPr>
        <w:t xml:space="preserve">. </w:t>
      </w:r>
      <w:r w:rsidRPr="00E9059A">
        <w:rPr>
          <w:rFonts w:cs="Arial"/>
          <w:szCs w:val="20"/>
          <w:lang w:val="nl-NL"/>
        </w:rPr>
        <w:t>Een integrale benadering van gebruik, inrichting en beheer</w:t>
      </w:r>
      <w:r w:rsidRPr="00E9059A">
        <w:rPr>
          <w:rFonts w:eastAsiaTheme="minorHAnsi" w:cs="Arial"/>
          <w:szCs w:val="24"/>
          <w:lang w:val="nl-NL" w:eastAsia="en-US"/>
        </w:rPr>
        <w:t xml:space="preserve"> (‘</w:t>
      </w:r>
      <w:r w:rsidRPr="00E9059A">
        <w:rPr>
          <w:rFonts w:eastAsiaTheme="minorHAnsi" w:cs="Arial"/>
          <w:i/>
          <w:iCs/>
          <w:szCs w:val="24"/>
          <w:lang w:val="nl-NL" w:eastAsia="en-US"/>
        </w:rPr>
        <w:t>Framework Memorandum for the quality of public space.</w:t>
      </w:r>
      <w:r w:rsidRPr="00E9059A">
        <w:rPr>
          <w:i/>
          <w:iCs/>
          <w:lang w:val="nl-NL"/>
        </w:rPr>
        <w:t xml:space="preserve"> </w:t>
      </w:r>
      <w:proofErr w:type="gramStart"/>
      <w:r w:rsidRPr="00B21044">
        <w:rPr>
          <w:i/>
          <w:iCs/>
        </w:rPr>
        <w:t>An integrated approach to use, design and management’</w:t>
      </w:r>
      <w:r>
        <w:t>) (</w:t>
      </w:r>
      <w:proofErr w:type="spellStart"/>
      <w:r>
        <w:t>Gemeente</w:t>
      </w:r>
      <w:proofErr w:type="spellEnd"/>
      <w:r>
        <w:t xml:space="preserve"> Utrecht 2018), p. 10.</w:t>
      </w:r>
      <w:proofErr w:type="gramEnd"/>
    </w:p>
  </w:footnote>
  <w:footnote w:id="184">
    <w:p w14:paraId="6D903274" w14:textId="5D153AF9" w:rsidR="00B5570E" w:rsidRPr="009E4499" w:rsidRDefault="00B5570E">
      <w:pPr>
        <w:pStyle w:val="FootnoteText"/>
        <w:rPr>
          <w:lang w:val="nl-NL"/>
        </w:rPr>
      </w:pPr>
      <w:r>
        <w:rPr>
          <w:rStyle w:val="FootnoteReference"/>
        </w:rPr>
        <w:footnoteRef/>
      </w:r>
      <w:r>
        <w:rPr>
          <w:lang w:val="nl-NL"/>
        </w:rPr>
        <w:t xml:space="preserve"> </w:t>
      </w:r>
      <w:r>
        <w:rPr>
          <w:lang w:val="nl-NL"/>
        </w:rPr>
        <w:t xml:space="preserve">Agenda en Uitvoeringsprogramma </w:t>
      </w:r>
      <w:r w:rsidRPr="002C2DBC">
        <w:rPr>
          <w:i/>
          <w:iCs/>
          <w:lang w:val="nl-NL"/>
        </w:rPr>
        <w:t>Het VN-verdrag Handicap in Utrecht. Uitvoeringsprogramma Utrecht toegankelijk voor iedereen.</w:t>
      </w:r>
      <w:r>
        <w:rPr>
          <w:lang w:val="nl-NL"/>
        </w:rPr>
        <w:t xml:space="preserve"> </w:t>
      </w:r>
      <w:r w:rsidRPr="00CE4642">
        <w:rPr>
          <w:lang w:val="nl-NL"/>
        </w:rPr>
        <w:t>(</w:t>
      </w:r>
      <w:r w:rsidRPr="00CE4642">
        <w:rPr>
          <w:i/>
          <w:iCs/>
          <w:lang w:val="nl-NL"/>
        </w:rPr>
        <w:t xml:space="preserve">The UN- Convention on Disability. </w:t>
      </w:r>
      <w:r w:rsidRPr="009E4499">
        <w:rPr>
          <w:i/>
          <w:iCs/>
          <w:lang w:val="nl-NL"/>
        </w:rPr>
        <w:t>Implementation programme ‘Utrecht accessible for everyone’</w:t>
      </w:r>
      <w:r w:rsidRPr="009E4499">
        <w:rPr>
          <w:lang w:val="nl-NL"/>
        </w:rPr>
        <w:t xml:space="preserve">) (Gemeente Utrecht 2018)  </w:t>
      </w:r>
      <w:r w:rsidR="00043F52">
        <w:fldChar w:fldCharType="begin"/>
      </w:r>
      <w:r w:rsidR="00043F52">
        <w:instrText xml:space="preserve"> HYPERLINK "https://ris2.ibabs.eu/Agenda/Details/Utrecht/5fef184d-503c-400b-98b2-51d661379d57" </w:instrText>
      </w:r>
      <w:r w:rsidR="00043F52">
        <w:fldChar w:fldCharType="separate"/>
      </w:r>
      <w:r w:rsidRPr="009E4499">
        <w:rPr>
          <w:rStyle w:val="Hyperlink"/>
          <w:rFonts w:cstheme="minorBidi"/>
          <w:lang w:val="nl-NL"/>
        </w:rPr>
        <w:t>https://ris2.ibabs.eu/Agenda/Details/Utrecht/5fef184d-503c-400b-98b2-51d661379d57</w:t>
      </w:r>
      <w:r w:rsidR="00043F52">
        <w:rPr>
          <w:rStyle w:val="Hyperlink"/>
          <w:rFonts w:cstheme="minorBidi"/>
          <w:lang w:val="nl-NL"/>
        </w:rPr>
        <w:fldChar w:fldCharType="end"/>
      </w:r>
      <w:r w:rsidRPr="009E4499">
        <w:rPr>
          <w:lang w:val="nl-NL"/>
        </w:rPr>
        <w:t xml:space="preserve"> Accessed 29 June 2020.</w:t>
      </w:r>
    </w:p>
  </w:footnote>
  <w:footnote w:id="185">
    <w:p w14:paraId="6342C843" w14:textId="1E8421E0" w:rsidR="00B5570E" w:rsidRPr="009E4499" w:rsidRDefault="00B5570E">
      <w:pPr>
        <w:pStyle w:val="FootnoteText"/>
        <w:rPr>
          <w:lang w:val="nl-NL"/>
        </w:rPr>
      </w:pPr>
      <w:r>
        <w:rPr>
          <w:rStyle w:val="FootnoteReference"/>
        </w:rPr>
        <w:footnoteRef/>
      </w:r>
      <w:r w:rsidRPr="00DE35BE">
        <w:rPr>
          <w:lang w:val="nl-NL"/>
        </w:rPr>
        <w:t xml:space="preserve"> </w:t>
      </w:r>
      <w:r w:rsidRPr="002C2DBC">
        <w:rPr>
          <w:i/>
          <w:iCs/>
          <w:lang w:val="nl-NL"/>
        </w:rPr>
        <w:t xml:space="preserve">Het </w:t>
      </w:r>
      <w:r w:rsidRPr="002C2DBC">
        <w:rPr>
          <w:i/>
          <w:iCs/>
          <w:lang w:val="nl-NL"/>
        </w:rPr>
        <w:t>VN-verdrag Handicap in Utrecht. Uitvoeringsprogramma Utrecht toegankelijk voor iedereen</w:t>
      </w:r>
      <w:r w:rsidRPr="00486A98">
        <w:rPr>
          <w:lang w:val="nl-NL"/>
        </w:rPr>
        <w:t>.</w:t>
      </w:r>
      <w:r>
        <w:rPr>
          <w:lang w:val="nl-NL"/>
        </w:rPr>
        <w:t xml:space="preserve"> </w:t>
      </w:r>
      <w:r w:rsidRPr="009E4499">
        <w:rPr>
          <w:lang w:val="nl-NL"/>
        </w:rPr>
        <w:t>(</w:t>
      </w:r>
      <w:r w:rsidRPr="009E4499">
        <w:rPr>
          <w:i/>
          <w:iCs/>
          <w:lang w:val="nl-NL"/>
        </w:rPr>
        <w:t>The UN- Convention on Disability. Implementation programme ‘Utrecht accessible for everyone’</w:t>
      </w:r>
      <w:r w:rsidRPr="009E4499">
        <w:rPr>
          <w:lang w:val="nl-NL"/>
        </w:rPr>
        <w:t>), p. 35.</w:t>
      </w:r>
    </w:p>
  </w:footnote>
  <w:footnote w:id="186">
    <w:p w14:paraId="046590B8" w14:textId="57BCBE16" w:rsidR="00B5570E" w:rsidRPr="009E4499" w:rsidRDefault="00B5570E">
      <w:pPr>
        <w:pStyle w:val="FootnoteText"/>
        <w:rPr>
          <w:lang w:val="nl-NL"/>
        </w:rPr>
      </w:pPr>
      <w:r>
        <w:rPr>
          <w:rStyle w:val="FootnoteReference"/>
        </w:rPr>
        <w:footnoteRef/>
      </w:r>
      <w:r w:rsidRPr="009E4499">
        <w:rPr>
          <w:lang w:val="nl-NL"/>
        </w:rPr>
        <w:t xml:space="preserve"> </w:t>
      </w:r>
      <w:hyperlink r:id="rId74" w:history="1">
        <w:r w:rsidRPr="009E4499">
          <w:rPr>
            <w:rStyle w:val="Hyperlink"/>
            <w:rFonts w:cstheme="minorBidi"/>
            <w:lang w:val="nl-NL"/>
          </w:rPr>
          <w:t>https://pki.utrecht.nl/Loket/product/1baaf0d10f5a241b54fefb981df680e8</w:t>
        </w:r>
      </w:hyperlink>
      <w:r w:rsidRPr="009E4499">
        <w:rPr>
          <w:lang w:val="nl-NL"/>
        </w:rPr>
        <w:t xml:space="preserve"> Accessed </w:t>
      </w:r>
      <w:r w:rsidRPr="009E4499">
        <w:rPr>
          <w:lang w:val="nl-NL"/>
        </w:rPr>
        <w:t>29 June 2020.</w:t>
      </w:r>
    </w:p>
  </w:footnote>
  <w:footnote w:id="187">
    <w:p w14:paraId="350C54B8" w14:textId="722D6B3C" w:rsidR="00B5570E" w:rsidRPr="00781CD1" w:rsidRDefault="00B5570E">
      <w:pPr>
        <w:pStyle w:val="FootnoteText"/>
      </w:pPr>
      <w:r>
        <w:rPr>
          <w:rStyle w:val="FootnoteReference"/>
        </w:rPr>
        <w:footnoteRef/>
      </w:r>
      <w:r w:rsidRPr="00781CD1">
        <w:t xml:space="preserve"> </w:t>
      </w:r>
      <w:hyperlink r:id="rId75" w:history="1">
        <w:r w:rsidRPr="00781CD1">
          <w:rPr>
            <w:rStyle w:val="Hyperlink"/>
            <w:rFonts w:cstheme="minorBidi"/>
          </w:rPr>
          <w:t>https://www.solgu.nl/</w:t>
        </w:r>
      </w:hyperlink>
      <w:r w:rsidRPr="00781CD1">
        <w:t xml:space="preserve"> A</w:t>
      </w:r>
      <w:r>
        <w:t>ccessed 20 April 2020.</w:t>
      </w:r>
    </w:p>
  </w:footnote>
  <w:footnote w:id="188">
    <w:p w14:paraId="071C741B" w14:textId="672EA764" w:rsidR="00B5570E" w:rsidRPr="00DE628D" w:rsidRDefault="00B5570E">
      <w:pPr>
        <w:pStyle w:val="FootnoteText"/>
      </w:pPr>
      <w:r>
        <w:rPr>
          <w:rStyle w:val="FootnoteReference"/>
        </w:rPr>
        <w:footnoteRef/>
      </w:r>
      <w:r w:rsidRPr="00BE2F50">
        <w:rPr>
          <w:lang w:val="nl-NL"/>
        </w:rPr>
        <w:t xml:space="preserve"> </w:t>
      </w:r>
      <w:r>
        <w:rPr>
          <w:lang w:val="nl-NL"/>
        </w:rPr>
        <w:t xml:space="preserve">Gemeente Almere, </w:t>
      </w:r>
      <w:r w:rsidRPr="002C2DBC">
        <w:rPr>
          <w:i/>
          <w:iCs/>
          <w:lang w:val="nl-NL"/>
        </w:rPr>
        <w:t xml:space="preserve">Doen wat nodig is. </w:t>
      </w:r>
      <w:proofErr w:type="spellStart"/>
      <w:proofErr w:type="gramStart"/>
      <w:r w:rsidRPr="00CE4642">
        <w:rPr>
          <w:i/>
          <w:iCs/>
        </w:rPr>
        <w:t>Kadernota</w:t>
      </w:r>
      <w:proofErr w:type="spellEnd"/>
      <w:r w:rsidRPr="00CE4642">
        <w:rPr>
          <w:i/>
          <w:iCs/>
        </w:rPr>
        <w:t xml:space="preserve"> </w:t>
      </w:r>
      <w:proofErr w:type="spellStart"/>
      <w:r w:rsidRPr="00CE4642">
        <w:rPr>
          <w:i/>
          <w:iCs/>
        </w:rPr>
        <w:t>sociaal</w:t>
      </w:r>
      <w:proofErr w:type="spellEnd"/>
      <w:r w:rsidRPr="00CE4642">
        <w:rPr>
          <w:i/>
          <w:iCs/>
        </w:rPr>
        <w:t xml:space="preserve"> </w:t>
      </w:r>
      <w:proofErr w:type="spellStart"/>
      <w:r w:rsidRPr="00CE4642">
        <w:rPr>
          <w:i/>
          <w:iCs/>
        </w:rPr>
        <w:t>domein</w:t>
      </w:r>
      <w:proofErr w:type="spellEnd"/>
      <w:r w:rsidRPr="00CE4642">
        <w:rPr>
          <w:i/>
          <w:iCs/>
        </w:rPr>
        <w:t xml:space="preserve"> 2014</w:t>
      </w:r>
      <w:r w:rsidRPr="00CE4642">
        <w:t xml:space="preserve"> (</w:t>
      </w:r>
      <w:r w:rsidRPr="00CE4642">
        <w:rPr>
          <w:i/>
          <w:iCs/>
        </w:rPr>
        <w:t>‘Doing what it takes.</w:t>
      </w:r>
      <w:proofErr w:type="gramEnd"/>
      <w:r w:rsidRPr="00CE4642">
        <w:rPr>
          <w:i/>
          <w:iCs/>
        </w:rPr>
        <w:t xml:space="preserve"> </w:t>
      </w:r>
      <w:proofErr w:type="gramStart"/>
      <w:r w:rsidRPr="00DE628D">
        <w:rPr>
          <w:i/>
          <w:iCs/>
        </w:rPr>
        <w:t>Framework document social domain 2014’</w:t>
      </w:r>
      <w:r>
        <w:t>)</w:t>
      </w:r>
      <w:r w:rsidRPr="00BE2F50">
        <w:t xml:space="preserve"> </w:t>
      </w:r>
      <w:r>
        <w:t>(</w:t>
      </w:r>
      <w:proofErr w:type="spellStart"/>
      <w:r>
        <w:t>Gemeente</w:t>
      </w:r>
      <w:proofErr w:type="spellEnd"/>
      <w:r>
        <w:t xml:space="preserve"> </w:t>
      </w:r>
      <w:r w:rsidRPr="00DE628D">
        <w:t>Almere</w:t>
      </w:r>
      <w:r>
        <w:t xml:space="preserve"> 2014)</w:t>
      </w:r>
      <w:r w:rsidRPr="00DE628D">
        <w:t>, p. 27.</w:t>
      </w:r>
      <w:proofErr w:type="gramEnd"/>
    </w:p>
  </w:footnote>
  <w:footnote w:id="189">
    <w:p w14:paraId="56E00A1F" w14:textId="1C0E1BC8" w:rsidR="00B5570E" w:rsidRPr="00DE628D" w:rsidRDefault="00B5570E">
      <w:pPr>
        <w:pStyle w:val="FootnoteText"/>
      </w:pPr>
      <w:r>
        <w:rPr>
          <w:rStyle w:val="FootnoteReference"/>
        </w:rPr>
        <w:footnoteRef/>
      </w:r>
      <w:r>
        <w:t xml:space="preserve"> </w:t>
      </w:r>
      <w:proofErr w:type="gramStart"/>
      <w:r>
        <w:t>Including the Youth Act, Participation Act and the Social Support Act 2015.</w:t>
      </w:r>
      <w:proofErr w:type="gramEnd"/>
      <w:r>
        <w:t xml:space="preserve"> </w:t>
      </w:r>
      <w:hyperlink r:id="rId76" w:history="1">
        <w:r w:rsidRPr="00C11B35">
          <w:rPr>
            <w:rStyle w:val="Hyperlink"/>
            <w:rFonts w:cstheme="minorBidi"/>
          </w:rPr>
          <w:t>https://www.government.nl/topics/care-and-support-at-home/social-support-act-wmo</w:t>
        </w:r>
      </w:hyperlink>
      <w:r>
        <w:t xml:space="preserve"> accessed 10 April 2020.</w:t>
      </w:r>
    </w:p>
  </w:footnote>
  <w:footnote w:id="190">
    <w:p w14:paraId="71E97CF8" w14:textId="03D89447" w:rsidR="00B5570E" w:rsidRPr="00990138" w:rsidRDefault="00B5570E">
      <w:pPr>
        <w:pStyle w:val="FootnoteText"/>
        <w:rPr>
          <w:lang w:val="nl-NL"/>
        </w:rPr>
      </w:pPr>
      <w:r>
        <w:rPr>
          <w:rStyle w:val="FootnoteReference"/>
        </w:rPr>
        <w:footnoteRef/>
      </w:r>
      <w:r w:rsidRPr="00990138">
        <w:rPr>
          <w:lang w:val="nl-NL"/>
        </w:rPr>
        <w:t xml:space="preserve"> </w:t>
      </w:r>
      <w:r>
        <w:rPr>
          <w:lang w:val="nl-NL"/>
        </w:rPr>
        <w:t>Gemeente Almere,</w:t>
      </w:r>
      <w:r w:rsidRPr="002C2DBC">
        <w:rPr>
          <w:i/>
          <w:iCs/>
          <w:lang w:val="nl-NL"/>
        </w:rPr>
        <w:t xml:space="preserve"> </w:t>
      </w:r>
      <w:r w:rsidRPr="002C2DBC">
        <w:rPr>
          <w:rFonts w:cs="Arial"/>
          <w:i/>
          <w:iCs/>
          <w:szCs w:val="20"/>
          <w:lang w:val="nl-NL"/>
        </w:rPr>
        <w:t>Mobiliteitsplan Almere Veilig en gezond op weg</w:t>
      </w:r>
      <w:r>
        <w:rPr>
          <w:rFonts w:cs="Arial"/>
          <w:szCs w:val="20"/>
          <w:lang w:val="nl-NL"/>
        </w:rPr>
        <w:t xml:space="preserve"> (‘</w:t>
      </w:r>
      <w:r w:rsidRPr="0047342F">
        <w:rPr>
          <w:rFonts w:cs="Arial"/>
          <w:i/>
          <w:iCs/>
          <w:szCs w:val="20"/>
          <w:lang w:val="nl-NL"/>
        </w:rPr>
        <w:t>Mobility Plan Almere, Safe and healthy underway</w:t>
      </w:r>
      <w:r>
        <w:rPr>
          <w:rFonts w:cs="Arial"/>
          <w:szCs w:val="20"/>
          <w:lang w:val="nl-NL"/>
        </w:rPr>
        <w:t xml:space="preserve">’) (Gemeente Almere 2012), p. 42 – 46. </w:t>
      </w:r>
    </w:p>
  </w:footnote>
  <w:footnote w:id="191">
    <w:p w14:paraId="27A0B83A" w14:textId="4A7F02CD" w:rsidR="00B5570E" w:rsidRPr="00BF299B" w:rsidRDefault="00B5570E" w:rsidP="00BF299B">
      <w:pPr>
        <w:rPr>
          <w:rFonts w:ascii="Times New Roman" w:eastAsia="Times New Roman" w:hAnsi="Times New Roman" w:cs="Times New Roman"/>
          <w:szCs w:val="24"/>
          <w:lang w:val="nl-NL" w:eastAsia="nl-NL"/>
        </w:rPr>
      </w:pPr>
      <w:r>
        <w:rPr>
          <w:rStyle w:val="FootnoteReference"/>
        </w:rPr>
        <w:footnoteRef/>
      </w:r>
      <w:r w:rsidRPr="00BF299B">
        <w:rPr>
          <w:lang w:val="nl-NL"/>
        </w:rPr>
        <w:t xml:space="preserve"> </w:t>
      </w:r>
      <w:r w:rsidRPr="00BF299B">
        <w:rPr>
          <w:rFonts w:eastAsia="Times New Roman" w:cs="Arial"/>
          <w:sz w:val="20"/>
          <w:szCs w:val="20"/>
          <w:lang w:val="nl-NL" w:eastAsia="nl-NL"/>
        </w:rPr>
        <w:t xml:space="preserve">Stadsbeheer, </w:t>
      </w:r>
      <w:r w:rsidRPr="00BF299B">
        <w:rPr>
          <w:rFonts w:eastAsia="Times New Roman" w:cs="Arial"/>
          <w:sz w:val="20"/>
          <w:szCs w:val="20"/>
          <w:lang w:val="nl-NL" w:eastAsia="nl-NL"/>
        </w:rPr>
        <w:t>Advies en Ingenieurs Bureau, Gemeente Almere</w:t>
      </w:r>
      <w:r>
        <w:rPr>
          <w:rFonts w:eastAsia="Times New Roman" w:cs="Arial"/>
          <w:sz w:val="20"/>
          <w:szCs w:val="20"/>
          <w:lang w:val="nl-NL" w:eastAsia="nl-NL"/>
        </w:rPr>
        <w:t>,</w:t>
      </w:r>
      <w:r w:rsidRPr="00BF299B">
        <w:rPr>
          <w:rFonts w:eastAsia="Times New Roman" w:cs="Arial"/>
          <w:sz w:val="20"/>
          <w:szCs w:val="20"/>
          <w:lang w:val="nl-NL" w:eastAsia="nl-NL"/>
        </w:rPr>
        <w:t xml:space="preserve"> </w:t>
      </w:r>
      <w:r>
        <w:rPr>
          <w:rFonts w:eastAsia="Times New Roman" w:cs="Arial"/>
          <w:sz w:val="20"/>
          <w:szCs w:val="20"/>
          <w:lang w:val="nl-NL" w:eastAsia="nl-NL"/>
        </w:rPr>
        <w:t>‘</w:t>
      </w:r>
      <w:r w:rsidRPr="00BF299B">
        <w:rPr>
          <w:rFonts w:eastAsia="Times New Roman" w:cs="Arial"/>
          <w:sz w:val="20"/>
          <w:szCs w:val="20"/>
          <w:lang w:val="nl-NL" w:eastAsia="nl-NL"/>
        </w:rPr>
        <w:t>Visie Beheer Openbare Ruimte</w:t>
      </w:r>
      <w:r>
        <w:rPr>
          <w:rFonts w:eastAsia="Times New Roman" w:cs="Arial"/>
          <w:sz w:val="20"/>
          <w:szCs w:val="20"/>
          <w:lang w:val="nl-NL" w:eastAsia="nl-NL"/>
        </w:rPr>
        <w:t>.</w:t>
      </w:r>
      <w:r w:rsidRPr="00BF299B">
        <w:rPr>
          <w:rFonts w:eastAsia="Times New Roman" w:cs="Arial"/>
          <w:sz w:val="20"/>
          <w:szCs w:val="20"/>
          <w:lang w:val="nl-NL" w:eastAsia="nl-NL"/>
        </w:rPr>
        <w:t xml:space="preserve"> Beheer maakt het verschil</w:t>
      </w:r>
      <w:r>
        <w:rPr>
          <w:rFonts w:eastAsia="Times New Roman" w:cs="Arial"/>
          <w:sz w:val="20"/>
          <w:szCs w:val="20"/>
          <w:lang w:val="nl-NL" w:eastAsia="nl-NL"/>
        </w:rPr>
        <w:t>’ (‘</w:t>
      </w:r>
      <w:r w:rsidRPr="00BF299B">
        <w:rPr>
          <w:rFonts w:eastAsia="Times New Roman" w:cs="Arial"/>
          <w:i/>
          <w:iCs/>
          <w:sz w:val="20"/>
          <w:szCs w:val="20"/>
          <w:lang w:val="nl-NL" w:eastAsia="nl-NL"/>
        </w:rPr>
        <w:t>Vision Management Public Space. Management makes the difference.</w:t>
      </w:r>
      <w:r>
        <w:rPr>
          <w:rFonts w:eastAsia="Times New Roman" w:cs="Arial"/>
          <w:sz w:val="20"/>
          <w:szCs w:val="20"/>
          <w:lang w:val="nl-NL" w:eastAsia="nl-NL"/>
        </w:rPr>
        <w:t>’)</w:t>
      </w:r>
      <w:r w:rsidRPr="00BF299B">
        <w:rPr>
          <w:rFonts w:eastAsia="Times New Roman" w:cs="Arial"/>
          <w:sz w:val="20"/>
          <w:szCs w:val="20"/>
          <w:lang w:val="nl-NL" w:eastAsia="nl-NL"/>
        </w:rPr>
        <w:t xml:space="preserve"> </w:t>
      </w:r>
      <w:r>
        <w:rPr>
          <w:rFonts w:eastAsia="Times New Roman" w:cs="Arial"/>
          <w:sz w:val="20"/>
          <w:szCs w:val="20"/>
          <w:lang w:val="nl-NL" w:eastAsia="nl-NL"/>
        </w:rPr>
        <w:t xml:space="preserve">(August </w:t>
      </w:r>
      <w:r w:rsidRPr="00BF299B">
        <w:rPr>
          <w:rFonts w:eastAsia="Times New Roman" w:cs="Arial"/>
          <w:sz w:val="20"/>
          <w:szCs w:val="20"/>
          <w:lang w:val="nl-NL" w:eastAsia="nl-NL"/>
        </w:rPr>
        <w:t>2012</w:t>
      </w:r>
      <w:r>
        <w:rPr>
          <w:rFonts w:eastAsia="Times New Roman" w:cs="Arial"/>
          <w:sz w:val="20"/>
          <w:szCs w:val="20"/>
          <w:lang w:val="nl-NL" w:eastAsia="nl-NL"/>
        </w:rPr>
        <w:t>).</w:t>
      </w:r>
      <w:r w:rsidRPr="00BF299B">
        <w:rPr>
          <w:rFonts w:eastAsia="Times New Roman" w:cs="Arial"/>
          <w:sz w:val="20"/>
          <w:szCs w:val="20"/>
          <w:lang w:val="nl-NL" w:eastAsia="nl-NL"/>
        </w:rPr>
        <w:t xml:space="preserve"> </w:t>
      </w:r>
    </w:p>
  </w:footnote>
  <w:footnote w:id="192">
    <w:p w14:paraId="5F9AF423" w14:textId="406730C1" w:rsidR="00B5570E" w:rsidRPr="00AC2195" w:rsidRDefault="00B5570E">
      <w:pPr>
        <w:pStyle w:val="FootnoteText"/>
        <w:rPr>
          <w:lang w:val="nl-NL"/>
        </w:rPr>
      </w:pPr>
      <w:r>
        <w:rPr>
          <w:rStyle w:val="FootnoteReference"/>
        </w:rPr>
        <w:footnoteRef/>
      </w:r>
      <w:r w:rsidRPr="00AC2195">
        <w:rPr>
          <w:lang w:val="nl-NL"/>
        </w:rPr>
        <w:t xml:space="preserve"> </w:t>
      </w:r>
      <w:r w:rsidRPr="00AC2195">
        <w:rPr>
          <w:lang w:val="nl-NL"/>
        </w:rPr>
        <w:t xml:space="preserve">Gemeente Almere, </w:t>
      </w:r>
      <w:r w:rsidRPr="002C2DBC">
        <w:rPr>
          <w:i/>
          <w:iCs/>
          <w:lang w:val="nl-NL"/>
        </w:rPr>
        <w:t xml:space="preserve">Handboek </w:t>
      </w:r>
      <w:r w:rsidRPr="002C2DBC">
        <w:rPr>
          <w:i/>
          <w:iCs/>
          <w:sz w:val="19"/>
          <w:szCs w:val="19"/>
          <w:lang w:val="nl-NL"/>
        </w:rPr>
        <w:t>Bereikbaarheid, Leefbaarheid, Veiligheid en Communicatie</w:t>
      </w:r>
      <w:r w:rsidRPr="00AC2195">
        <w:rPr>
          <w:lang w:val="nl-NL"/>
        </w:rPr>
        <w:t xml:space="preserve"> (‘</w:t>
      </w:r>
      <w:r w:rsidRPr="00AC2195">
        <w:rPr>
          <w:i/>
          <w:iCs/>
          <w:lang w:val="nl-NL"/>
        </w:rPr>
        <w:t>Manual Accessibility, Livability, Safety and Communication</w:t>
      </w:r>
      <w:r w:rsidRPr="00AC2195">
        <w:rPr>
          <w:lang w:val="nl-NL"/>
        </w:rPr>
        <w:t>.’) (</w:t>
      </w:r>
      <w:r>
        <w:rPr>
          <w:rFonts w:cs="Arial"/>
          <w:szCs w:val="20"/>
          <w:lang w:val="nl-NL"/>
        </w:rPr>
        <w:t xml:space="preserve">Gemeente Almere </w:t>
      </w:r>
      <w:r w:rsidRPr="00AC2195">
        <w:rPr>
          <w:lang w:val="nl-NL"/>
        </w:rPr>
        <w:t>2014), p. 22.</w:t>
      </w:r>
    </w:p>
  </w:footnote>
  <w:footnote w:id="193">
    <w:p w14:paraId="482D6758" w14:textId="3D2496E6" w:rsidR="00B5570E" w:rsidRPr="009E4499" w:rsidRDefault="00B5570E">
      <w:pPr>
        <w:pStyle w:val="FootnoteText"/>
        <w:rPr>
          <w:lang w:val="it-IT"/>
        </w:rPr>
      </w:pPr>
      <w:r>
        <w:rPr>
          <w:rStyle w:val="FootnoteReference"/>
        </w:rPr>
        <w:footnoteRef/>
      </w:r>
      <w:r w:rsidRPr="00054219">
        <w:rPr>
          <w:lang w:val="nl-NL"/>
        </w:rPr>
        <w:t xml:space="preserve"> </w:t>
      </w:r>
      <w:r>
        <w:rPr>
          <w:lang w:val="nl-NL"/>
        </w:rPr>
        <w:t xml:space="preserve">Gemeente </w:t>
      </w:r>
      <w:r>
        <w:rPr>
          <w:lang w:val="nl-NL"/>
        </w:rPr>
        <w:t xml:space="preserve">Almere, </w:t>
      </w:r>
      <w:r w:rsidRPr="002C2DBC">
        <w:rPr>
          <w:i/>
          <w:iCs/>
          <w:lang w:val="nl-NL"/>
        </w:rPr>
        <w:t xml:space="preserve">Anticiperen op wat nodig is. </w:t>
      </w:r>
      <w:proofErr w:type="spellStart"/>
      <w:r w:rsidRPr="002C2DBC">
        <w:rPr>
          <w:i/>
          <w:iCs/>
        </w:rPr>
        <w:t>Beleidskader</w:t>
      </w:r>
      <w:proofErr w:type="spellEnd"/>
      <w:r w:rsidRPr="002C2DBC">
        <w:rPr>
          <w:i/>
          <w:iCs/>
        </w:rPr>
        <w:t xml:space="preserve"> </w:t>
      </w:r>
      <w:proofErr w:type="spellStart"/>
      <w:r w:rsidRPr="002C2DBC">
        <w:rPr>
          <w:i/>
          <w:iCs/>
        </w:rPr>
        <w:t>sociaal</w:t>
      </w:r>
      <w:proofErr w:type="spellEnd"/>
      <w:r w:rsidRPr="002C2DBC">
        <w:rPr>
          <w:i/>
          <w:iCs/>
        </w:rPr>
        <w:t xml:space="preserve"> </w:t>
      </w:r>
      <w:proofErr w:type="spellStart"/>
      <w:r w:rsidRPr="002C2DBC">
        <w:rPr>
          <w:i/>
          <w:iCs/>
        </w:rPr>
        <w:t>domein</w:t>
      </w:r>
      <w:proofErr w:type="spellEnd"/>
      <w:r w:rsidRPr="002C2DBC">
        <w:rPr>
          <w:i/>
          <w:iCs/>
        </w:rPr>
        <w:t xml:space="preserve"> 2019-2022</w:t>
      </w:r>
      <w:r w:rsidRPr="002C2DBC">
        <w:t xml:space="preserve"> (</w:t>
      </w:r>
      <w:proofErr w:type="gramStart"/>
      <w:r w:rsidRPr="002C2DBC">
        <w:t>‘</w:t>
      </w:r>
      <w:r w:rsidRPr="002C2DBC">
        <w:rPr>
          <w:i/>
          <w:iCs/>
        </w:rPr>
        <w:t>Foreseeing</w:t>
      </w:r>
      <w:proofErr w:type="gramEnd"/>
      <w:r w:rsidRPr="002C2DBC">
        <w:rPr>
          <w:i/>
          <w:iCs/>
        </w:rPr>
        <w:t xml:space="preserve"> what it takes. </w:t>
      </w:r>
      <w:r w:rsidRPr="009E4499">
        <w:rPr>
          <w:i/>
          <w:iCs/>
          <w:lang w:val="it-IT"/>
        </w:rPr>
        <w:t>Policy framework social domain 2019-2022</w:t>
      </w:r>
      <w:r w:rsidRPr="009E4499">
        <w:rPr>
          <w:lang w:val="it-IT"/>
        </w:rPr>
        <w:t>’), (</w:t>
      </w:r>
      <w:r w:rsidRPr="009E4499">
        <w:rPr>
          <w:rFonts w:cs="Arial"/>
          <w:szCs w:val="20"/>
          <w:lang w:val="it-IT"/>
        </w:rPr>
        <w:t>Gemeente Almere 2019)</w:t>
      </w:r>
      <w:r w:rsidRPr="009E4499">
        <w:rPr>
          <w:lang w:val="it-IT"/>
        </w:rPr>
        <w:t xml:space="preserve">, p. 9. </w:t>
      </w:r>
    </w:p>
  </w:footnote>
  <w:footnote w:id="194">
    <w:p w14:paraId="515293AB" w14:textId="37AC4A53" w:rsidR="00B5570E" w:rsidRPr="00B91D12" w:rsidRDefault="00B5570E">
      <w:pPr>
        <w:pStyle w:val="FootnoteText"/>
      </w:pPr>
      <w:r>
        <w:rPr>
          <w:rStyle w:val="FootnoteReference"/>
        </w:rPr>
        <w:footnoteRef/>
      </w:r>
      <w:r w:rsidRPr="009E4499">
        <w:rPr>
          <w:lang w:val="it-IT"/>
        </w:rPr>
        <w:t xml:space="preserve"> </w:t>
      </w:r>
      <w:r w:rsidRPr="009E4499">
        <w:rPr>
          <w:lang w:val="it-IT"/>
        </w:rPr>
        <w:t xml:space="preserve">Gemeente </w:t>
      </w:r>
      <w:r w:rsidRPr="009E4499">
        <w:rPr>
          <w:lang w:val="it-IT"/>
        </w:rPr>
        <w:t xml:space="preserve">Almere, </w:t>
      </w:r>
      <w:r w:rsidRPr="009E4499">
        <w:rPr>
          <w:i/>
          <w:iCs/>
          <w:lang w:val="it-IT"/>
        </w:rPr>
        <w:t>Inclusie-agenda Almere 2018-2021</w:t>
      </w:r>
      <w:r w:rsidRPr="009E4499">
        <w:rPr>
          <w:lang w:val="it-IT"/>
        </w:rPr>
        <w:t xml:space="preserve"> (‘</w:t>
      </w:r>
      <w:r w:rsidRPr="009E4499">
        <w:rPr>
          <w:i/>
          <w:iCs/>
          <w:lang w:val="it-IT"/>
        </w:rPr>
        <w:t>Inclusion Agenda Almere 2018-2021</w:t>
      </w:r>
      <w:r w:rsidRPr="009E4499">
        <w:rPr>
          <w:lang w:val="it-IT"/>
        </w:rPr>
        <w:t xml:space="preserve">’), p. 9 - 12. </w:t>
      </w:r>
      <w:r w:rsidR="00043F52">
        <w:fldChar w:fldCharType="begin"/>
      </w:r>
      <w:r w:rsidR="00043F52">
        <w:instrText xml:space="preserve"> HYPERLINK "https://www.almere.nl/fileadmin/files/almere/AlmereKracht/Inclusieagenda_Almere_2018-2021.pdf" </w:instrText>
      </w:r>
      <w:r w:rsidR="00043F52">
        <w:fldChar w:fldCharType="separate"/>
      </w:r>
      <w:r w:rsidRPr="00C11B35">
        <w:rPr>
          <w:rStyle w:val="Hyperlink"/>
          <w:rFonts w:cstheme="minorBidi"/>
        </w:rPr>
        <w:t>https://www.almere.nl/fileadmin/files/almere/AlmereKracht/Inclusieagenda_Almere_2018-2021.pdf</w:t>
      </w:r>
      <w:r w:rsidR="00043F52">
        <w:rPr>
          <w:rStyle w:val="Hyperlink"/>
          <w:rFonts w:cstheme="minorBidi"/>
        </w:rPr>
        <w:fldChar w:fldCharType="end"/>
      </w:r>
      <w:r>
        <w:t xml:space="preserve"> accessed 10 April 2020.</w:t>
      </w:r>
    </w:p>
  </w:footnote>
  <w:footnote w:id="195">
    <w:p w14:paraId="51724534" w14:textId="522C874F" w:rsidR="00B5570E" w:rsidRPr="00F85F4B" w:rsidRDefault="00B5570E">
      <w:pPr>
        <w:pStyle w:val="FootnoteText"/>
      </w:pPr>
      <w:r>
        <w:rPr>
          <w:rStyle w:val="FootnoteReference"/>
        </w:rPr>
        <w:footnoteRef/>
      </w:r>
      <w:r>
        <w:t xml:space="preserve"> </w:t>
      </w:r>
      <w:proofErr w:type="gramStart"/>
      <w:r>
        <w:t>Articles 2.6 and 2.8 General Local Ordinance 2011 Almere.</w:t>
      </w:r>
      <w:proofErr w:type="gramEnd"/>
    </w:p>
  </w:footnote>
  <w:footnote w:id="196">
    <w:p w14:paraId="6E876C83" w14:textId="0CD242A9" w:rsidR="00B5570E" w:rsidRPr="00F85F4B" w:rsidRDefault="00B5570E">
      <w:pPr>
        <w:pStyle w:val="FootnoteText"/>
      </w:pPr>
      <w:r>
        <w:rPr>
          <w:rStyle w:val="FootnoteReference"/>
        </w:rPr>
        <w:footnoteRef/>
      </w:r>
      <w:r>
        <w:t xml:space="preserve"> </w:t>
      </w:r>
      <w:proofErr w:type="gramStart"/>
      <w:r>
        <w:t>Article 2.52 General Local Ordinance 2011 Almere.</w:t>
      </w:r>
      <w:proofErr w:type="gramEnd"/>
    </w:p>
  </w:footnote>
  <w:footnote w:id="197">
    <w:p w14:paraId="7253986E" w14:textId="36366DBF" w:rsidR="00B5570E" w:rsidRPr="00EB0EBE" w:rsidRDefault="00B5570E">
      <w:pPr>
        <w:pStyle w:val="FootnoteText"/>
      </w:pPr>
      <w:r>
        <w:rPr>
          <w:rStyle w:val="FootnoteReference"/>
        </w:rPr>
        <w:footnoteRef/>
      </w:r>
      <w:r w:rsidRPr="009E4499">
        <w:t xml:space="preserve"> </w:t>
      </w:r>
      <w:proofErr w:type="spellStart"/>
      <w:r w:rsidRPr="009E4499">
        <w:t>Gemeente</w:t>
      </w:r>
      <w:proofErr w:type="spellEnd"/>
      <w:r w:rsidRPr="009E4499">
        <w:t xml:space="preserve"> Almere, </w:t>
      </w:r>
      <w:proofErr w:type="spellStart"/>
      <w:r w:rsidRPr="009E4499">
        <w:rPr>
          <w:i/>
          <w:iCs/>
        </w:rPr>
        <w:t>Omgevingsvisie</w:t>
      </w:r>
      <w:proofErr w:type="spellEnd"/>
      <w:r w:rsidRPr="009E4499">
        <w:rPr>
          <w:i/>
          <w:iCs/>
        </w:rPr>
        <w:t xml:space="preserve"> Almere. </w:t>
      </w:r>
      <w:proofErr w:type="spellStart"/>
      <w:r w:rsidRPr="009E4499">
        <w:rPr>
          <w:i/>
          <w:iCs/>
        </w:rPr>
        <w:t>Structuurvisie</w:t>
      </w:r>
      <w:proofErr w:type="spellEnd"/>
      <w:r w:rsidRPr="009E4499">
        <w:rPr>
          <w:i/>
          <w:iCs/>
        </w:rPr>
        <w:t xml:space="preserve"> Almere conform </w:t>
      </w:r>
      <w:proofErr w:type="spellStart"/>
      <w:r w:rsidRPr="009E4499">
        <w:rPr>
          <w:i/>
          <w:iCs/>
        </w:rPr>
        <w:t>Wro</w:t>
      </w:r>
      <w:proofErr w:type="spellEnd"/>
      <w:r w:rsidRPr="009E4499">
        <w:t xml:space="preserve"> (‘</w:t>
      </w:r>
      <w:r w:rsidRPr="009E4499">
        <w:rPr>
          <w:i/>
          <w:iCs/>
        </w:rPr>
        <w:t xml:space="preserve">Environmental Vision Almere. </w:t>
      </w:r>
      <w:r w:rsidRPr="00EB0EBE">
        <w:rPr>
          <w:i/>
          <w:iCs/>
        </w:rPr>
        <w:t xml:space="preserve">Structural vision in accordance </w:t>
      </w:r>
      <w:proofErr w:type="gramStart"/>
      <w:r w:rsidRPr="00EB0EBE">
        <w:rPr>
          <w:i/>
          <w:iCs/>
        </w:rPr>
        <w:t>with  Spatial</w:t>
      </w:r>
      <w:proofErr w:type="gramEnd"/>
      <w:r w:rsidRPr="00EB0EBE">
        <w:rPr>
          <w:i/>
          <w:iCs/>
        </w:rPr>
        <w:t xml:space="preserve"> Planning Act, 2017</w:t>
      </w:r>
      <w:r w:rsidRPr="00EB0EBE">
        <w:t>’)</w:t>
      </w:r>
      <w:r>
        <w:t xml:space="preserve"> </w:t>
      </w:r>
      <w:r w:rsidRPr="00073051">
        <w:t>(</w:t>
      </w:r>
      <w:proofErr w:type="spellStart"/>
      <w:r w:rsidRPr="00D66E1F">
        <w:rPr>
          <w:rFonts w:cs="Arial"/>
          <w:szCs w:val="20"/>
        </w:rPr>
        <w:t>Gemeente</w:t>
      </w:r>
      <w:proofErr w:type="spellEnd"/>
      <w:r w:rsidRPr="00D66E1F">
        <w:rPr>
          <w:rFonts w:cs="Arial"/>
          <w:szCs w:val="20"/>
        </w:rPr>
        <w:t xml:space="preserve"> Almere </w:t>
      </w:r>
      <w:r w:rsidRPr="00073051">
        <w:t>2017)</w:t>
      </w:r>
      <w:r w:rsidRPr="00EB0EBE">
        <w:t>.</w:t>
      </w:r>
    </w:p>
  </w:footnote>
  <w:footnote w:id="198">
    <w:p w14:paraId="166E2477" w14:textId="1478F779" w:rsidR="00B5570E" w:rsidRPr="00EB0EBE" w:rsidRDefault="00B5570E">
      <w:pPr>
        <w:pStyle w:val="FootnoteText"/>
      </w:pPr>
      <w:r>
        <w:rPr>
          <w:rStyle w:val="FootnoteReference"/>
        </w:rPr>
        <w:footnoteRef/>
      </w:r>
      <w:r w:rsidRPr="009E4499">
        <w:t xml:space="preserve"> </w:t>
      </w:r>
      <w:proofErr w:type="spellStart"/>
      <w:r w:rsidRPr="009E4499">
        <w:t>Gemeente</w:t>
      </w:r>
      <w:proofErr w:type="spellEnd"/>
      <w:r w:rsidRPr="009E4499">
        <w:t xml:space="preserve"> Almere, </w:t>
      </w:r>
      <w:proofErr w:type="spellStart"/>
      <w:r w:rsidRPr="009E4499">
        <w:rPr>
          <w:i/>
          <w:iCs/>
        </w:rPr>
        <w:t>Omgevingsvisie</w:t>
      </w:r>
      <w:proofErr w:type="spellEnd"/>
      <w:r w:rsidRPr="009E4499">
        <w:rPr>
          <w:i/>
          <w:iCs/>
        </w:rPr>
        <w:t xml:space="preserve"> Almere. </w:t>
      </w:r>
      <w:proofErr w:type="spellStart"/>
      <w:r w:rsidRPr="009E4499">
        <w:rPr>
          <w:i/>
          <w:iCs/>
        </w:rPr>
        <w:t>Structuurvisie</w:t>
      </w:r>
      <w:proofErr w:type="spellEnd"/>
      <w:r w:rsidRPr="009E4499">
        <w:rPr>
          <w:i/>
          <w:iCs/>
        </w:rPr>
        <w:t xml:space="preserve"> Almere conform </w:t>
      </w:r>
      <w:proofErr w:type="spellStart"/>
      <w:r w:rsidRPr="009E4499">
        <w:rPr>
          <w:i/>
          <w:iCs/>
        </w:rPr>
        <w:t>Wro</w:t>
      </w:r>
      <w:proofErr w:type="spellEnd"/>
      <w:r w:rsidRPr="009E4499">
        <w:t xml:space="preserve"> (‘</w:t>
      </w:r>
      <w:r w:rsidRPr="009E4499">
        <w:rPr>
          <w:i/>
          <w:iCs/>
        </w:rPr>
        <w:t xml:space="preserve">Environmental Vision Almere. </w:t>
      </w:r>
      <w:r w:rsidRPr="00EB0EBE">
        <w:rPr>
          <w:i/>
          <w:iCs/>
        </w:rPr>
        <w:t xml:space="preserve">Structural vision in accordance </w:t>
      </w:r>
      <w:proofErr w:type="gramStart"/>
      <w:r w:rsidRPr="00EB0EBE">
        <w:rPr>
          <w:i/>
          <w:iCs/>
        </w:rPr>
        <w:t>with  Spatial</w:t>
      </w:r>
      <w:proofErr w:type="gramEnd"/>
      <w:r w:rsidRPr="00EB0EBE">
        <w:rPr>
          <w:i/>
          <w:iCs/>
        </w:rPr>
        <w:t xml:space="preserve"> Planning Act, 2017</w:t>
      </w:r>
      <w:r w:rsidRPr="00EB0EBE">
        <w:t>’)</w:t>
      </w:r>
      <w:r>
        <w:t xml:space="preserve"> </w:t>
      </w:r>
      <w:r w:rsidRPr="00073051">
        <w:t>(</w:t>
      </w:r>
      <w:proofErr w:type="spellStart"/>
      <w:r w:rsidRPr="00D66E1F">
        <w:rPr>
          <w:rFonts w:cs="Arial"/>
          <w:szCs w:val="20"/>
        </w:rPr>
        <w:t>Gemeente</w:t>
      </w:r>
      <w:proofErr w:type="spellEnd"/>
      <w:r w:rsidRPr="00D66E1F">
        <w:rPr>
          <w:rFonts w:cs="Arial"/>
          <w:szCs w:val="20"/>
        </w:rPr>
        <w:t xml:space="preserve"> Almere </w:t>
      </w:r>
      <w:r w:rsidRPr="00073051">
        <w:t>2017)</w:t>
      </w:r>
      <w:r w:rsidRPr="00EB0EBE">
        <w:t>,</w:t>
      </w:r>
      <w:r>
        <w:t xml:space="preserve"> p. 24.</w:t>
      </w:r>
    </w:p>
  </w:footnote>
  <w:footnote w:id="199">
    <w:p w14:paraId="7442FB6D" w14:textId="163D3DF3" w:rsidR="00B5570E" w:rsidRPr="00073051" w:rsidRDefault="00B5570E">
      <w:pPr>
        <w:pStyle w:val="FootnoteText"/>
      </w:pPr>
      <w:r>
        <w:rPr>
          <w:rStyle w:val="FootnoteReference"/>
        </w:rPr>
        <w:footnoteRef/>
      </w:r>
      <w:r w:rsidRPr="009E4499">
        <w:t xml:space="preserve"> </w:t>
      </w:r>
      <w:proofErr w:type="spellStart"/>
      <w:r w:rsidRPr="009E4499">
        <w:t>Gemeente</w:t>
      </w:r>
      <w:proofErr w:type="spellEnd"/>
      <w:r w:rsidRPr="009E4499">
        <w:t xml:space="preserve"> Almere, </w:t>
      </w:r>
      <w:proofErr w:type="spellStart"/>
      <w:r w:rsidRPr="009E4499">
        <w:rPr>
          <w:i/>
          <w:iCs/>
        </w:rPr>
        <w:t>Omgevingsvisie</w:t>
      </w:r>
      <w:proofErr w:type="spellEnd"/>
      <w:r w:rsidRPr="009E4499">
        <w:rPr>
          <w:i/>
          <w:iCs/>
        </w:rPr>
        <w:t xml:space="preserve"> Almere. </w:t>
      </w:r>
      <w:proofErr w:type="spellStart"/>
      <w:r w:rsidRPr="009E4499">
        <w:rPr>
          <w:i/>
          <w:iCs/>
        </w:rPr>
        <w:t>Structuurvisie</w:t>
      </w:r>
      <w:proofErr w:type="spellEnd"/>
      <w:r w:rsidRPr="009E4499">
        <w:rPr>
          <w:i/>
          <w:iCs/>
        </w:rPr>
        <w:t xml:space="preserve"> Almere conform </w:t>
      </w:r>
      <w:proofErr w:type="spellStart"/>
      <w:r w:rsidRPr="009E4499">
        <w:rPr>
          <w:i/>
          <w:iCs/>
        </w:rPr>
        <w:t>Wro</w:t>
      </w:r>
      <w:proofErr w:type="spellEnd"/>
      <w:r w:rsidRPr="009E4499">
        <w:t xml:space="preserve"> (‘</w:t>
      </w:r>
      <w:r w:rsidRPr="009E4499">
        <w:rPr>
          <w:i/>
          <w:iCs/>
        </w:rPr>
        <w:t xml:space="preserve">Environmental Vision Almere. </w:t>
      </w:r>
      <w:r w:rsidRPr="00EB0EBE">
        <w:rPr>
          <w:i/>
          <w:iCs/>
        </w:rPr>
        <w:t xml:space="preserve">Structural vision in accordance </w:t>
      </w:r>
      <w:proofErr w:type="gramStart"/>
      <w:r w:rsidRPr="00EB0EBE">
        <w:rPr>
          <w:i/>
          <w:iCs/>
        </w:rPr>
        <w:t>with  Spatial</w:t>
      </w:r>
      <w:proofErr w:type="gramEnd"/>
      <w:r w:rsidRPr="00EB0EBE">
        <w:rPr>
          <w:i/>
          <w:iCs/>
        </w:rPr>
        <w:t xml:space="preserve"> Planning Act, 2017</w:t>
      </w:r>
      <w:r w:rsidRPr="00EB0EBE">
        <w:t>’)</w:t>
      </w:r>
      <w:r>
        <w:t xml:space="preserve"> </w:t>
      </w:r>
      <w:r w:rsidRPr="00073051">
        <w:t>(</w:t>
      </w:r>
      <w:proofErr w:type="spellStart"/>
      <w:r w:rsidRPr="00D66E1F">
        <w:rPr>
          <w:rFonts w:cs="Arial"/>
          <w:szCs w:val="20"/>
        </w:rPr>
        <w:t>Gemeente</w:t>
      </w:r>
      <w:proofErr w:type="spellEnd"/>
      <w:r w:rsidRPr="00D66E1F">
        <w:rPr>
          <w:rFonts w:cs="Arial"/>
          <w:szCs w:val="20"/>
        </w:rPr>
        <w:t xml:space="preserve"> Almere </w:t>
      </w:r>
      <w:r w:rsidRPr="00073051">
        <w:t>2017), p. 20.</w:t>
      </w:r>
    </w:p>
  </w:footnote>
  <w:footnote w:id="200">
    <w:p w14:paraId="307C16CB" w14:textId="36BAE401" w:rsidR="00B5570E" w:rsidRPr="00BD422D" w:rsidRDefault="00B5570E">
      <w:pPr>
        <w:pStyle w:val="FootnoteText"/>
      </w:pPr>
      <w:r>
        <w:rPr>
          <w:rStyle w:val="FootnoteReference"/>
        </w:rPr>
        <w:footnoteRef/>
      </w:r>
      <w:r w:rsidRPr="00BD422D">
        <w:rPr>
          <w:lang w:val="nl-NL"/>
        </w:rPr>
        <w:t xml:space="preserve"> </w:t>
      </w:r>
      <w:r>
        <w:rPr>
          <w:lang w:val="nl-NL"/>
        </w:rPr>
        <w:t>Gemeente Almere</w:t>
      </w:r>
      <w:r w:rsidRPr="002C2DBC">
        <w:rPr>
          <w:lang w:val="nl-NL"/>
        </w:rPr>
        <w:t xml:space="preserve">, </w:t>
      </w:r>
      <w:r w:rsidRPr="00337106">
        <w:rPr>
          <w:i/>
          <w:iCs/>
          <w:lang w:val="nl-NL"/>
        </w:rPr>
        <w:t xml:space="preserve">Anticiperen op wat nodig is. </w:t>
      </w:r>
      <w:proofErr w:type="spellStart"/>
      <w:r w:rsidRPr="00337106">
        <w:rPr>
          <w:i/>
          <w:iCs/>
        </w:rPr>
        <w:t>Beleidskader</w:t>
      </w:r>
      <w:proofErr w:type="spellEnd"/>
      <w:r w:rsidRPr="00337106">
        <w:rPr>
          <w:i/>
          <w:iCs/>
        </w:rPr>
        <w:t xml:space="preserve"> </w:t>
      </w:r>
      <w:proofErr w:type="spellStart"/>
      <w:r w:rsidRPr="00337106">
        <w:rPr>
          <w:i/>
          <w:iCs/>
        </w:rPr>
        <w:t>sociaal</w:t>
      </w:r>
      <w:proofErr w:type="spellEnd"/>
      <w:r w:rsidRPr="00337106">
        <w:rPr>
          <w:i/>
          <w:iCs/>
        </w:rPr>
        <w:t xml:space="preserve"> </w:t>
      </w:r>
      <w:proofErr w:type="spellStart"/>
      <w:r w:rsidRPr="00337106">
        <w:rPr>
          <w:i/>
          <w:iCs/>
        </w:rPr>
        <w:t>domein</w:t>
      </w:r>
      <w:proofErr w:type="spellEnd"/>
      <w:r w:rsidRPr="00337106">
        <w:rPr>
          <w:i/>
          <w:iCs/>
        </w:rPr>
        <w:t xml:space="preserve"> 2019-2022</w:t>
      </w:r>
      <w:r w:rsidRPr="007D4FAF">
        <w:t xml:space="preserve"> (</w:t>
      </w:r>
      <w:proofErr w:type="gramStart"/>
      <w:r w:rsidRPr="007D4FAF">
        <w:t>‘</w:t>
      </w:r>
      <w:r w:rsidRPr="00BD422D">
        <w:rPr>
          <w:i/>
          <w:iCs/>
        </w:rPr>
        <w:t>Foreseeing</w:t>
      </w:r>
      <w:proofErr w:type="gramEnd"/>
      <w:r w:rsidRPr="00BD422D">
        <w:rPr>
          <w:i/>
          <w:iCs/>
        </w:rPr>
        <w:t xml:space="preserve"> what it takes. </w:t>
      </w:r>
      <w:proofErr w:type="gramStart"/>
      <w:r w:rsidRPr="00BD422D">
        <w:rPr>
          <w:i/>
          <w:iCs/>
        </w:rPr>
        <w:t>Policy framework social domain 2019-2022’</w:t>
      </w:r>
      <w:r w:rsidRPr="007D4FAF">
        <w:t xml:space="preserve">) </w:t>
      </w:r>
      <w:r>
        <w:t>(</w:t>
      </w:r>
      <w:proofErr w:type="spellStart"/>
      <w:r>
        <w:t>Gemeente</w:t>
      </w:r>
      <w:proofErr w:type="spellEnd"/>
      <w:r>
        <w:t xml:space="preserve"> </w:t>
      </w:r>
      <w:r w:rsidRPr="007D4FAF">
        <w:t>Almere</w:t>
      </w:r>
      <w:r>
        <w:t xml:space="preserve"> 2018).</w:t>
      </w:r>
      <w:proofErr w:type="gramEnd"/>
      <w:r>
        <w:t xml:space="preserve"> </w:t>
      </w:r>
    </w:p>
  </w:footnote>
  <w:footnote w:id="201">
    <w:p w14:paraId="7F7C8A54" w14:textId="20DFC9DE" w:rsidR="00B5570E" w:rsidRPr="00C13DF0" w:rsidRDefault="00B5570E">
      <w:pPr>
        <w:pStyle w:val="FootnoteText"/>
      </w:pPr>
      <w:r>
        <w:rPr>
          <w:rStyle w:val="FootnoteReference"/>
        </w:rPr>
        <w:footnoteRef/>
      </w:r>
      <w:r>
        <w:t xml:space="preserve"> </w:t>
      </w:r>
      <w:hyperlink r:id="rId77" w:history="1">
        <w:r w:rsidRPr="00ED4A04">
          <w:rPr>
            <w:rStyle w:val="Hyperlink"/>
            <w:rFonts w:cstheme="minorBidi"/>
          </w:rPr>
          <w:t>https://www.decreatievemotor.nl/partners-betrokkenen</w:t>
        </w:r>
      </w:hyperlink>
      <w:r>
        <w:t xml:space="preserve"> Accessed 20 April 2020.</w:t>
      </w:r>
    </w:p>
  </w:footnote>
  <w:footnote w:id="202">
    <w:p w14:paraId="7CEB8727" w14:textId="12CF20F3" w:rsidR="00B5570E" w:rsidRPr="00BD422D" w:rsidRDefault="00B5570E">
      <w:pPr>
        <w:pStyle w:val="FootnoteText"/>
      </w:pPr>
      <w:r>
        <w:rPr>
          <w:rStyle w:val="FootnoteReference"/>
        </w:rPr>
        <w:footnoteRef/>
      </w:r>
      <w:r>
        <w:t xml:space="preserve"> </w:t>
      </w:r>
      <w:hyperlink r:id="rId78" w:history="1">
        <w:r w:rsidRPr="00ED4A04">
          <w:rPr>
            <w:rStyle w:val="Hyperlink"/>
            <w:rFonts w:cstheme="minorBidi"/>
          </w:rPr>
          <w:t>https://disabilitystudies.nl/project/realisatie-inclusie-agenda-almere</w:t>
        </w:r>
      </w:hyperlink>
      <w:r>
        <w:t xml:space="preserve"> Accessed 20 April 2020.</w:t>
      </w:r>
    </w:p>
  </w:footnote>
  <w:footnote w:id="203">
    <w:p w14:paraId="7E3DBBE5" w14:textId="73B06EA8" w:rsidR="00B5570E" w:rsidRPr="00677D32" w:rsidRDefault="00B5570E">
      <w:pPr>
        <w:pStyle w:val="FootnoteText"/>
      </w:pPr>
      <w:r>
        <w:rPr>
          <w:rStyle w:val="FootnoteReference"/>
        </w:rPr>
        <w:footnoteRef/>
      </w:r>
      <w:r>
        <w:t xml:space="preserve"> Complaints may be submitted in person, by telephone or online through </w:t>
      </w:r>
      <w:hyperlink r:id="rId79" w:anchor="/home" w:history="1">
        <w:r w:rsidRPr="000F7633">
          <w:rPr>
            <w:rStyle w:val="Hyperlink"/>
            <w:rFonts w:cstheme="minorBidi"/>
          </w:rPr>
          <w:t>https://discriminatie.nl/#/home</w:t>
        </w:r>
      </w:hyperlink>
      <w:r>
        <w:t xml:space="preserve"> Accessed 13 May 2020.</w:t>
      </w:r>
    </w:p>
  </w:footnote>
  <w:footnote w:id="204">
    <w:p w14:paraId="0F536545" w14:textId="373C6C7A" w:rsidR="00B5570E" w:rsidRPr="00B7788C" w:rsidRDefault="00B5570E">
      <w:pPr>
        <w:pStyle w:val="FootnoteText"/>
      </w:pPr>
      <w:r>
        <w:rPr>
          <w:rStyle w:val="FootnoteReference"/>
        </w:rPr>
        <w:footnoteRef/>
      </w:r>
      <w:r w:rsidRPr="00B7788C">
        <w:t xml:space="preserve"> </w:t>
      </w:r>
      <w:r w:rsidRPr="00B7788C">
        <w:rPr>
          <w:rFonts w:cs="Arial"/>
          <w:szCs w:val="20"/>
        </w:rPr>
        <w:t xml:space="preserve">A.L.M. </w:t>
      </w:r>
      <w:proofErr w:type="spellStart"/>
      <w:r w:rsidRPr="00B7788C">
        <w:rPr>
          <w:rFonts w:cs="Arial"/>
          <w:szCs w:val="20"/>
        </w:rPr>
        <w:t>Keirse</w:t>
      </w:r>
      <w:proofErr w:type="spellEnd"/>
      <w:r w:rsidRPr="00B7788C">
        <w:rPr>
          <w:rFonts w:cs="Arial"/>
          <w:szCs w:val="20"/>
        </w:rPr>
        <w:t xml:space="preserve">, </w:t>
      </w:r>
      <w:proofErr w:type="spellStart"/>
      <w:r w:rsidRPr="00337106">
        <w:rPr>
          <w:rFonts w:eastAsiaTheme="minorHAnsi" w:cs="Arial"/>
          <w:i/>
          <w:iCs/>
          <w:color w:val="000000"/>
          <w:szCs w:val="20"/>
          <w:lang w:eastAsia="en-US"/>
        </w:rPr>
        <w:t>Mogelijkheden</w:t>
      </w:r>
      <w:proofErr w:type="spellEnd"/>
      <w:r w:rsidRPr="00337106">
        <w:rPr>
          <w:rFonts w:eastAsiaTheme="minorHAnsi" w:cs="Arial"/>
          <w:i/>
          <w:iCs/>
          <w:color w:val="000000"/>
          <w:szCs w:val="20"/>
          <w:lang w:eastAsia="en-US"/>
        </w:rPr>
        <w:t xml:space="preserve"> </w:t>
      </w:r>
      <w:proofErr w:type="spellStart"/>
      <w:r w:rsidRPr="00337106">
        <w:rPr>
          <w:rFonts w:eastAsiaTheme="minorHAnsi" w:cs="Arial"/>
          <w:i/>
          <w:iCs/>
          <w:color w:val="000000"/>
          <w:szCs w:val="20"/>
          <w:lang w:eastAsia="en-US"/>
        </w:rPr>
        <w:t>schadevoorkomingsplicht</w:t>
      </w:r>
      <w:proofErr w:type="spellEnd"/>
      <w:r w:rsidRPr="00337106">
        <w:rPr>
          <w:rFonts w:eastAsiaTheme="minorHAnsi" w:cs="Arial"/>
          <w:i/>
          <w:iCs/>
          <w:color w:val="000000"/>
          <w:szCs w:val="20"/>
          <w:lang w:eastAsia="en-US"/>
        </w:rPr>
        <w:t xml:space="preserve"> via </w:t>
      </w:r>
      <w:proofErr w:type="spellStart"/>
      <w:r w:rsidRPr="00337106">
        <w:rPr>
          <w:rFonts w:eastAsiaTheme="minorHAnsi" w:cs="Arial"/>
          <w:i/>
          <w:iCs/>
          <w:color w:val="000000"/>
          <w:szCs w:val="20"/>
          <w:lang w:eastAsia="en-US"/>
        </w:rPr>
        <w:t>aansprakelijkheidsrecht</w:t>
      </w:r>
      <w:proofErr w:type="spellEnd"/>
      <w:r w:rsidRPr="00337106">
        <w:rPr>
          <w:rFonts w:eastAsiaTheme="minorHAnsi" w:cs="Arial"/>
          <w:i/>
          <w:iCs/>
          <w:color w:val="000000"/>
          <w:szCs w:val="20"/>
          <w:lang w:eastAsia="en-US"/>
        </w:rPr>
        <w:t xml:space="preserve">, Rapportage </w:t>
      </w:r>
      <w:proofErr w:type="spellStart"/>
      <w:r w:rsidRPr="00337106">
        <w:rPr>
          <w:rFonts w:eastAsiaTheme="minorHAnsi" w:cs="Arial"/>
          <w:i/>
          <w:iCs/>
          <w:color w:val="000000"/>
          <w:szCs w:val="20"/>
          <w:lang w:eastAsia="en-US"/>
        </w:rPr>
        <w:t>voor</w:t>
      </w:r>
      <w:proofErr w:type="spellEnd"/>
      <w:r w:rsidRPr="00337106">
        <w:rPr>
          <w:rFonts w:eastAsiaTheme="minorHAnsi" w:cs="Arial"/>
          <w:i/>
          <w:iCs/>
          <w:color w:val="000000"/>
          <w:szCs w:val="20"/>
          <w:lang w:eastAsia="en-US"/>
        </w:rPr>
        <w:t xml:space="preserve"> het </w:t>
      </w:r>
      <w:proofErr w:type="spellStart"/>
      <w:r w:rsidRPr="00337106">
        <w:rPr>
          <w:rFonts w:eastAsiaTheme="minorHAnsi" w:cs="Arial"/>
          <w:i/>
          <w:iCs/>
          <w:color w:val="000000"/>
          <w:szCs w:val="20"/>
          <w:lang w:eastAsia="en-US"/>
        </w:rPr>
        <w:t>Ministerie</w:t>
      </w:r>
      <w:proofErr w:type="spellEnd"/>
      <w:r w:rsidRPr="00337106">
        <w:rPr>
          <w:rFonts w:eastAsiaTheme="minorHAnsi" w:cs="Arial"/>
          <w:i/>
          <w:iCs/>
          <w:color w:val="000000"/>
          <w:szCs w:val="20"/>
          <w:lang w:eastAsia="en-US"/>
        </w:rPr>
        <w:t xml:space="preserve"> van </w:t>
      </w:r>
      <w:proofErr w:type="spellStart"/>
      <w:r w:rsidRPr="00337106">
        <w:rPr>
          <w:rFonts w:eastAsiaTheme="minorHAnsi" w:cs="Arial"/>
          <w:i/>
          <w:iCs/>
          <w:color w:val="000000"/>
          <w:szCs w:val="20"/>
          <w:lang w:eastAsia="en-US"/>
        </w:rPr>
        <w:t>Infrastructuur</w:t>
      </w:r>
      <w:proofErr w:type="spellEnd"/>
      <w:r w:rsidRPr="00337106">
        <w:rPr>
          <w:rFonts w:eastAsiaTheme="minorHAnsi" w:cs="Arial"/>
          <w:i/>
          <w:iCs/>
          <w:color w:val="000000"/>
          <w:szCs w:val="20"/>
          <w:lang w:eastAsia="en-US"/>
        </w:rPr>
        <w:t xml:space="preserve"> </w:t>
      </w:r>
      <w:proofErr w:type="spellStart"/>
      <w:r w:rsidRPr="00337106">
        <w:rPr>
          <w:rFonts w:eastAsiaTheme="minorHAnsi" w:cs="Arial"/>
          <w:i/>
          <w:iCs/>
          <w:color w:val="000000"/>
          <w:szCs w:val="20"/>
          <w:lang w:eastAsia="en-US"/>
        </w:rPr>
        <w:t>en</w:t>
      </w:r>
      <w:proofErr w:type="spellEnd"/>
      <w:r w:rsidRPr="00337106">
        <w:rPr>
          <w:rFonts w:eastAsiaTheme="minorHAnsi" w:cs="Arial"/>
          <w:i/>
          <w:iCs/>
          <w:color w:val="000000"/>
          <w:szCs w:val="20"/>
          <w:lang w:eastAsia="en-US"/>
        </w:rPr>
        <w:t xml:space="preserve"> Milieu</w:t>
      </w:r>
      <w:r w:rsidRPr="00B7788C">
        <w:rPr>
          <w:rFonts w:eastAsiaTheme="minorHAnsi" w:cs="Arial"/>
          <w:color w:val="000000"/>
          <w:szCs w:val="20"/>
          <w:lang w:eastAsia="en-US"/>
        </w:rPr>
        <w:t xml:space="preserve"> (</w:t>
      </w:r>
      <w:r w:rsidRPr="00B7788C">
        <w:rPr>
          <w:rFonts w:eastAsiaTheme="minorHAnsi" w:cs="Arial"/>
          <w:i/>
          <w:iCs/>
          <w:color w:val="000000"/>
          <w:szCs w:val="20"/>
          <w:lang w:eastAsia="en-US"/>
        </w:rPr>
        <w:t>‘Possibilities for damage prevention through liability law, Report for the Ministry of Infrastructure and the Environment’</w:t>
      </w:r>
      <w:r>
        <w:rPr>
          <w:rFonts w:eastAsiaTheme="minorHAnsi" w:cs="Arial"/>
          <w:color w:val="000000"/>
          <w:szCs w:val="20"/>
          <w:lang w:eastAsia="en-US"/>
        </w:rPr>
        <w:t>)</w:t>
      </w:r>
      <w:r w:rsidRPr="00B7788C">
        <w:rPr>
          <w:rFonts w:eastAsiaTheme="minorHAnsi" w:cs="Arial"/>
          <w:color w:val="000000"/>
          <w:szCs w:val="20"/>
          <w:lang w:eastAsia="en-US"/>
        </w:rPr>
        <w:t xml:space="preserve"> </w:t>
      </w:r>
      <w:r>
        <w:rPr>
          <w:rFonts w:eastAsiaTheme="minorHAnsi" w:cs="Arial"/>
          <w:color w:val="000000"/>
          <w:szCs w:val="20"/>
          <w:lang w:eastAsia="en-US"/>
        </w:rPr>
        <w:t>(</w:t>
      </w:r>
      <w:r w:rsidRPr="00B7788C">
        <w:rPr>
          <w:rFonts w:eastAsiaTheme="minorHAnsi" w:cs="Arial"/>
          <w:color w:val="000000"/>
          <w:szCs w:val="20"/>
          <w:lang w:eastAsia="en-US"/>
        </w:rPr>
        <w:t>Utrecht Centre for Accountability and Liability Law</w:t>
      </w:r>
      <w:r>
        <w:rPr>
          <w:rFonts w:eastAsiaTheme="minorHAnsi" w:cs="Arial"/>
          <w:color w:val="000000"/>
          <w:szCs w:val="20"/>
          <w:lang w:eastAsia="en-US"/>
        </w:rPr>
        <w:t xml:space="preserve"> 2016),</w:t>
      </w:r>
      <w:r w:rsidRPr="00B7788C">
        <w:rPr>
          <w:rFonts w:eastAsiaTheme="minorHAnsi" w:cs="Arial"/>
          <w:color w:val="000000"/>
          <w:szCs w:val="20"/>
          <w:lang w:eastAsia="en-US"/>
        </w:rPr>
        <w:t xml:space="preserve"> p. 17.</w:t>
      </w:r>
    </w:p>
  </w:footnote>
  <w:footnote w:id="205">
    <w:p w14:paraId="7397EBC2" w14:textId="4CF74370" w:rsidR="00B5570E" w:rsidRPr="00C67C89" w:rsidRDefault="00B5570E">
      <w:pPr>
        <w:pStyle w:val="FootnoteText"/>
      </w:pPr>
      <w:r>
        <w:rPr>
          <w:rStyle w:val="FootnoteReference"/>
        </w:rPr>
        <w:footnoteRef/>
      </w:r>
      <w:r>
        <w:t xml:space="preserve"> District Court Amsterdam, 13 March 2013, </w:t>
      </w:r>
      <w:r w:rsidRPr="00C67C89">
        <w:rPr>
          <w:szCs w:val="20"/>
        </w:rPr>
        <w:t>ECLI</w:t>
      </w:r>
      <w:proofErr w:type="gramStart"/>
      <w:r w:rsidRPr="00C67C89">
        <w:rPr>
          <w:szCs w:val="20"/>
        </w:rPr>
        <w:t>:NL:RBAMS:2013:BZ4174</w:t>
      </w:r>
      <w:proofErr w:type="gramEnd"/>
      <w:r>
        <w:rPr>
          <w:szCs w:val="20"/>
        </w:rPr>
        <w:t xml:space="preserve">, </w:t>
      </w:r>
      <w:r>
        <w:t xml:space="preserve">para 4.2 – 4.3. Also see: </w:t>
      </w:r>
      <w:hyperlink r:id="rId80" w:history="1">
        <w:r w:rsidRPr="00D22AE9">
          <w:rPr>
            <w:rStyle w:val="Hyperlink"/>
            <w:rFonts w:cstheme="minorBidi"/>
          </w:rPr>
          <w:t>https://www.clientearth.org/the-urgenda-climate-case-and-access-to-justice-for-environmental-ngos-in-the-netherlands/</w:t>
        </w:r>
      </w:hyperlink>
      <w:r>
        <w:t xml:space="preserve"> Accessed 5 June 2020.</w:t>
      </w:r>
    </w:p>
  </w:footnote>
  <w:footnote w:id="206">
    <w:p w14:paraId="21B58D60" w14:textId="6D245B0A" w:rsidR="00B5570E" w:rsidRPr="001D29C3" w:rsidRDefault="00B5570E" w:rsidP="000747B3">
      <w:pPr>
        <w:pStyle w:val="Heading2"/>
      </w:pPr>
      <w:r>
        <w:rPr>
          <w:rStyle w:val="FootnoteReference"/>
        </w:rPr>
        <w:footnoteRef/>
      </w:r>
      <w:r>
        <w:t xml:space="preserve"> </w:t>
      </w:r>
      <w:r w:rsidRPr="000747B3">
        <w:rPr>
          <w:b w:val="0"/>
          <w:bCs w:val="0"/>
          <w:sz w:val="20"/>
          <w:szCs w:val="20"/>
        </w:rPr>
        <w:t>Dist</w:t>
      </w:r>
      <w:r>
        <w:rPr>
          <w:b w:val="0"/>
          <w:bCs w:val="0"/>
          <w:sz w:val="20"/>
          <w:szCs w:val="20"/>
        </w:rPr>
        <w:t xml:space="preserve">rict </w:t>
      </w:r>
      <w:proofErr w:type="gramStart"/>
      <w:r>
        <w:rPr>
          <w:b w:val="0"/>
          <w:bCs w:val="0"/>
          <w:sz w:val="20"/>
          <w:szCs w:val="20"/>
        </w:rPr>
        <w:t>court</w:t>
      </w:r>
      <w:r w:rsidRPr="000747B3">
        <w:rPr>
          <w:b w:val="0"/>
          <w:bCs w:val="0"/>
          <w:sz w:val="20"/>
          <w:szCs w:val="20"/>
        </w:rPr>
        <w:t xml:space="preserve"> ’s</w:t>
      </w:r>
      <w:proofErr w:type="gramEnd"/>
      <w:r w:rsidRPr="000747B3">
        <w:rPr>
          <w:b w:val="0"/>
          <w:bCs w:val="0"/>
          <w:sz w:val="20"/>
          <w:szCs w:val="20"/>
        </w:rPr>
        <w:t>-Hertogenbosch, 26 March 2009</w:t>
      </w:r>
      <w:r>
        <w:rPr>
          <w:b w:val="0"/>
          <w:bCs w:val="0"/>
          <w:sz w:val="20"/>
          <w:szCs w:val="20"/>
        </w:rPr>
        <w:t>,</w:t>
      </w:r>
      <w:r w:rsidRPr="000747B3">
        <w:rPr>
          <w:b w:val="0"/>
          <w:bCs w:val="0"/>
          <w:sz w:val="20"/>
          <w:szCs w:val="20"/>
        </w:rPr>
        <w:t xml:space="preserve"> ECLI:NL:RBSHE:2009:BH7428</w:t>
      </w:r>
      <w:r>
        <w:rPr>
          <w:b w:val="0"/>
          <w:bCs w:val="0"/>
          <w:sz w:val="20"/>
          <w:szCs w:val="20"/>
        </w:rPr>
        <w:t>.</w:t>
      </w:r>
    </w:p>
  </w:footnote>
  <w:footnote w:id="207">
    <w:p w14:paraId="64DE9C30" w14:textId="4B9064E1" w:rsidR="00B5570E" w:rsidRPr="000747B3" w:rsidRDefault="00B5570E" w:rsidP="000747B3">
      <w:pPr>
        <w:pStyle w:val="Heading2"/>
      </w:pPr>
      <w:r>
        <w:rPr>
          <w:rStyle w:val="FootnoteReference"/>
        </w:rPr>
        <w:footnoteRef/>
      </w:r>
      <w:r>
        <w:t xml:space="preserve"> </w:t>
      </w:r>
      <w:r w:rsidRPr="000747B3">
        <w:rPr>
          <w:b w:val="0"/>
          <w:bCs w:val="0"/>
          <w:sz w:val="20"/>
          <w:szCs w:val="20"/>
        </w:rPr>
        <w:t>Supreme Court 21 March 2003,</w:t>
      </w:r>
      <w:r>
        <w:t xml:space="preserve"> </w:t>
      </w:r>
      <w:r w:rsidRPr="000747B3">
        <w:rPr>
          <w:b w:val="0"/>
          <w:bCs w:val="0"/>
          <w:sz w:val="20"/>
          <w:szCs w:val="20"/>
        </w:rPr>
        <w:t>ECLI</w:t>
      </w:r>
      <w:proofErr w:type="gramStart"/>
      <w:r w:rsidRPr="000747B3">
        <w:rPr>
          <w:b w:val="0"/>
          <w:bCs w:val="0"/>
          <w:sz w:val="20"/>
          <w:szCs w:val="20"/>
        </w:rPr>
        <w:t>:NL:HR:2003:AE8462</w:t>
      </w:r>
      <w:proofErr w:type="gramEnd"/>
      <w:r>
        <w:rPr>
          <w:b w:val="0"/>
          <w:bCs w:val="0"/>
          <w:sz w:val="20"/>
          <w:szCs w:val="20"/>
        </w:rPr>
        <w:t xml:space="preserve"> (</w:t>
      </w:r>
      <w:r w:rsidRPr="00FB08EF">
        <w:rPr>
          <w:b w:val="0"/>
          <w:bCs w:val="0"/>
          <w:i/>
          <w:iCs/>
          <w:sz w:val="20"/>
          <w:szCs w:val="20"/>
        </w:rPr>
        <w:t>Nitrate Directive</w:t>
      </w:r>
      <w:r>
        <w:rPr>
          <w:b w:val="0"/>
          <w:bCs w:val="0"/>
          <w:sz w:val="20"/>
          <w:szCs w:val="20"/>
        </w:rPr>
        <w:t xml:space="preserve">), </w:t>
      </w:r>
      <w:r w:rsidRPr="000747B3">
        <w:rPr>
          <w:b w:val="0"/>
          <w:bCs w:val="0"/>
          <w:sz w:val="20"/>
          <w:szCs w:val="20"/>
        </w:rPr>
        <w:t>para 3.5</w:t>
      </w:r>
      <w:r>
        <w:rPr>
          <w:b w:val="0"/>
          <w:bCs w:val="0"/>
          <w:sz w:val="20"/>
          <w:szCs w:val="20"/>
        </w:rPr>
        <w:t>.</w:t>
      </w:r>
    </w:p>
  </w:footnote>
  <w:footnote w:id="208">
    <w:p w14:paraId="50A847C8" w14:textId="4707DCA4" w:rsidR="00B5570E" w:rsidRPr="00D04BE0" w:rsidRDefault="00B5570E">
      <w:pPr>
        <w:pStyle w:val="FootnoteText"/>
        <w:rPr>
          <w:lang w:val="nl-NL"/>
        </w:rPr>
      </w:pPr>
      <w:r>
        <w:rPr>
          <w:rStyle w:val="FootnoteReference"/>
        </w:rPr>
        <w:footnoteRef/>
      </w:r>
      <w:r w:rsidRPr="00073051">
        <w:rPr>
          <w:lang w:val="nl-NL"/>
        </w:rPr>
        <w:t xml:space="preserve"> </w:t>
      </w:r>
      <w:r w:rsidRPr="00073051">
        <w:rPr>
          <w:lang w:val="nl-NL"/>
        </w:rPr>
        <w:t xml:space="preserve">R.J.J. Eshuis, B.J. Diephuis, </w:t>
      </w:r>
      <w:r w:rsidRPr="00337106">
        <w:rPr>
          <w:i/>
          <w:iCs/>
          <w:lang w:val="nl-NL"/>
        </w:rPr>
        <w:t>Factsheet 2018-1. Civiele Rechtspraak</w:t>
      </w:r>
      <w:r>
        <w:rPr>
          <w:lang w:val="nl-NL"/>
        </w:rPr>
        <w:t xml:space="preserve"> (Wetenschappelijk Onderzoeks- en Documentatiecentrum 2017), p.15.  </w:t>
      </w:r>
    </w:p>
  </w:footnote>
  <w:footnote w:id="209">
    <w:p w14:paraId="3006E139" w14:textId="3C5D7EF5" w:rsidR="00B5570E" w:rsidRPr="00073051" w:rsidRDefault="00B5570E">
      <w:pPr>
        <w:pStyle w:val="FootnoteText"/>
      </w:pPr>
      <w:r>
        <w:rPr>
          <w:rStyle w:val="FootnoteReference"/>
        </w:rPr>
        <w:footnoteRef/>
      </w:r>
      <w:r>
        <w:t xml:space="preserve"> </w:t>
      </w:r>
      <w:proofErr w:type="gramStart"/>
      <w:r>
        <w:t>Data valid in 2020.</w:t>
      </w:r>
      <w:proofErr w:type="gramEnd"/>
      <w:r>
        <w:t xml:space="preserve"> </w:t>
      </w:r>
      <w:r w:rsidRPr="00073051">
        <w:t xml:space="preserve">Up </w:t>
      </w:r>
      <w:proofErr w:type="gramStart"/>
      <w:r w:rsidRPr="00073051">
        <w:t>to  a</w:t>
      </w:r>
      <w:proofErr w:type="gramEnd"/>
      <w:r w:rsidRPr="00073051">
        <w:t xml:space="preserve"> fiscal annual income of 27,900 € (single income) or 39,400 € (family income). Above this annual income, persons are not eligible for legal aid.</w:t>
      </w:r>
    </w:p>
  </w:footnote>
  <w:footnote w:id="210">
    <w:p w14:paraId="3EAD7D9E" w14:textId="675CB79B" w:rsidR="00B5570E" w:rsidRPr="00073051" w:rsidRDefault="00B5570E">
      <w:pPr>
        <w:pStyle w:val="FootnoteText"/>
      </w:pPr>
      <w:r>
        <w:rPr>
          <w:rStyle w:val="FootnoteReference"/>
        </w:rPr>
        <w:footnoteRef/>
      </w:r>
      <w:r>
        <w:t xml:space="preserve"> </w:t>
      </w:r>
      <w:hyperlink r:id="rId81" w:history="1">
        <w:r w:rsidRPr="00855E39">
          <w:rPr>
            <w:rStyle w:val="Hyperlink"/>
            <w:rFonts w:cstheme="minorBidi"/>
          </w:rPr>
          <w:t>https://www.rechtsbijstand.nl/over-mediation-en-rechtsbijstand/hoeveel-moet-ik-zelf-betalen/inkomensnormen</w:t>
        </w:r>
      </w:hyperlink>
      <w:r>
        <w:t xml:space="preserve"> Accessed 6 July 2020.</w:t>
      </w:r>
    </w:p>
  </w:footnote>
  <w:footnote w:id="211">
    <w:p w14:paraId="20C7C206" w14:textId="55BC84EC" w:rsidR="00B5570E" w:rsidRPr="00030F62" w:rsidRDefault="00B5570E" w:rsidP="00030F62">
      <w:pPr>
        <w:pStyle w:val="Heading1"/>
        <w:rPr>
          <w:rFonts w:ascii="Times New Roman" w:eastAsia="Times New Roman" w:hAnsi="Times New Roman"/>
          <w:b w:val="0"/>
          <w:sz w:val="48"/>
          <w:lang w:eastAsia="nl-NL"/>
        </w:rPr>
      </w:pPr>
      <w:r w:rsidRPr="00030F62">
        <w:rPr>
          <w:rStyle w:val="FootnoteReference"/>
          <w:b w:val="0"/>
        </w:rPr>
        <w:footnoteRef/>
      </w:r>
      <w:r w:rsidRPr="00030F62">
        <w:rPr>
          <w:b w:val="0"/>
        </w:rPr>
        <w:t xml:space="preserve"> </w:t>
      </w:r>
      <w:r>
        <w:rPr>
          <w:b w:val="0"/>
          <w:sz w:val="20"/>
          <w:szCs w:val="20"/>
        </w:rPr>
        <w:t>Supreme Court</w:t>
      </w:r>
      <w:r w:rsidRPr="00030F62">
        <w:rPr>
          <w:b w:val="0"/>
          <w:sz w:val="20"/>
          <w:szCs w:val="20"/>
        </w:rPr>
        <w:t xml:space="preserve"> 31</w:t>
      </w:r>
      <w:r>
        <w:rPr>
          <w:b w:val="0"/>
          <w:sz w:val="20"/>
          <w:szCs w:val="20"/>
        </w:rPr>
        <w:t xml:space="preserve"> January </w:t>
      </w:r>
      <w:r w:rsidRPr="00030F62">
        <w:rPr>
          <w:b w:val="0"/>
          <w:sz w:val="20"/>
          <w:szCs w:val="20"/>
        </w:rPr>
        <w:t xml:space="preserve">1919, NJ 1919, 161 </w:t>
      </w:r>
      <w:r>
        <w:rPr>
          <w:b w:val="0"/>
          <w:sz w:val="20"/>
          <w:szCs w:val="20"/>
        </w:rPr>
        <w:t>(</w:t>
      </w:r>
      <w:proofErr w:type="spellStart"/>
      <w:r w:rsidRPr="001E0671">
        <w:rPr>
          <w:b w:val="0"/>
          <w:i/>
          <w:sz w:val="20"/>
          <w:szCs w:val="20"/>
        </w:rPr>
        <w:t>Lindenbaum</w:t>
      </w:r>
      <w:proofErr w:type="spellEnd"/>
      <w:r w:rsidRPr="001E0671">
        <w:rPr>
          <w:b w:val="0"/>
          <w:i/>
          <w:sz w:val="20"/>
          <w:szCs w:val="20"/>
        </w:rPr>
        <w:t>/Cohen</w:t>
      </w:r>
      <w:r>
        <w:rPr>
          <w:b w:val="0"/>
          <w:sz w:val="20"/>
          <w:szCs w:val="20"/>
        </w:rPr>
        <w:t>)</w:t>
      </w:r>
    </w:p>
  </w:footnote>
  <w:footnote w:id="212">
    <w:p w14:paraId="6D1B4D87" w14:textId="77777777" w:rsidR="00B5570E" w:rsidRPr="00B7788C" w:rsidRDefault="00B5570E" w:rsidP="00F3766D">
      <w:pPr>
        <w:pStyle w:val="FootnoteText"/>
      </w:pPr>
      <w:r>
        <w:rPr>
          <w:rStyle w:val="FootnoteReference"/>
        </w:rPr>
        <w:footnoteRef/>
      </w:r>
      <w:r>
        <w:t xml:space="preserve"> Article 6:101 (1) Civil Code: ‘</w:t>
      </w:r>
      <w:r w:rsidRPr="00B7788C">
        <w:t>If the damage is partly the result of a circumstance that can be attributed to the injured party, the obligation to pay compensation is reduced by distributing the damage between the injured party and the party liable to pay the compensation</w:t>
      </w:r>
      <w:r>
        <w:t xml:space="preserve"> (…)’.</w:t>
      </w:r>
    </w:p>
  </w:footnote>
  <w:footnote w:id="213">
    <w:p w14:paraId="4B5509E4" w14:textId="249192AB" w:rsidR="00B5570E" w:rsidRPr="003C3F61" w:rsidRDefault="00B5570E" w:rsidP="00364E36">
      <w:pPr>
        <w:pStyle w:val="FootnoteText"/>
      </w:pPr>
      <w:r>
        <w:rPr>
          <w:rStyle w:val="FootnoteReference"/>
        </w:rPr>
        <w:footnoteRef/>
      </w:r>
      <w:r w:rsidRPr="003C3F61">
        <w:t xml:space="preserve"> </w:t>
      </w:r>
      <w:r w:rsidRPr="003C3F61">
        <w:rPr>
          <w:szCs w:val="20"/>
        </w:rPr>
        <w:t>Supreme Co</w:t>
      </w:r>
      <w:r>
        <w:rPr>
          <w:szCs w:val="20"/>
        </w:rPr>
        <w:t>urt</w:t>
      </w:r>
      <w:r w:rsidRPr="003C3F61">
        <w:rPr>
          <w:szCs w:val="20"/>
        </w:rPr>
        <w:t xml:space="preserve"> 17 December 2010 (</w:t>
      </w:r>
      <w:r w:rsidRPr="003C3F61">
        <w:rPr>
          <w:i/>
          <w:iCs/>
          <w:szCs w:val="20"/>
        </w:rPr>
        <w:t xml:space="preserve">Peat Dike </w:t>
      </w:r>
      <w:proofErr w:type="spellStart"/>
      <w:r w:rsidRPr="003C3F61">
        <w:rPr>
          <w:i/>
          <w:iCs/>
          <w:szCs w:val="20"/>
        </w:rPr>
        <w:t>Wilnis</w:t>
      </w:r>
      <w:proofErr w:type="spellEnd"/>
      <w:r w:rsidRPr="003C3F61">
        <w:rPr>
          <w:szCs w:val="20"/>
        </w:rPr>
        <w:t>) ECLI</w:t>
      </w:r>
      <w:proofErr w:type="gramStart"/>
      <w:r w:rsidRPr="003C3F61">
        <w:rPr>
          <w:szCs w:val="20"/>
        </w:rPr>
        <w:t>:NL:HR:2010:BN6236</w:t>
      </w:r>
      <w:proofErr w:type="gramEnd"/>
      <w:r w:rsidRPr="003C3F61">
        <w:rPr>
          <w:szCs w:val="20"/>
        </w:rPr>
        <w:t xml:space="preserve">. </w:t>
      </w:r>
    </w:p>
  </w:footnote>
  <w:footnote w:id="214">
    <w:p w14:paraId="5C27F09B" w14:textId="3DD16161" w:rsidR="00B5570E" w:rsidRPr="00DE35BE" w:rsidRDefault="00B5570E">
      <w:pPr>
        <w:pStyle w:val="FootnoteText"/>
      </w:pPr>
      <w:r>
        <w:rPr>
          <w:rStyle w:val="FootnoteReference"/>
        </w:rPr>
        <w:footnoteRef/>
      </w:r>
      <w:r w:rsidRPr="00DE35BE">
        <w:t xml:space="preserve"> </w:t>
      </w:r>
      <w:r w:rsidRPr="00DE35BE">
        <w:rPr>
          <w:szCs w:val="20"/>
        </w:rPr>
        <w:t>Supreme Court 4 April 2014. (</w:t>
      </w:r>
      <w:r w:rsidRPr="00DE35BE">
        <w:rPr>
          <w:i/>
          <w:iCs/>
          <w:szCs w:val="20"/>
        </w:rPr>
        <w:t>Falling cyclist</w:t>
      </w:r>
      <w:r w:rsidRPr="00DE35BE">
        <w:rPr>
          <w:szCs w:val="20"/>
        </w:rPr>
        <w:t>) ECLI</w:t>
      </w:r>
      <w:proofErr w:type="gramStart"/>
      <w:r w:rsidRPr="00DE35BE">
        <w:rPr>
          <w:szCs w:val="20"/>
        </w:rPr>
        <w:t>:NL:HR:2014:831</w:t>
      </w:r>
      <w:proofErr w:type="gramEnd"/>
      <w:r w:rsidRPr="00DE35BE">
        <w:rPr>
          <w:szCs w:val="20"/>
        </w:rPr>
        <w:t xml:space="preserve">, para 3.3. </w:t>
      </w:r>
    </w:p>
  </w:footnote>
  <w:footnote w:id="215">
    <w:p w14:paraId="220D9D76" w14:textId="4B059E49" w:rsidR="00B5570E" w:rsidRPr="003C3F61" w:rsidRDefault="00B5570E" w:rsidP="00D813B6">
      <w:pPr>
        <w:rPr>
          <w:sz w:val="20"/>
          <w:szCs w:val="20"/>
        </w:rPr>
      </w:pPr>
      <w:r>
        <w:rPr>
          <w:rStyle w:val="FootnoteReference"/>
        </w:rPr>
        <w:footnoteRef/>
      </w:r>
      <w:r w:rsidRPr="003C3F61">
        <w:t xml:space="preserve"> </w:t>
      </w:r>
      <w:r w:rsidRPr="003C3F61">
        <w:rPr>
          <w:rStyle w:val="Strong"/>
          <w:b w:val="0"/>
          <w:bCs w:val="0"/>
          <w:sz w:val="20"/>
          <w:szCs w:val="20"/>
        </w:rPr>
        <w:t>Supreme Co</w:t>
      </w:r>
      <w:r>
        <w:rPr>
          <w:rStyle w:val="Strong"/>
          <w:b w:val="0"/>
          <w:bCs w:val="0"/>
          <w:sz w:val="20"/>
          <w:szCs w:val="20"/>
        </w:rPr>
        <w:t>urt</w:t>
      </w:r>
      <w:r w:rsidRPr="003C3F61">
        <w:rPr>
          <w:rStyle w:val="Strong"/>
          <w:b w:val="0"/>
          <w:bCs w:val="0"/>
          <w:sz w:val="20"/>
          <w:szCs w:val="20"/>
        </w:rPr>
        <w:t xml:space="preserve"> 5 November 1965, </w:t>
      </w:r>
      <w:proofErr w:type="spellStart"/>
      <w:r w:rsidRPr="003C3F61">
        <w:rPr>
          <w:rStyle w:val="Strong"/>
          <w:b w:val="0"/>
          <w:bCs w:val="0"/>
          <w:sz w:val="20"/>
          <w:szCs w:val="20"/>
        </w:rPr>
        <w:t>Kelderluik</w:t>
      </w:r>
      <w:proofErr w:type="spellEnd"/>
      <w:r w:rsidRPr="003C3F61">
        <w:rPr>
          <w:rStyle w:val="Strong"/>
          <w:b w:val="0"/>
          <w:bCs w:val="0"/>
          <w:sz w:val="20"/>
          <w:szCs w:val="20"/>
        </w:rPr>
        <w:t xml:space="preserve"> (</w:t>
      </w:r>
      <w:r w:rsidRPr="003C3F61">
        <w:rPr>
          <w:rStyle w:val="Strong"/>
          <w:b w:val="0"/>
          <w:bCs w:val="0"/>
          <w:i/>
          <w:iCs/>
          <w:sz w:val="20"/>
          <w:szCs w:val="20"/>
        </w:rPr>
        <w:t>Basement Latch</w:t>
      </w:r>
      <w:r w:rsidRPr="003C3F61">
        <w:rPr>
          <w:rStyle w:val="Strong"/>
          <w:b w:val="0"/>
          <w:bCs w:val="0"/>
          <w:sz w:val="20"/>
          <w:szCs w:val="20"/>
        </w:rPr>
        <w:t>),</w:t>
      </w:r>
      <w:proofErr w:type="gramStart"/>
      <w:r w:rsidRPr="003C3F61">
        <w:rPr>
          <w:rStyle w:val="Strong"/>
          <w:b w:val="0"/>
          <w:bCs w:val="0"/>
          <w:sz w:val="20"/>
          <w:szCs w:val="20"/>
        </w:rPr>
        <w:t xml:space="preserve">  </w:t>
      </w:r>
      <w:r w:rsidRPr="003C3F61">
        <w:rPr>
          <w:sz w:val="20"/>
          <w:szCs w:val="20"/>
        </w:rPr>
        <w:t>ECLI:NL:HR:1965:AB7079</w:t>
      </w:r>
      <w:proofErr w:type="gramEnd"/>
      <w:r w:rsidRPr="003C3F61">
        <w:rPr>
          <w:sz w:val="20"/>
          <w:szCs w:val="20"/>
        </w:rPr>
        <w:t xml:space="preserve">. </w:t>
      </w:r>
    </w:p>
  </w:footnote>
  <w:footnote w:id="216">
    <w:p w14:paraId="5EA72E96" w14:textId="77F7C119" w:rsidR="00B5570E" w:rsidRPr="003C3F61" w:rsidRDefault="00B5570E">
      <w:pPr>
        <w:pStyle w:val="FootnoteText"/>
      </w:pPr>
      <w:r>
        <w:rPr>
          <w:rStyle w:val="FootnoteReference"/>
        </w:rPr>
        <w:footnoteRef/>
      </w:r>
      <w:r w:rsidRPr="003C3F61">
        <w:t xml:space="preserve"> </w:t>
      </w:r>
      <w:r w:rsidRPr="003C3F61">
        <w:rPr>
          <w:rStyle w:val="Strong"/>
          <w:b w:val="0"/>
          <w:bCs w:val="0"/>
          <w:szCs w:val="20"/>
        </w:rPr>
        <w:t>Supreme Co</w:t>
      </w:r>
      <w:r>
        <w:rPr>
          <w:rStyle w:val="Strong"/>
          <w:b w:val="0"/>
          <w:bCs w:val="0"/>
          <w:szCs w:val="20"/>
        </w:rPr>
        <w:t>urt</w:t>
      </w:r>
      <w:r w:rsidRPr="003C3F61">
        <w:rPr>
          <w:szCs w:val="20"/>
        </w:rPr>
        <w:t xml:space="preserve"> 27 May 1988, </w:t>
      </w:r>
      <w:proofErr w:type="spellStart"/>
      <w:r w:rsidRPr="003C3F61">
        <w:rPr>
          <w:szCs w:val="20"/>
        </w:rPr>
        <w:t>Veenbroei</w:t>
      </w:r>
      <w:proofErr w:type="spellEnd"/>
      <w:r w:rsidRPr="003C3F61">
        <w:rPr>
          <w:szCs w:val="20"/>
        </w:rPr>
        <w:t xml:space="preserve"> (</w:t>
      </w:r>
      <w:r w:rsidRPr="003C3F61">
        <w:rPr>
          <w:i/>
          <w:iCs/>
          <w:szCs w:val="20"/>
        </w:rPr>
        <w:t>Peat Scalding</w:t>
      </w:r>
      <w:r w:rsidRPr="003C3F61">
        <w:rPr>
          <w:szCs w:val="20"/>
        </w:rPr>
        <w:t xml:space="preserve">) </w:t>
      </w:r>
      <w:hyperlink r:id="rId82" w:tgtFrame="_blank" w:history="1">
        <w:r w:rsidRPr="003C3F61">
          <w:rPr>
            <w:rStyle w:val="Hyperlink"/>
            <w:color w:val="auto"/>
            <w:szCs w:val="20"/>
          </w:rPr>
          <w:t>ECLI</w:t>
        </w:r>
        <w:proofErr w:type="gramStart"/>
        <w:r w:rsidRPr="003C3F61">
          <w:rPr>
            <w:rStyle w:val="Hyperlink"/>
            <w:color w:val="auto"/>
            <w:szCs w:val="20"/>
          </w:rPr>
          <w:t>:NL:HR:1988:AD0344</w:t>
        </w:r>
        <w:proofErr w:type="gramEnd"/>
      </w:hyperlink>
      <w:r w:rsidRPr="003C3F61">
        <w:rPr>
          <w:rStyle w:val="Hyperlink"/>
          <w:color w:val="auto"/>
          <w:szCs w:val="20"/>
        </w:rPr>
        <w:t>.</w:t>
      </w:r>
    </w:p>
  </w:footnote>
  <w:footnote w:id="217">
    <w:p w14:paraId="26E917DF" w14:textId="7E3D3F67" w:rsidR="00B5570E" w:rsidRPr="003C3F61" w:rsidRDefault="00B5570E" w:rsidP="00740231">
      <w:pPr>
        <w:pStyle w:val="Heading2"/>
      </w:pPr>
      <w:r>
        <w:rPr>
          <w:rStyle w:val="FootnoteReference"/>
        </w:rPr>
        <w:footnoteRef/>
      </w:r>
      <w:r w:rsidRPr="003C3F61">
        <w:t xml:space="preserve"> </w:t>
      </w:r>
      <w:r w:rsidRPr="003C3F61">
        <w:rPr>
          <w:rStyle w:val="Strong"/>
          <w:sz w:val="20"/>
          <w:szCs w:val="20"/>
        </w:rPr>
        <w:t>Supreme Court</w:t>
      </w:r>
      <w:r w:rsidRPr="003C3F61">
        <w:rPr>
          <w:b w:val="0"/>
          <w:bCs w:val="0"/>
          <w:sz w:val="20"/>
          <w:szCs w:val="20"/>
        </w:rPr>
        <w:t xml:space="preserve"> 28 May 2004</w:t>
      </w:r>
      <w:r>
        <w:rPr>
          <w:b w:val="0"/>
          <w:bCs w:val="0"/>
          <w:sz w:val="20"/>
          <w:szCs w:val="20"/>
        </w:rPr>
        <w:t>,</w:t>
      </w:r>
      <w:r w:rsidRPr="003C3F61">
        <w:rPr>
          <w:sz w:val="20"/>
          <w:szCs w:val="20"/>
        </w:rPr>
        <w:t xml:space="preserve"> </w:t>
      </w:r>
      <w:r w:rsidRPr="003C3F61">
        <w:rPr>
          <w:b w:val="0"/>
          <w:bCs w:val="0"/>
          <w:sz w:val="20"/>
          <w:szCs w:val="20"/>
        </w:rPr>
        <w:t>Jet blast, ECLI</w:t>
      </w:r>
      <w:proofErr w:type="gramStart"/>
      <w:r w:rsidRPr="003C3F61">
        <w:rPr>
          <w:b w:val="0"/>
          <w:bCs w:val="0"/>
          <w:sz w:val="20"/>
          <w:szCs w:val="20"/>
        </w:rPr>
        <w:t>:NL:HR:2004:AO4224</w:t>
      </w:r>
      <w:proofErr w:type="gramEnd"/>
      <w:r w:rsidRPr="003C3F61">
        <w:rPr>
          <w:b w:val="0"/>
          <w:bCs w:val="0"/>
          <w:sz w:val="20"/>
          <w:szCs w:val="20"/>
        </w:rPr>
        <w:t xml:space="preserve">, para 3.4.3. </w:t>
      </w:r>
    </w:p>
  </w:footnote>
  <w:footnote w:id="218">
    <w:p w14:paraId="0AB68C89" w14:textId="3DA5A12C" w:rsidR="00B5570E" w:rsidRPr="00740231" w:rsidRDefault="00B5570E">
      <w:pPr>
        <w:pStyle w:val="FootnoteText"/>
      </w:pPr>
      <w:r>
        <w:rPr>
          <w:rStyle w:val="FootnoteReference"/>
        </w:rPr>
        <w:footnoteRef/>
      </w:r>
      <w:r>
        <w:t xml:space="preserve"> The Supreme Court of the Netherlands is also the final appeal court for the Caribbean Netherlands.</w:t>
      </w:r>
    </w:p>
  </w:footnote>
  <w:footnote w:id="219">
    <w:p w14:paraId="10C47942" w14:textId="1836A0CC" w:rsidR="00B5570E" w:rsidRPr="007B301A" w:rsidRDefault="00B5570E">
      <w:pPr>
        <w:pStyle w:val="FootnoteText"/>
      </w:pPr>
      <w:r>
        <w:rPr>
          <w:rStyle w:val="FootnoteReference"/>
        </w:rPr>
        <w:footnoteRef/>
      </w:r>
      <w:r>
        <w:t xml:space="preserve"> </w:t>
      </w:r>
      <w:proofErr w:type="gramStart"/>
      <w:r w:rsidRPr="007B301A">
        <w:t>A</w:t>
      </w:r>
      <w:r>
        <w:t>rticles 3.1 to 3.9 Spatial Planning Act.</w:t>
      </w:r>
      <w:proofErr w:type="gramEnd"/>
    </w:p>
  </w:footnote>
  <w:footnote w:id="220">
    <w:p w14:paraId="7761FB90" w14:textId="285B5BEF" w:rsidR="00B5570E" w:rsidRPr="009809F9" w:rsidRDefault="00B5570E">
      <w:pPr>
        <w:pStyle w:val="FootnoteText"/>
      </w:pPr>
      <w:r>
        <w:rPr>
          <w:rStyle w:val="FootnoteReference"/>
        </w:rPr>
        <w:footnoteRef/>
      </w:r>
      <w:r>
        <w:t xml:space="preserve"> </w:t>
      </w:r>
      <w:proofErr w:type="gramStart"/>
      <w:r>
        <w:t>Article 8.2 Spatial Planning Act.</w:t>
      </w:r>
      <w:proofErr w:type="gramEnd"/>
      <w:r>
        <w:t xml:space="preserve"> See also: </w:t>
      </w:r>
      <w:hyperlink r:id="rId83" w:history="1">
        <w:r w:rsidRPr="00F65F2D">
          <w:rPr>
            <w:rStyle w:val="Hyperlink"/>
            <w:rFonts w:cstheme="minorBidi"/>
          </w:rPr>
          <w:t>https://www.raadvanstate.nl/talen/artikel/</w:t>
        </w:r>
      </w:hyperlink>
      <w:r>
        <w:t xml:space="preserve"> Accessed 15 May 2020.</w:t>
      </w:r>
    </w:p>
  </w:footnote>
  <w:footnote w:id="221">
    <w:p w14:paraId="4A9AD6ED" w14:textId="0C734F61" w:rsidR="00B5570E" w:rsidRPr="0095789D" w:rsidRDefault="00B5570E">
      <w:pPr>
        <w:pStyle w:val="FootnoteText"/>
      </w:pPr>
      <w:r>
        <w:rPr>
          <w:rStyle w:val="FootnoteReference"/>
        </w:rPr>
        <w:footnoteRef/>
      </w:r>
      <w:r w:rsidRPr="0095789D">
        <w:rPr>
          <w:lang w:val="nl-NL"/>
        </w:rPr>
        <w:t xml:space="preserve"> </w:t>
      </w:r>
      <w:r>
        <w:rPr>
          <w:lang w:val="nl-NL"/>
        </w:rPr>
        <w:t xml:space="preserve">CROW, </w:t>
      </w:r>
      <w:r w:rsidRPr="00337106">
        <w:rPr>
          <w:i/>
          <w:iCs/>
          <w:lang w:val="nl-NL"/>
        </w:rPr>
        <w:t>ASVV 2012. Aanbevelingen voor verkeersvoorzieningen binnen de bebouwde kom (publicatie 723)</w:t>
      </w:r>
      <w:r>
        <w:rPr>
          <w:lang w:val="nl-NL"/>
        </w:rPr>
        <w:t xml:space="preserve"> (‘</w:t>
      </w:r>
      <w:r w:rsidRPr="0095789D">
        <w:rPr>
          <w:i/>
          <w:iCs/>
          <w:lang w:val="nl-NL"/>
        </w:rPr>
        <w:t xml:space="preserve">ASVV 2012. </w:t>
      </w:r>
      <w:proofErr w:type="gramStart"/>
      <w:r w:rsidRPr="0095789D">
        <w:rPr>
          <w:i/>
          <w:iCs/>
        </w:rPr>
        <w:t>Recommendations for traffic facilities in built-up areas (publication 723)</w:t>
      </w:r>
      <w:r w:rsidRPr="0095789D">
        <w:t>’</w:t>
      </w:r>
      <w:r>
        <w:t>) (CROW 2012).</w:t>
      </w:r>
      <w:proofErr w:type="gramEnd"/>
    </w:p>
  </w:footnote>
  <w:footnote w:id="222">
    <w:p w14:paraId="755CE32B" w14:textId="64401E41" w:rsidR="00B5570E" w:rsidRPr="00B91BE7" w:rsidRDefault="00B5570E" w:rsidP="00C33520">
      <w:r>
        <w:rPr>
          <w:rStyle w:val="FootnoteReference"/>
        </w:rPr>
        <w:footnoteRef/>
      </w:r>
      <w:r>
        <w:t xml:space="preserve"> </w:t>
      </w:r>
      <w:proofErr w:type="gramStart"/>
      <w:r w:rsidRPr="00EC74AF">
        <w:rPr>
          <w:sz w:val="20"/>
          <w:szCs w:val="20"/>
        </w:rPr>
        <w:t>Article 4.10</w:t>
      </w:r>
      <w:r>
        <w:rPr>
          <w:sz w:val="20"/>
          <w:szCs w:val="20"/>
        </w:rPr>
        <w:t xml:space="preserve"> Utrecht Municipal Building Ordinance,</w:t>
      </w:r>
      <w:r w:rsidRPr="00EC74AF">
        <w:rPr>
          <w:sz w:val="20"/>
          <w:szCs w:val="20"/>
        </w:rPr>
        <w:t xml:space="preserve"> Safety of aids and preventing nuisance</w:t>
      </w:r>
      <w:r>
        <w:rPr>
          <w:sz w:val="20"/>
          <w:szCs w:val="20"/>
        </w:rPr>
        <w:t>.</w:t>
      </w:r>
      <w:proofErr w:type="gramEnd"/>
      <w:r>
        <w:rPr>
          <w:szCs w:val="20"/>
        </w:rPr>
        <w:t xml:space="preserve"> </w:t>
      </w:r>
      <w:proofErr w:type="gramStart"/>
      <w:r>
        <w:rPr>
          <w:szCs w:val="20"/>
        </w:rPr>
        <w:t>S</w:t>
      </w:r>
      <w:r w:rsidRPr="00B91BE7">
        <w:rPr>
          <w:sz w:val="20"/>
          <w:szCs w:val="20"/>
        </w:rPr>
        <w:t>ection 2.</w:t>
      </w:r>
      <w:proofErr w:type="gramEnd"/>
      <w:r w:rsidRPr="00B91BE7">
        <w:rPr>
          <w:sz w:val="20"/>
          <w:szCs w:val="20"/>
        </w:rPr>
        <w:t xml:space="preserve"> </w:t>
      </w:r>
      <w:r w:rsidRPr="00EC74AF">
        <w:rPr>
          <w:sz w:val="20"/>
          <w:szCs w:val="20"/>
        </w:rPr>
        <w:t>It is forbidden to use tools or materials when carrying out construction or earthworks if this poses a risk to the surroundings.</w:t>
      </w:r>
      <w:r>
        <w:rPr>
          <w:sz w:val="20"/>
          <w:szCs w:val="20"/>
        </w:rPr>
        <w:t xml:space="preserve"> </w:t>
      </w:r>
      <w:proofErr w:type="gramStart"/>
      <w:r>
        <w:rPr>
          <w:sz w:val="20"/>
          <w:szCs w:val="20"/>
        </w:rPr>
        <w:t xml:space="preserve">Section </w:t>
      </w:r>
      <w:r w:rsidRPr="00EC74AF">
        <w:rPr>
          <w:sz w:val="20"/>
          <w:szCs w:val="20"/>
        </w:rPr>
        <w:t>3.</w:t>
      </w:r>
      <w:proofErr w:type="gramEnd"/>
      <w:r>
        <w:rPr>
          <w:sz w:val="20"/>
          <w:szCs w:val="20"/>
        </w:rPr>
        <w:t xml:space="preserve"> </w:t>
      </w:r>
      <w:r w:rsidRPr="00EC74AF">
        <w:rPr>
          <w:sz w:val="20"/>
          <w:szCs w:val="20"/>
        </w:rPr>
        <w:t>The competent authority may prohibit the use of a tool that causes or can cause damage or serious nuisance to the environment.</w:t>
      </w:r>
      <w:r>
        <w:t xml:space="preserve"> </w:t>
      </w:r>
    </w:p>
  </w:footnote>
  <w:footnote w:id="223">
    <w:p w14:paraId="6EDAEF08" w14:textId="0103A8BC" w:rsidR="00B5570E" w:rsidRPr="00B91BE7" w:rsidRDefault="00B5570E">
      <w:pPr>
        <w:pStyle w:val="FootnoteText"/>
      </w:pPr>
      <w:r>
        <w:rPr>
          <w:rStyle w:val="FootnoteReference"/>
        </w:rPr>
        <w:footnoteRef/>
      </w:r>
      <w:r>
        <w:t xml:space="preserve"> Almere </w:t>
      </w:r>
      <w:r>
        <w:rPr>
          <w:szCs w:val="20"/>
        </w:rPr>
        <w:t>Municipal Building Ordinance</w:t>
      </w:r>
      <w:r>
        <w:t xml:space="preserve"> 2012:  </w:t>
      </w:r>
      <w:hyperlink r:id="rId84" w:history="1">
        <w:r w:rsidRPr="00AD7BDF">
          <w:rPr>
            <w:rStyle w:val="Hyperlink"/>
            <w:rFonts w:cstheme="minorBidi"/>
          </w:rPr>
          <w:t>http://decentrale.regelgeving.overheid.nl/cvdr/xhtmloutput/Historie/Almere/CVDR256273/CVDR256273_2.html</w:t>
        </w:r>
      </w:hyperlink>
      <w:r>
        <w:t xml:space="preserve"> Accessed 18 May 2020.</w:t>
      </w:r>
    </w:p>
  </w:footnote>
  <w:footnote w:id="224">
    <w:p w14:paraId="3A1A9B2D" w14:textId="378C370C" w:rsidR="00B5570E" w:rsidRPr="00402275" w:rsidRDefault="00B5570E">
      <w:pPr>
        <w:pStyle w:val="FootnoteText"/>
      </w:pPr>
      <w:r>
        <w:rPr>
          <w:rStyle w:val="FootnoteReference"/>
        </w:rPr>
        <w:footnoteRef/>
      </w:r>
      <w:r>
        <w:t xml:space="preserve"> </w:t>
      </w:r>
      <w:r w:rsidRPr="00402275">
        <w:t>VNG Model G</w:t>
      </w:r>
      <w:r>
        <w:t>eneral Municipal Ordinance, articles 2.10 and 2.11.</w:t>
      </w:r>
    </w:p>
  </w:footnote>
  <w:footnote w:id="225">
    <w:p w14:paraId="3DF50D22" w14:textId="04977C4E" w:rsidR="00B5570E" w:rsidRPr="00AD4C2F" w:rsidRDefault="00B5570E" w:rsidP="00E863B7">
      <w:pPr>
        <w:pStyle w:val="FootnoteText"/>
      </w:pPr>
      <w:r>
        <w:rPr>
          <w:rStyle w:val="FootnoteReference"/>
        </w:rPr>
        <w:footnoteRef/>
      </w:r>
      <w:r>
        <w:t xml:space="preserve"> Article 1:3 (3) </w:t>
      </w:r>
      <w:proofErr w:type="spellStart"/>
      <w:r>
        <w:t>Awb</w:t>
      </w:r>
      <w:proofErr w:type="spellEnd"/>
      <w:r>
        <w:t xml:space="preserve">: </w:t>
      </w:r>
      <w:r>
        <w:rPr>
          <w:rStyle w:val="tlid-translation"/>
          <w:lang w:val="en"/>
        </w:rPr>
        <w:t>3. ‘</w:t>
      </w:r>
      <w:proofErr w:type="gramStart"/>
      <w:r w:rsidRPr="00AD4C2F">
        <w:rPr>
          <w:rStyle w:val="tlid-translation"/>
          <w:i/>
          <w:iCs/>
          <w:lang w:val="en"/>
        </w:rPr>
        <w:t>An</w:t>
      </w:r>
      <w:proofErr w:type="gramEnd"/>
      <w:r w:rsidRPr="00AD4C2F">
        <w:rPr>
          <w:rStyle w:val="tlid-translation"/>
          <w:i/>
          <w:iCs/>
          <w:lang w:val="en"/>
        </w:rPr>
        <w:t xml:space="preserve"> application is taken to mean: a request from an interested party to take a decision.</w:t>
      </w:r>
      <w:r>
        <w:rPr>
          <w:rStyle w:val="tlid-translation"/>
          <w:i/>
          <w:iCs/>
          <w:lang w:val="en"/>
        </w:rPr>
        <w:t>’</w:t>
      </w:r>
      <w:r>
        <w:t xml:space="preserve"> </w:t>
      </w:r>
      <w:proofErr w:type="spellStart"/>
      <w:r>
        <w:t>AB</w:t>
      </w:r>
      <w:r w:rsidRPr="00E863B7">
        <w:rPr>
          <w:rFonts w:eastAsiaTheme="minorHAnsi" w:cs="Arial"/>
          <w:color w:val="000000"/>
          <w:szCs w:val="20"/>
          <w:lang w:eastAsia="en-US"/>
        </w:rPr>
        <w:t>RvS</w:t>
      </w:r>
      <w:proofErr w:type="spellEnd"/>
      <w:r w:rsidRPr="00E863B7">
        <w:rPr>
          <w:rFonts w:eastAsiaTheme="minorHAnsi" w:cs="Arial"/>
          <w:color w:val="000000"/>
          <w:szCs w:val="20"/>
          <w:lang w:eastAsia="en-US"/>
        </w:rPr>
        <w:t xml:space="preserve"> 18 February 2018, ECLI:NL:RVS:2018:590</w:t>
      </w:r>
    </w:p>
  </w:footnote>
  <w:footnote w:id="226">
    <w:p w14:paraId="79DFD601" w14:textId="089E2528" w:rsidR="00B5570E" w:rsidRPr="00F370A0" w:rsidRDefault="00B5570E" w:rsidP="00725787">
      <w:pPr>
        <w:pStyle w:val="FootnoteText"/>
      </w:pPr>
      <w:r>
        <w:rPr>
          <w:rStyle w:val="FootnoteReference"/>
        </w:rPr>
        <w:footnoteRef/>
      </w:r>
      <w:r>
        <w:t xml:space="preserve"> Act of 6 November 2019, </w:t>
      </w:r>
      <w:proofErr w:type="spellStart"/>
      <w:r>
        <w:t>Stb</w:t>
      </w:r>
      <w:proofErr w:type="spellEnd"/>
      <w:r>
        <w:t>. 2019, 413, introducing article 5A Road Traffic Act: ‘</w:t>
      </w:r>
      <w:r w:rsidRPr="00F370A0">
        <w:t>It is prohibited for anyone to behave in traffic in such a way that the traffic rules are seriously violated if there is a danger to life or danger of serious</w:t>
      </w:r>
      <w:r>
        <w:t xml:space="preserve"> bodily</w:t>
      </w:r>
      <w:r w:rsidRPr="00F370A0">
        <w:t xml:space="preserve"> injury to another</w:t>
      </w:r>
      <w:r>
        <w:t xml:space="preserve"> person’</w:t>
      </w:r>
      <w:r w:rsidRPr="00F370A0">
        <w:t>.</w:t>
      </w:r>
      <w:r>
        <w:t xml:space="preserve"> </w:t>
      </w:r>
    </w:p>
  </w:footnote>
  <w:footnote w:id="227">
    <w:p w14:paraId="1B21D1E9" w14:textId="22D4B32A" w:rsidR="00B5570E" w:rsidRPr="001773EC" w:rsidRDefault="00B5570E" w:rsidP="00725787">
      <w:pPr>
        <w:pStyle w:val="FootnoteText"/>
      </w:pPr>
      <w:r>
        <w:rPr>
          <w:rStyle w:val="FootnoteReference"/>
        </w:rPr>
        <w:footnoteRef/>
      </w:r>
      <w:r>
        <w:t xml:space="preserve"> </w:t>
      </w:r>
      <w:proofErr w:type="gramStart"/>
      <w:r>
        <w:t>Articles 176 and 177, Road Traffic Act.</w:t>
      </w:r>
      <w:proofErr w:type="gramEnd"/>
    </w:p>
  </w:footnote>
  <w:footnote w:id="228">
    <w:p w14:paraId="7B7EA0B2" w14:textId="77777777" w:rsidR="00B5570E" w:rsidRPr="00D12BF5" w:rsidRDefault="00B5570E" w:rsidP="00725787">
      <w:pPr>
        <w:pStyle w:val="FootnoteText"/>
      </w:pPr>
      <w:r>
        <w:rPr>
          <w:rStyle w:val="FootnoteReference"/>
        </w:rPr>
        <w:footnoteRef/>
      </w:r>
      <w:r>
        <w:t xml:space="preserve"> The </w:t>
      </w:r>
      <w:r w:rsidRPr="00D12BF5">
        <w:t>amount of the traffic fine</w:t>
      </w:r>
      <w:r>
        <w:t>s</w:t>
      </w:r>
      <w:r w:rsidRPr="00D12BF5">
        <w:t xml:space="preserve"> is adjusted annually</w:t>
      </w:r>
      <w:r>
        <w:t>. Given amounts are valid as of 1 January 2020.</w:t>
      </w:r>
    </w:p>
  </w:footnote>
  <w:footnote w:id="229">
    <w:p w14:paraId="502BBEDF" w14:textId="37716E5C" w:rsidR="00B5570E" w:rsidRPr="00A555E0" w:rsidRDefault="00B5570E" w:rsidP="00006BD9">
      <w:pPr>
        <w:pStyle w:val="Heading2"/>
      </w:pPr>
      <w:r w:rsidRPr="00850892">
        <w:rPr>
          <w:rStyle w:val="FootnoteReference"/>
          <w:b w:val="0"/>
          <w:bCs w:val="0"/>
        </w:rPr>
        <w:footnoteRef/>
      </w:r>
      <w:r w:rsidRPr="00A555E0">
        <w:t xml:space="preserve"> </w:t>
      </w:r>
      <w:r>
        <w:rPr>
          <w:rFonts w:eastAsia="Times New Roman" w:cs="Arial"/>
          <w:b w:val="0"/>
          <w:bCs w:val="0"/>
          <w:sz w:val="20"/>
          <w:szCs w:val="20"/>
          <w:lang w:eastAsia="nl-NL"/>
        </w:rPr>
        <w:t xml:space="preserve">Appeal Court </w:t>
      </w:r>
      <w:r w:rsidRPr="00A555E0">
        <w:rPr>
          <w:rFonts w:eastAsia="Times New Roman" w:cs="Arial"/>
          <w:b w:val="0"/>
          <w:bCs w:val="0"/>
          <w:sz w:val="20"/>
          <w:szCs w:val="20"/>
          <w:lang w:eastAsia="nl-NL"/>
        </w:rPr>
        <w:t xml:space="preserve">Arnhem-Leeuwarden 4 February 2019, </w:t>
      </w:r>
      <w:r w:rsidRPr="00A555E0">
        <w:rPr>
          <w:rFonts w:cs="Arial"/>
          <w:b w:val="0"/>
          <w:bCs w:val="0"/>
          <w:sz w:val="20"/>
          <w:szCs w:val="20"/>
        </w:rPr>
        <w:t>ECLI</w:t>
      </w:r>
      <w:proofErr w:type="gramStart"/>
      <w:r w:rsidRPr="00A555E0">
        <w:rPr>
          <w:rFonts w:cs="Arial"/>
          <w:b w:val="0"/>
          <w:bCs w:val="0"/>
          <w:sz w:val="20"/>
          <w:szCs w:val="20"/>
        </w:rPr>
        <w:t>:NL:GHARL:2019:981</w:t>
      </w:r>
      <w:proofErr w:type="gramEnd"/>
      <w:r w:rsidRPr="00A555E0">
        <w:rPr>
          <w:rFonts w:cs="Arial"/>
          <w:b w:val="0"/>
          <w:bCs w:val="0"/>
          <w:sz w:val="20"/>
          <w:szCs w:val="20"/>
        </w:rPr>
        <w:t>.</w:t>
      </w:r>
    </w:p>
  </w:footnote>
  <w:footnote w:id="230">
    <w:p w14:paraId="498AC61B" w14:textId="6E186781" w:rsidR="00B5570E" w:rsidRPr="00A555E0" w:rsidRDefault="00B5570E" w:rsidP="00BD6628">
      <w:pPr>
        <w:pStyle w:val="Heading1"/>
        <w:rPr>
          <w:rFonts w:ascii="Times New Roman" w:eastAsia="Times New Roman" w:hAnsi="Times New Roman"/>
          <w:sz w:val="48"/>
          <w:lang w:eastAsia="nl-NL"/>
        </w:rPr>
      </w:pPr>
      <w:r w:rsidRPr="00850892">
        <w:rPr>
          <w:rStyle w:val="FootnoteReference"/>
          <w:b w:val="0"/>
          <w:bCs w:val="0"/>
        </w:rPr>
        <w:footnoteRef/>
      </w:r>
      <w:r w:rsidRPr="00A555E0">
        <w:t xml:space="preserve"> </w:t>
      </w:r>
      <w:proofErr w:type="spellStart"/>
      <w:r w:rsidRPr="00A555E0">
        <w:rPr>
          <w:b w:val="0"/>
          <w:bCs w:val="0"/>
          <w:sz w:val="20"/>
          <w:szCs w:val="20"/>
        </w:rPr>
        <w:t>Reglement</w:t>
      </w:r>
      <w:proofErr w:type="spellEnd"/>
      <w:r w:rsidRPr="00A555E0">
        <w:rPr>
          <w:b w:val="0"/>
          <w:bCs w:val="0"/>
          <w:sz w:val="20"/>
          <w:szCs w:val="20"/>
        </w:rPr>
        <w:t xml:space="preserve"> </w:t>
      </w:r>
      <w:proofErr w:type="spellStart"/>
      <w:r w:rsidRPr="00A555E0">
        <w:rPr>
          <w:b w:val="0"/>
          <w:bCs w:val="0"/>
          <w:sz w:val="20"/>
          <w:szCs w:val="20"/>
        </w:rPr>
        <w:t>verkeersregels</w:t>
      </w:r>
      <w:proofErr w:type="spellEnd"/>
      <w:r w:rsidRPr="00A555E0">
        <w:rPr>
          <w:b w:val="0"/>
          <w:bCs w:val="0"/>
          <w:sz w:val="20"/>
          <w:szCs w:val="20"/>
        </w:rPr>
        <w:t xml:space="preserve"> </w:t>
      </w:r>
      <w:proofErr w:type="spellStart"/>
      <w:r w:rsidRPr="00A555E0">
        <w:rPr>
          <w:b w:val="0"/>
          <w:bCs w:val="0"/>
          <w:sz w:val="20"/>
          <w:szCs w:val="20"/>
        </w:rPr>
        <w:t>en</w:t>
      </w:r>
      <w:proofErr w:type="spellEnd"/>
      <w:r w:rsidRPr="00A555E0">
        <w:rPr>
          <w:b w:val="0"/>
          <w:bCs w:val="0"/>
          <w:sz w:val="20"/>
          <w:szCs w:val="20"/>
        </w:rPr>
        <w:t xml:space="preserve"> </w:t>
      </w:r>
      <w:proofErr w:type="spellStart"/>
      <w:r w:rsidRPr="00A555E0">
        <w:rPr>
          <w:b w:val="0"/>
          <w:bCs w:val="0"/>
          <w:sz w:val="20"/>
          <w:szCs w:val="20"/>
        </w:rPr>
        <w:t>verkeerstekens</w:t>
      </w:r>
      <w:proofErr w:type="spellEnd"/>
      <w:r w:rsidRPr="00A555E0">
        <w:rPr>
          <w:b w:val="0"/>
          <w:bCs w:val="0"/>
          <w:sz w:val="20"/>
          <w:szCs w:val="20"/>
        </w:rPr>
        <w:t xml:space="preserve"> 1990 (</w:t>
      </w:r>
      <w:r w:rsidRPr="00A555E0">
        <w:rPr>
          <w:b w:val="0"/>
          <w:bCs w:val="0"/>
          <w:i/>
          <w:iCs/>
          <w:sz w:val="20"/>
          <w:szCs w:val="20"/>
        </w:rPr>
        <w:t>Regulation Traffic Regulations and Traffic Signs 1990</w:t>
      </w:r>
      <w:proofErr w:type="gramStart"/>
      <w:r w:rsidRPr="00A555E0">
        <w:rPr>
          <w:b w:val="0"/>
          <w:bCs w:val="0"/>
          <w:sz w:val="20"/>
          <w:szCs w:val="20"/>
        </w:rPr>
        <w:t>)  (</w:t>
      </w:r>
      <w:proofErr w:type="gramEnd"/>
      <w:r w:rsidRPr="00A555E0">
        <w:rPr>
          <w:b w:val="0"/>
          <w:bCs w:val="0"/>
          <w:sz w:val="20"/>
          <w:szCs w:val="20"/>
        </w:rPr>
        <w:t>RVV 1990)</w:t>
      </w:r>
    </w:p>
  </w:footnote>
  <w:footnote w:id="231">
    <w:p w14:paraId="36F263C7" w14:textId="0B95CEE3" w:rsidR="00B5570E" w:rsidRPr="00BD6628" w:rsidRDefault="00B5570E">
      <w:pPr>
        <w:pStyle w:val="FootnoteText"/>
      </w:pPr>
      <w:r>
        <w:rPr>
          <w:rStyle w:val="FootnoteReference"/>
        </w:rPr>
        <w:footnoteRef/>
      </w:r>
      <w:r>
        <w:t xml:space="preserve"> Article 92 RVV 1990.</w:t>
      </w:r>
    </w:p>
  </w:footnote>
  <w:footnote w:id="232">
    <w:p w14:paraId="5251FC25" w14:textId="35835D0F" w:rsidR="00B5570E" w:rsidRPr="00397D6B" w:rsidRDefault="00B5570E" w:rsidP="00397D6B">
      <w:pPr>
        <w:pStyle w:val="FootnoteText"/>
      </w:pPr>
      <w:r>
        <w:rPr>
          <w:rStyle w:val="FootnoteReference"/>
        </w:rPr>
        <w:footnoteRef/>
      </w:r>
      <w:r>
        <w:t xml:space="preserve"> Article 5.1 RVV 1990: Cyclists use the mandatory bicycle path or the bicycle / moped path. 5.2. They use the road if there is no mandatory bicycle path or a bicycle / moped path. Article 6.1 RVV 1990: Moped riders use the bicycle / moped path. 6.2: They use the road when a bicycle / moped path is missing.</w:t>
      </w:r>
    </w:p>
  </w:footnote>
  <w:footnote w:id="233">
    <w:p w14:paraId="0CECF1C6" w14:textId="0D2E840E" w:rsidR="00B5570E" w:rsidRPr="005D658C" w:rsidRDefault="00B5570E">
      <w:pPr>
        <w:pStyle w:val="FootnoteText"/>
      </w:pPr>
      <w:r>
        <w:rPr>
          <w:rStyle w:val="FootnoteReference"/>
        </w:rPr>
        <w:footnoteRef/>
      </w:r>
      <w:r>
        <w:t xml:space="preserve"> Article 92.2 RVV 1990. </w:t>
      </w:r>
    </w:p>
  </w:footnote>
  <w:footnote w:id="234">
    <w:p w14:paraId="6F28DBFE" w14:textId="00B220A8" w:rsidR="00B5570E" w:rsidRPr="00DC1317" w:rsidRDefault="00B5570E">
      <w:pPr>
        <w:pStyle w:val="FootnoteText"/>
      </w:pPr>
      <w:r>
        <w:rPr>
          <w:rStyle w:val="FootnoteReference"/>
        </w:rPr>
        <w:footnoteRef/>
      </w:r>
      <w:r>
        <w:t xml:space="preserve"> </w:t>
      </w:r>
      <w:proofErr w:type="gramStart"/>
      <w:r>
        <w:t xml:space="preserve">Section 1 in conjunction with section 4, </w:t>
      </w:r>
      <w:r w:rsidRPr="00DC1317">
        <w:t>Road Traffic Act 1994 (</w:t>
      </w:r>
      <w:proofErr w:type="spellStart"/>
      <w:r w:rsidRPr="00DC1317">
        <w:t>Wegenverkeerswet</w:t>
      </w:r>
      <w:proofErr w:type="spellEnd"/>
      <w:r w:rsidRPr="00DC1317">
        <w:t xml:space="preserve"> 199</w:t>
      </w:r>
      <w:r>
        <w:t>4</w:t>
      </w:r>
      <w:r w:rsidRPr="00DC1317">
        <w:t>).</w:t>
      </w:r>
      <w:proofErr w:type="gramEnd"/>
      <w:r w:rsidRPr="00DC1317">
        <w:t xml:space="preserve"> The description of a ‘road’ has been further defined in case law: a road consists of traffic lanes that fulfil a function for the purpose of handling public traffic and which therefore by their nature or function serve a large, indefinite audience, </w:t>
      </w:r>
      <w:proofErr w:type="spellStart"/>
      <w:r w:rsidRPr="00DC1317">
        <w:t>ABRvS</w:t>
      </w:r>
      <w:proofErr w:type="spellEnd"/>
      <w:r w:rsidRPr="00DC1317">
        <w:t>, 05</w:t>
      </w:r>
      <w:r>
        <w:t xml:space="preserve"> March </w:t>
      </w:r>
      <w:r w:rsidRPr="00DC1317">
        <w:t xml:space="preserve">2008, </w:t>
      </w:r>
      <w:r w:rsidRPr="00A30C38">
        <w:t>ECLI:NL:RVS:2008:BC6035</w:t>
      </w:r>
      <w:r>
        <w:t>.</w:t>
      </w:r>
    </w:p>
  </w:footnote>
  <w:footnote w:id="235">
    <w:p w14:paraId="2F7A6EDB" w14:textId="77777777" w:rsidR="00B5570E" w:rsidRPr="00CD7CB6" w:rsidRDefault="00B5570E" w:rsidP="008E2DFC">
      <w:pPr>
        <w:pStyle w:val="FootnoteText"/>
      </w:pPr>
      <w:r>
        <w:rPr>
          <w:rStyle w:val="FootnoteReference"/>
        </w:rPr>
        <w:footnoteRef/>
      </w:r>
      <w:r>
        <w:t xml:space="preserve"> </w:t>
      </w:r>
      <w:r w:rsidRPr="00CD7CB6">
        <w:rPr>
          <w:szCs w:val="20"/>
          <w:lang w:eastAsia="nl-NL" w:bidi="en-US"/>
        </w:rPr>
        <w:t>Article 142 (1) and (3) Code of Criminal Procedure</w:t>
      </w:r>
    </w:p>
  </w:footnote>
  <w:footnote w:id="236">
    <w:p w14:paraId="06FB8C46" w14:textId="77777777" w:rsidR="00B5570E" w:rsidRPr="00B678BE" w:rsidRDefault="00B5570E" w:rsidP="008E2DFC">
      <w:pPr>
        <w:pStyle w:val="FootnoteText"/>
      </w:pPr>
      <w:r>
        <w:rPr>
          <w:rStyle w:val="FootnoteReference"/>
        </w:rPr>
        <w:footnoteRef/>
      </w:r>
      <w:r>
        <w:t xml:space="preserve"> </w:t>
      </w:r>
      <w:proofErr w:type="gramStart"/>
      <w:r w:rsidRPr="00B678BE">
        <w:t>Chapter 6,</w:t>
      </w:r>
      <w:r>
        <w:t xml:space="preserve"> </w:t>
      </w:r>
      <w:proofErr w:type="spellStart"/>
      <w:r>
        <w:t>Beleidsregels</w:t>
      </w:r>
      <w:proofErr w:type="spellEnd"/>
      <w:r>
        <w:t xml:space="preserve"> </w:t>
      </w:r>
      <w:proofErr w:type="spellStart"/>
      <w:r>
        <w:t>Buitengewoon</w:t>
      </w:r>
      <w:proofErr w:type="spellEnd"/>
      <w:r>
        <w:t xml:space="preserve"> </w:t>
      </w:r>
      <w:proofErr w:type="spellStart"/>
      <w:r>
        <w:t>Opsporingsambtenaar</w:t>
      </w:r>
      <w:proofErr w:type="spellEnd"/>
      <w:r w:rsidRPr="00B678BE">
        <w:t xml:space="preserve"> </w:t>
      </w:r>
      <w:r>
        <w:t>(‘</w:t>
      </w:r>
      <w:r w:rsidRPr="00B678BE">
        <w:rPr>
          <w:i/>
          <w:iCs/>
        </w:rPr>
        <w:t>Policy Regulation</w:t>
      </w:r>
      <w:r w:rsidRPr="00B678BE">
        <w:t xml:space="preserve"> </w:t>
      </w:r>
      <w:r w:rsidRPr="00CD7CB6">
        <w:rPr>
          <w:i/>
          <w:iCs/>
          <w:lang w:eastAsia="nl-NL" w:bidi="en-US"/>
        </w:rPr>
        <w:t>extraordinary investigating officer</w:t>
      </w:r>
      <w:r>
        <w:rPr>
          <w:i/>
          <w:iCs/>
          <w:lang w:eastAsia="nl-NL" w:bidi="en-US"/>
        </w:rPr>
        <w:t>’).</w:t>
      </w:r>
      <w:proofErr w:type="gramEnd"/>
      <w:r>
        <w:rPr>
          <w:i/>
          <w:iCs/>
          <w:lang w:eastAsia="nl-NL" w:bidi="en-US"/>
        </w:rPr>
        <w:t xml:space="preserve"> </w:t>
      </w:r>
      <w:r w:rsidRPr="00B678BE">
        <w:t xml:space="preserve"> </w:t>
      </w:r>
    </w:p>
  </w:footnote>
  <w:footnote w:id="237">
    <w:p w14:paraId="4CD9F0DA" w14:textId="21EE4563" w:rsidR="00B5570E" w:rsidRPr="003C042B" w:rsidRDefault="00B5570E">
      <w:pPr>
        <w:pStyle w:val="FootnoteText"/>
      </w:pPr>
      <w:r>
        <w:rPr>
          <w:rStyle w:val="FootnoteReference"/>
        </w:rPr>
        <w:footnoteRef/>
      </w:r>
      <w:r>
        <w:t xml:space="preserve"> See chapter C3.2.</w:t>
      </w:r>
    </w:p>
  </w:footnote>
  <w:footnote w:id="238">
    <w:p w14:paraId="7FE462A5" w14:textId="561C2847" w:rsidR="00B5570E" w:rsidRDefault="00B5570E">
      <w:pPr>
        <w:pStyle w:val="FootnoteText"/>
      </w:pPr>
      <w:r>
        <w:rPr>
          <w:rStyle w:val="FootnoteReference"/>
        </w:rPr>
        <w:footnoteRef/>
      </w:r>
      <w:r>
        <w:t xml:space="preserve">  Article 25 Roads Ordinance Province Utrecht, article 17.6 Environmental Ordinance Province Flevoland.</w:t>
      </w:r>
    </w:p>
  </w:footnote>
  <w:footnote w:id="239">
    <w:p w14:paraId="19A235F5" w14:textId="423CA626" w:rsidR="00B5570E" w:rsidRPr="00FB3081" w:rsidRDefault="00B5570E">
      <w:pPr>
        <w:pStyle w:val="FootnoteText"/>
      </w:pPr>
      <w:r>
        <w:rPr>
          <w:rStyle w:val="FootnoteReference"/>
        </w:rPr>
        <w:footnoteRef/>
      </w:r>
      <w:r>
        <w:t xml:space="preserve"> </w:t>
      </w:r>
      <w:hyperlink r:id="rId85" w:history="1">
        <w:r w:rsidRPr="007B3D2B">
          <w:rPr>
            <w:rStyle w:val="Hyperlink"/>
            <w:rFonts w:cstheme="minorBidi"/>
          </w:rPr>
          <w:t>https://vng.nl/artikelen/about-vng</w:t>
        </w:r>
      </w:hyperlink>
      <w:r>
        <w:t xml:space="preserve"> Accessed 29 May 2020. </w:t>
      </w:r>
    </w:p>
  </w:footnote>
  <w:footnote w:id="240">
    <w:p w14:paraId="42090DCF" w14:textId="1B6E1FF4" w:rsidR="00B5570E" w:rsidRPr="00B10040" w:rsidRDefault="00B5570E">
      <w:pPr>
        <w:pStyle w:val="FootnoteText"/>
      </w:pPr>
      <w:r>
        <w:rPr>
          <w:rStyle w:val="FootnoteReference"/>
        </w:rPr>
        <w:footnoteRef/>
      </w:r>
      <w:r>
        <w:t xml:space="preserve"> </w:t>
      </w:r>
      <w:hyperlink r:id="rId86" w:history="1">
        <w:r w:rsidRPr="007B3D2B">
          <w:rPr>
            <w:rStyle w:val="Hyperlink"/>
            <w:rFonts w:cstheme="minorBidi"/>
          </w:rPr>
          <w:t>https://vng.nl/brieven/wijziging-model-apv-zomer-2019</w:t>
        </w:r>
      </w:hyperlink>
      <w:r>
        <w:t xml:space="preserve">. </w:t>
      </w:r>
      <w:proofErr w:type="gramStart"/>
      <w:r>
        <w:t>Accessed 29 May 2020.</w:t>
      </w:r>
      <w:proofErr w:type="gramEnd"/>
    </w:p>
  </w:footnote>
  <w:footnote w:id="241">
    <w:p w14:paraId="154F975E" w14:textId="2008E8C2" w:rsidR="00B5570E" w:rsidRPr="009254C2" w:rsidRDefault="00B5570E">
      <w:pPr>
        <w:pStyle w:val="FootnoteText"/>
      </w:pPr>
      <w:r>
        <w:rPr>
          <w:rStyle w:val="FootnoteReference"/>
        </w:rPr>
        <w:footnoteRef/>
      </w:r>
      <w:r>
        <w:t xml:space="preserve"> See chapter A6.1 and A6.2.</w:t>
      </w:r>
    </w:p>
  </w:footnote>
  <w:footnote w:id="242">
    <w:p w14:paraId="1E9A105C" w14:textId="57B23FBA" w:rsidR="00B5570E" w:rsidRPr="00D77E35" w:rsidRDefault="00B5570E">
      <w:pPr>
        <w:pStyle w:val="FootnoteText"/>
      </w:pPr>
      <w:r>
        <w:rPr>
          <w:rStyle w:val="FootnoteReference"/>
        </w:rPr>
        <w:footnoteRef/>
      </w:r>
      <w:r w:rsidRPr="00D77E35">
        <w:t xml:space="preserve"> Article 125 APV Utrecht, article 6.1 APV Almere.</w:t>
      </w:r>
    </w:p>
  </w:footnote>
  <w:footnote w:id="243">
    <w:p w14:paraId="13AAD2CC" w14:textId="13A6B56A" w:rsidR="00B5570E" w:rsidRDefault="00B5570E" w:rsidP="008E2DFC">
      <w:pPr>
        <w:pStyle w:val="FootnoteText"/>
      </w:pPr>
      <w:r>
        <w:rPr>
          <w:rStyle w:val="FootnoteReference"/>
        </w:rPr>
        <w:footnoteRef/>
      </w:r>
      <w:r>
        <w:t xml:space="preserve"> Articles 126 and 126a APV Utrecht, Article 6.2 APV Almere.</w:t>
      </w:r>
    </w:p>
  </w:footnote>
  <w:footnote w:id="244">
    <w:p w14:paraId="2B54E3E6" w14:textId="77777777" w:rsidR="00B5570E" w:rsidRDefault="00B5570E" w:rsidP="008E2DFC">
      <w:pPr>
        <w:pStyle w:val="FootnoteText"/>
      </w:pPr>
      <w:r>
        <w:rPr>
          <w:rStyle w:val="FootnoteReference"/>
        </w:rPr>
        <w:footnoteRef/>
      </w:r>
      <w:r>
        <w:t xml:space="preserve">  Articles 126 and 126a APV Utrecht, Article 6.2 APV Almere.</w:t>
      </w:r>
    </w:p>
  </w:footnote>
  <w:footnote w:id="245">
    <w:p w14:paraId="22372899" w14:textId="2440472F" w:rsidR="00B5570E" w:rsidRPr="00DE35BE" w:rsidRDefault="00B5570E">
      <w:pPr>
        <w:pStyle w:val="FootnoteText"/>
      </w:pPr>
      <w:r>
        <w:rPr>
          <w:rStyle w:val="FootnoteReference"/>
        </w:rPr>
        <w:footnoteRef/>
      </w:r>
      <w:r>
        <w:t xml:space="preserve"> </w:t>
      </w:r>
      <w:proofErr w:type="gramStart"/>
      <w:r w:rsidRPr="00DE35BE">
        <w:t>Article 120 Provinces Act.</w:t>
      </w:r>
      <w:proofErr w:type="gramEnd"/>
    </w:p>
  </w:footnote>
  <w:footnote w:id="246">
    <w:p w14:paraId="44B564AB" w14:textId="3784412F" w:rsidR="00B5570E" w:rsidRPr="00DE35BE" w:rsidRDefault="00B5570E">
      <w:pPr>
        <w:pStyle w:val="FootnoteText"/>
      </w:pPr>
      <w:r>
        <w:rPr>
          <w:rStyle w:val="FootnoteReference"/>
        </w:rPr>
        <w:footnoteRef/>
      </w:r>
      <w:r>
        <w:t xml:space="preserve"> </w:t>
      </w:r>
      <w:proofErr w:type="gramStart"/>
      <w:r w:rsidRPr="00DE35BE">
        <w:t>Article 124 Municipalities Act.</w:t>
      </w:r>
      <w:proofErr w:type="gramEnd"/>
    </w:p>
  </w:footnote>
  <w:footnote w:id="247">
    <w:p w14:paraId="02161208" w14:textId="6596BBDB" w:rsidR="00B5570E" w:rsidRPr="00DE35BE" w:rsidRDefault="00B5570E" w:rsidP="00914F2E">
      <w:pPr>
        <w:pStyle w:val="Heading1"/>
      </w:pPr>
      <w:r w:rsidRPr="00914F2E">
        <w:rPr>
          <w:rStyle w:val="FootnoteReference"/>
          <w:b w:val="0"/>
          <w:bCs w:val="0"/>
          <w:szCs w:val="20"/>
        </w:rPr>
        <w:footnoteRef/>
      </w:r>
      <w:r w:rsidRPr="00914F2E">
        <w:rPr>
          <w:b w:val="0"/>
          <w:bCs w:val="0"/>
          <w:sz w:val="20"/>
          <w:szCs w:val="20"/>
          <w:lang w:val="nl-NL"/>
        </w:rPr>
        <w:t xml:space="preserve"> </w:t>
      </w:r>
      <w:r w:rsidRPr="00914F2E">
        <w:rPr>
          <w:rFonts w:cs="Arial"/>
          <w:b w:val="0"/>
          <w:bCs w:val="0"/>
          <w:sz w:val="20"/>
          <w:szCs w:val="20"/>
          <w:lang w:val="nl-NL"/>
        </w:rPr>
        <w:t xml:space="preserve">R. Kegge, </w:t>
      </w:r>
      <w:r w:rsidRPr="00914F2E">
        <w:rPr>
          <w:rFonts w:cs="Arial"/>
          <w:b w:val="0"/>
          <w:bCs w:val="0"/>
          <w:i/>
          <w:iCs/>
          <w:sz w:val="20"/>
          <w:szCs w:val="20"/>
          <w:lang w:val="nl-NL"/>
        </w:rPr>
        <w:t>I</w:t>
      </w:r>
      <w:r w:rsidRPr="00914F2E">
        <w:rPr>
          <w:rStyle w:val="bookcontent-title"/>
          <w:b w:val="0"/>
          <w:bCs w:val="0"/>
          <w:i/>
          <w:iCs/>
          <w:sz w:val="20"/>
          <w:szCs w:val="20"/>
          <w:lang w:val="nl-NL"/>
        </w:rPr>
        <w:t xml:space="preserve">nterbestuurlijk toezicht in de ruimtelijke ordening </w:t>
      </w:r>
      <w:r w:rsidRPr="00914F2E">
        <w:rPr>
          <w:rStyle w:val="bookcontent-subtitle"/>
          <w:b w:val="0"/>
          <w:bCs w:val="0"/>
          <w:i/>
          <w:iCs/>
          <w:sz w:val="20"/>
          <w:szCs w:val="20"/>
          <w:lang w:val="nl-NL"/>
        </w:rPr>
        <w:t>een juridisch onderzoek naar het nut en de noodzaak van de reactieve aanwijzing als toezichtinstrument in de ruimtelijke ordening</w:t>
      </w:r>
      <w:r>
        <w:rPr>
          <w:rStyle w:val="bookcontent-subtitle"/>
          <w:b w:val="0"/>
          <w:bCs w:val="0"/>
          <w:sz w:val="20"/>
          <w:szCs w:val="20"/>
          <w:lang w:val="nl-NL"/>
        </w:rPr>
        <w:t xml:space="preserve"> (‘</w:t>
      </w:r>
      <w:r w:rsidRPr="00914F2E">
        <w:rPr>
          <w:rFonts w:eastAsiaTheme="minorHAnsi" w:cs="Arial"/>
          <w:b w:val="0"/>
          <w:bCs w:val="0"/>
          <w:i/>
          <w:iCs/>
          <w:sz w:val="20"/>
          <w:szCs w:val="20"/>
          <w:lang w:val="nl-NL" w:eastAsia="en-US"/>
        </w:rPr>
        <w:t xml:space="preserve">Interadministrative supervision in spatial planning. </w:t>
      </w:r>
      <w:proofErr w:type="gramStart"/>
      <w:r w:rsidRPr="00914F2E">
        <w:rPr>
          <w:rFonts w:eastAsiaTheme="minorHAnsi" w:cs="Arial"/>
          <w:b w:val="0"/>
          <w:bCs w:val="0"/>
          <w:i/>
          <w:iCs/>
          <w:sz w:val="20"/>
          <w:szCs w:val="20"/>
          <w:lang w:eastAsia="en-US"/>
        </w:rPr>
        <w:t>A legal study of the benefits and the necessity of the reactive instruction as a supervisory instrument in Dutch spatial planning</w:t>
      </w:r>
      <w:r>
        <w:rPr>
          <w:rFonts w:eastAsiaTheme="minorHAnsi" w:cs="Arial"/>
          <w:b w:val="0"/>
          <w:bCs w:val="0"/>
          <w:i/>
          <w:iCs/>
          <w:sz w:val="20"/>
          <w:szCs w:val="20"/>
          <w:lang w:eastAsia="en-US"/>
        </w:rPr>
        <w:t>’)</w:t>
      </w:r>
      <w:r w:rsidRPr="00914F2E">
        <w:rPr>
          <w:rFonts w:cs="Arial"/>
          <w:b w:val="0"/>
          <w:bCs w:val="0"/>
          <w:sz w:val="20"/>
          <w:szCs w:val="20"/>
        </w:rPr>
        <w:t xml:space="preserve"> (</w:t>
      </w:r>
      <w:proofErr w:type="spellStart"/>
      <w:r w:rsidRPr="00914F2E">
        <w:rPr>
          <w:rFonts w:cs="Arial"/>
          <w:b w:val="0"/>
          <w:bCs w:val="0"/>
          <w:sz w:val="20"/>
          <w:szCs w:val="20"/>
        </w:rPr>
        <w:t>Stichting</w:t>
      </w:r>
      <w:proofErr w:type="spellEnd"/>
      <w:r w:rsidRPr="00914F2E">
        <w:rPr>
          <w:rFonts w:cs="Arial"/>
          <w:b w:val="0"/>
          <w:bCs w:val="0"/>
          <w:sz w:val="20"/>
          <w:szCs w:val="20"/>
        </w:rPr>
        <w:t xml:space="preserve"> </w:t>
      </w:r>
      <w:proofErr w:type="spellStart"/>
      <w:r w:rsidRPr="00914F2E">
        <w:rPr>
          <w:rFonts w:cs="Arial"/>
          <w:b w:val="0"/>
          <w:bCs w:val="0"/>
          <w:sz w:val="20"/>
          <w:szCs w:val="20"/>
        </w:rPr>
        <w:t>Instituut</w:t>
      </w:r>
      <w:proofErr w:type="spellEnd"/>
      <w:r w:rsidRPr="00914F2E">
        <w:rPr>
          <w:rFonts w:cs="Arial"/>
          <w:b w:val="0"/>
          <w:bCs w:val="0"/>
          <w:sz w:val="20"/>
          <w:szCs w:val="20"/>
        </w:rPr>
        <w:t xml:space="preserve"> </w:t>
      </w:r>
      <w:proofErr w:type="spellStart"/>
      <w:r w:rsidRPr="00914F2E">
        <w:rPr>
          <w:rFonts w:cs="Arial"/>
          <w:b w:val="0"/>
          <w:bCs w:val="0"/>
          <w:sz w:val="20"/>
          <w:szCs w:val="20"/>
        </w:rPr>
        <w:t>voor</w:t>
      </w:r>
      <w:proofErr w:type="spellEnd"/>
      <w:r w:rsidRPr="00914F2E">
        <w:rPr>
          <w:rFonts w:cs="Arial"/>
          <w:b w:val="0"/>
          <w:bCs w:val="0"/>
          <w:sz w:val="20"/>
          <w:szCs w:val="20"/>
        </w:rPr>
        <w:t xml:space="preserve"> </w:t>
      </w:r>
      <w:proofErr w:type="spellStart"/>
      <w:r w:rsidRPr="00914F2E">
        <w:rPr>
          <w:rFonts w:cs="Arial"/>
          <w:b w:val="0"/>
          <w:bCs w:val="0"/>
          <w:sz w:val="20"/>
          <w:szCs w:val="20"/>
        </w:rPr>
        <w:t>Bouwrecht</w:t>
      </w:r>
      <w:proofErr w:type="spellEnd"/>
      <w:r w:rsidRPr="00914F2E">
        <w:rPr>
          <w:rFonts w:cs="Arial"/>
          <w:b w:val="0"/>
          <w:bCs w:val="0"/>
          <w:sz w:val="20"/>
          <w:szCs w:val="20"/>
        </w:rPr>
        <w:t xml:space="preserve"> 2015), p. 312.</w:t>
      </w:r>
      <w:proofErr w:type="gramEnd"/>
    </w:p>
  </w:footnote>
  <w:footnote w:id="248">
    <w:p w14:paraId="0247AA86" w14:textId="00F6022B" w:rsidR="00B5570E" w:rsidRPr="00DE35BE" w:rsidRDefault="00B5570E">
      <w:pPr>
        <w:pStyle w:val="FootnoteText"/>
      </w:pPr>
      <w:r>
        <w:rPr>
          <w:rStyle w:val="FootnoteReference"/>
        </w:rPr>
        <w:footnoteRef/>
      </w:r>
      <w:r>
        <w:t xml:space="preserve"> </w:t>
      </w:r>
      <w:r w:rsidRPr="00DE35BE">
        <w:t>Article 3.8 subsection 6, and article 3.28 Spatial Planning Act.</w:t>
      </w:r>
    </w:p>
  </w:footnote>
  <w:footnote w:id="249">
    <w:p w14:paraId="116A1881" w14:textId="238EDB02" w:rsidR="00B5570E" w:rsidRPr="00DE35BE" w:rsidRDefault="00B5570E">
      <w:pPr>
        <w:pStyle w:val="FootnoteText"/>
      </w:pPr>
      <w:r>
        <w:rPr>
          <w:rStyle w:val="FootnoteReference"/>
        </w:rPr>
        <w:footnoteRef/>
      </w:r>
      <w:r>
        <w:t xml:space="preserve"> </w:t>
      </w:r>
      <w:proofErr w:type="gramStart"/>
      <w:r w:rsidRPr="00DE35BE">
        <w:t>Article 3.26 Spatial Planning Act.</w:t>
      </w:r>
      <w:proofErr w:type="gramEnd"/>
    </w:p>
  </w:footnote>
  <w:footnote w:id="250">
    <w:p w14:paraId="6AFF61E4" w14:textId="07BBD98F" w:rsidR="00B5570E" w:rsidRPr="00DE35BE" w:rsidRDefault="00B5570E">
      <w:pPr>
        <w:pStyle w:val="FootnoteText"/>
      </w:pPr>
      <w:r>
        <w:rPr>
          <w:rStyle w:val="FootnoteReference"/>
        </w:rPr>
        <w:footnoteRef/>
      </w:r>
      <w:r>
        <w:t xml:space="preserve"> </w:t>
      </w:r>
      <w:proofErr w:type="gramStart"/>
      <w:r w:rsidRPr="00DE35BE">
        <w:t>Article 124 to 124h and 273a Municipalities Act, article 121 to article 121e Provinces Act.</w:t>
      </w:r>
      <w:proofErr w:type="gramEnd"/>
    </w:p>
  </w:footnote>
  <w:footnote w:id="251">
    <w:p w14:paraId="0513A31A" w14:textId="77777777" w:rsidR="00B5570E" w:rsidRPr="001D44C4" w:rsidRDefault="00B5570E" w:rsidP="00172A18">
      <w:pPr>
        <w:pStyle w:val="FootnoteText"/>
      </w:pPr>
      <w:r>
        <w:rPr>
          <w:rStyle w:val="FootnoteReference"/>
        </w:rPr>
        <w:footnoteRef/>
      </w:r>
      <w:r>
        <w:t xml:space="preserve"> </w:t>
      </w:r>
      <w:proofErr w:type="gramStart"/>
      <w:r>
        <w:t>SWOV (2020).</w:t>
      </w:r>
      <w:proofErr w:type="gramEnd"/>
      <w:r>
        <w:rPr>
          <w:rStyle w:val="Emphasis"/>
        </w:rPr>
        <w:t xml:space="preserve"> </w:t>
      </w:r>
      <w:proofErr w:type="gramStart"/>
      <w:r>
        <w:rPr>
          <w:rStyle w:val="Emphasis"/>
        </w:rPr>
        <w:t>Road deaths in the Netherlands</w:t>
      </w:r>
      <w:r>
        <w:t>.</w:t>
      </w:r>
      <w:proofErr w:type="gramEnd"/>
      <w:r>
        <w:t xml:space="preserve"> </w:t>
      </w:r>
      <w:proofErr w:type="gramStart"/>
      <w:r>
        <w:t>SWOV Fact sheet, January 2020.</w:t>
      </w:r>
      <w:proofErr w:type="gramEnd"/>
      <w:r>
        <w:t xml:space="preserve"> SWOV, The Hague. </w:t>
      </w:r>
      <w:hyperlink r:id="rId87" w:history="1">
        <w:r w:rsidRPr="00E03995">
          <w:rPr>
            <w:rStyle w:val="Hyperlink"/>
            <w:rFonts w:cstheme="minorBidi"/>
          </w:rPr>
          <w:t>https://www.swov.nl/en/facts-figures/factsheet/road-deaths-netherlands</w:t>
        </w:r>
      </w:hyperlink>
      <w:r>
        <w:t xml:space="preserve"> Accessed 12 June 2020.</w:t>
      </w:r>
    </w:p>
  </w:footnote>
  <w:footnote w:id="252">
    <w:p w14:paraId="42551BA5" w14:textId="5808D0EC" w:rsidR="00B5570E" w:rsidRPr="00A555E0" w:rsidRDefault="00B5570E" w:rsidP="004D2274">
      <w:pPr>
        <w:pStyle w:val="Default"/>
        <w:rPr>
          <w:rFonts w:ascii="Arial" w:hAnsi="Arial" w:cs="Arial"/>
          <w:sz w:val="20"/>
          <w:szCs w:val="20"/>
        </w:rPr>
      </w:pPr>
      <w:r>
        <w:rPr>
          <w:rStyle w:val="FootnoteReference"/>
        </w:rPr>
        <w:footnoteRef/>
      </w:r>
      <w:r>
        <w:t xml:space="preserve"> </w:t>
      </w:r>
      <w:r w:rsidRPr="004D2274">
        <w:rPr>
          <w:rFonts w:ascii="Arial" w:hAnsi="Arial" w:cs="Arial"/>
          <w:sz w:val="20"/>
          <w:szCs w:val="20"/>
        </w:rPr>
        <w:t>B</w:t>
      </w:r>
      <w:r>
        <w:rPr>
          <w:rFonts w:ascii="Arial" w:hAnsi="Arial" w:cs="Arial"/>
          <w:sz w:val="20"/>
          <w:szCs w:val="20"/>
        </w:rPr>
        <w:t>.</w:t>
      </w:r>
      <w:r w:rsidRPr="004D2274">
        <w:rPr>
          <w:rFonts w:ascii="Arial" w:hAnsi="Arial" w:cs="Arial"/>
          <w:sz w:val="20"/>
          <w:szCs w:val="20"/>
        </w:rPr>
        <w:t xml:space="preserve"> Olij</w:t>
      </w:r>
      <w:r>
        <w:rPr>
          <w:rFonts w:ascii="Arial" w:hAnsi="Arial" w:cs="Arial"/>
          <w:sz w:val="20"/>
          <w:szCs w:val="20"/>
        </w:rPr>
        <w:t xml:space="preserve"> and </w:t>
      </w:r>
      <w:r w:rsidRPr="004D2274">
        <w:rPr>
          <w:rFonts w:ascii="Arial" w:hAnsi="Arial" w:cs="Arial"/>
          <w:sz w:val="20"/>
          <w:szCs w:val="20"/>
        </w:rPr>
        <w:t>H</w:t>
      </w:r>
      <w:r>
        <w:rPr>
          <w:rFonts w:ascii="Arial" w:hAnsi="Arial" w:cs="Arial"/>
          <w:sz w:val="20"/>
          <w:szCs w:val="20"/>
        </w:rPr>
        <w:t xml:space="preserve">. </w:t>
      </w:r>
      <w:r w:rsidRPr="004D2274">
        <w:rPr>
          <w:rFonts w:ascii="Arial" w:hAnsi="Arial" w:cs="Arial"/>
          <w:sz w:val="20"/>
          <w:szCs w:val="20"/>
        </w:rPr>
        <w:t>van der Does</w:t>
      </w:r>
      <w:r>
        <w:rPr>
          <w:rFonts w:ascii="Arial" w:hAnsi="Arial" w:cs="Arial"/>
          <w:sz w:val="20"/>
          <w:szCs w:val="20"/>
        </w:rPr>
        <w:t>,</w:t>
      </w:r>
      <w:r w:rsidRPr="004D2274">
        <w:rPr>
          <w:rFonts w:ascii="Arial" w:hAnsi="Arial" w:cs="Arial"/>
          <w:sz w:val="20"/>
          <w:szCs w:val="20"/>
        </w:rPr>
        <w:t xml:space="preserve"> </w:t>
      </w:r>
      <w:r w:rsidRPr="0069102A">
        <w:rPr>
          <w:rFonts w:ascii="Arial" w:hAnsi="Arial" w:cs="Arial"/>
          <w:i/>
          <w:iCs/>
          <w:sz w:val="20"/>
          <w:szCs w:val="20"/>
        </w:rPr>
        <w:t>Verkeersongevallen 2018, SEH-bezoeken. Rapport 818</w:t>
      </w:r>
      <w:r w:rsidRPr="00A555E0">
        <w:rPr>
          <w:rFonts w:ascii="Arial" w:hAnsi="Arial" w:cs="Arial"/>
          <w:sz w:val="20"/>
          <w:szCs w:val="20"/>
        </w:rPr>
        <w:t xml:space="preserve"> </w:t>
      </w:r>
      <w:r>
        <w:rPr>
          <w:rFonts w:ascii="Arial" w:hAnsi="Arial" w:cs="Arial"/>
          <w:sz w:val="20"/>
          <w:szCs w:val="20"/>
        </w:rPr>
        <w:t>(</w:t>
      </w:r>
      <w:r w:rsidRPr="00A555E0">
        <w:rPr>
          <w:rFonts w:ascii="Arial" w:hAnsi="Arial" w:cs="Arial"/>
          <w:sz w:val="20"/>
          <w:szCs w:val="20"/>
        </w:rPr>
        <w:t>VeiligheidNL 2019), p.8.</w:t>
      </w:r>
    </w:p>
  </w:footnote>
  <w:footnote w:id="253">
    <w:p w14:paraId="0BB45E5C" w14:textId="4F682BCB" w:rsidR="00B5570E" w:rsidRPr="00A555E0" w:rsidRDefault="00B5570E">
      <w:pPr>
        <w:pStyle w:val="FootnoteText"/>
        <w:rPr>
          <w:lang w:val="nl-NL"/>
        </w:rPr>
      </w:pPr>
      <w:r>
        <w:rPr>
          <w:rStyle w:val="FootnoteReference"/>
        </w:rPr>
        <w:footnoteRef/>
      </w:r>
      <w:r w:rsidRPr="00672C8E">
        <w:rPr>
          <w:lang w:val="nl-NL"/>
        </w:rPr>
        <w:t xml:space="preserve"> </w:t>
      </w:r>
      <w:r w:rsidRPr="0069102A">
        <w:rPr>
          <w:rFonts w:cs="Arial"/>
          <w:szCs w:val="20"/>
          <w:lang w:val="nl-NL"/>
        </w:rPr>
        <w:t xml:space="preserve">B. </w:t>
      </w:r>
      <w:r w:rsidRPr="0069102A">
        <w:rPr>
          <w:rFonts w:cs="Arial"/>
          <w:szCs w:val="20"/>
          <w:lang w:val="nl-NL"/>
        </w:rPr>
        <w:t xml:space="preserve">Olij and H. van der Does, </w:t>
      </w:r>
      <w:r w:rsidRPr="0069102A">
        <w:rPr>
          <w:rFonts w:cs="Arial"/>
          <w:i/>
          <w:iCs/>
          <w:szCs w:val="20"/>
          <w:lang w:val="nl-NL"/>
        </w:rPr>
        <w:t>Verkeersongevallen 2018, SEH-bezoeken. Rapport 818</w:t>
      </w:r>
      <w:r w:rsidRPr="0069102A">
        <w:rPr>
          <w:rFonts w:cs="Arial"/>
          <w:szCs w:val="20"/>
          <w:lang w:val="nl-NL"/>
        </w:rPr>
        <w:t xml:space="preserve"> (VeiligheidNL 2019), </w:t>
      </w:r>
      <w:r w:rsidRPr="00A555E0">
        <w:rPr>
          <w:rFonts w:cs="Arial"/>
          <w:szCs w:val="20"/>
          <w:lang w:val="nl-NL"/>
        </w:rPr>
        <w:t xml:space="preserve"> p.8.</w:t>
      </w:r>
    </w:p>
  </w:footnote>
  <w:footnote w:id="254">
    <w:p w14:paraId="0D41931F" w14:textId="1E902464" w:rsidR="00B5570E" w:rsidRPr="004F6513" w:rsidRDefault="00B5570E">
      <w:pPr>
        <w:pStyle w:val="FootnoteText"/>
      </w:pPr>
      <w:r>
        <w:rPr>
          <w:rStyle w:val="FootnoteReference"/>
        </w:rPr>
        <w:footnoteRef/>
      </w:r>
      <w:r w:rsidRPr="00A555E0">
        <w:rPr>
          <w:lang w:val="nl-NL"/>
        </w:rPr>
        <w:t xml:space="preserve"> </w:t>
      </w:r>
      <w:r w:rsidRPr="00A555E0">
        <w:rPr>
          <w:szCs w:val="20"/>
          <w:lang w:val="nl-NL"/>
        </w:rPr>
        <w:t xml:space="preserve">J.P. Schepers and R Methorst, </w:t>
      </w:r>
      <w:r w:rsidRPr="0069102A">
        <w:rPr>
          <w:rFonts w:eastAsiaTheme="minorHAnsi" w:cs="Arial"/>
          <w:i/>
          <w:iCs/>
          <w:color w:val="000000"/>
          <w:szCs w:val="20"/>
          <w:lang w:val="nl-NL" w:eastAsia="en-US"/>
        </w:rPr>
        <w:t>Voetgangersveiligheid erkenning van onveiligheid, oorzaken en beleidsmogelijkheden</w:t>
      </w:r>
      <w:r w:rsidRPr="00A555E0">
        <w:rPr>
          <w:rFonts w:eastAsiaTheme="minorHAnsi" w:cs="Arial"/>
          <w:color w:val="000000"/>
          <w:szCs w:val="20"/>
          <w:lang w:val="nl-NL" w:eastAsia="en-US"/>
        </w:rPr>
        <w:t xml:space="preserve"> (</w:t>
      </w:r>
      <w:r>
        <w:rPr>
          <w:rFonts w:eastAsiaTheme="minorHAnsi" w:cs="Arial"/>
          <w:color w:val="000000"/>
          <w:szCs w:val="20"/>
          <w:lang w:val="nl-NL" w:eastAsia="en-US"/>
        </w:rPr>
        <w:t>‘</w:t>
      </w:r>
      <w:r w:rsidRPr="00A555E0">
        <w:rPr>
          <w:i/>
          <w:iCs/>
          <w:szCs w:val="20"/>
          <w:lang w:val="nl-NL"/>
        </w:rPr>
        <w:t>Pedestrian safety; exploration of the level of unsafety, its causes and policy options</w:t>
      </w:r>
      <w:r>
        <w:rPr>
          <w:i/>
          <w:iCs/>
          <w:szCs w:val="20"/>
          <w:lang w:val="nl-NL"/>
        </w:rPr>
        <w:t>’</w:t>
      </w:r>
      <w:r w:rsidRPr="00A555E0">
        <w:rPr>
          <w:szCs w:val="20"/>
          <w:lang w:val="nl-NL"/>
        </w:rPr>
        <w:t xml:space="preserve">). </w:t>
      </w:r>
      <w:r w:rsidRPr="00CE4642">
        <w:rPr>
          <w:szCs w:val="20"/>
        </w:rPr>
        <w:t>(</w:t>
      </w:r>
      <w:r>
        <w:rPr>
          <w:szCs w:val="20"/>
        </w:rPr>
        <w:t xml:space="preserve">SWOV </w:t>
      </w:r>
      <w:r w:rsidRPr="008B0EB2">
        <w:rPr>
          <w:szCs w:val="20"/>
        </w:rPr>
        <w:t>20</w:t>
      </w:r>
      <w:r>
        <w:rPr>
          <w:szCs w:val="20"/>
        </w:rPr>
        <w:t>1</w:t>
      </w:r>
      <w:r w:rsidRPr="008B0EB2">
        <w:rPr>
          <w:szCs w:val="20"/>
        </w:rPr>
        <w:t>2</w:t>
      </w:r>
      <w:r>
        <w:rPr>
          <w:szCs w:val="20"/>
        </w:rPr>
        <w:t>)</w:t>
      </w:r>
      <w:r w:rsidRPr="008B0EB2">
        <w:rPr>
          <w:szCs w:val="20"/>
        </w:rPr>
        <w:t>, p. 35</w:t>
      </w:r>
      <w:r>
        <w:rPr>
          <w:szCs w:val="20"/>
        </w:rPr>
        <w:t>.</w:t>
      </w:r>
      <w:r>
        <w:t xml:space="preserve"> </w:t>
      </w:r>
    </w:p>
  </w:footnote>
  <w:footnote w:id="255">
    <w:p w14:paraId="12790936" w14:textId="77777777" w:rsidR="00B5570E" w:rsidRPr="00A555E0" w:rsidRDefault="00B5570E" w:rsidP="00A555E0">
      <w:pPr>
        <w:pStyle w:val="FootnoteText"/>
      </w:pPr>
      <w:r>
        <w:rPr>
          <w:rStyle w:val="FootnoteReference"/>
        </w:rPr>
        <w:footnoteRef/>
      </w:r>
      <w:r>
        <w:t xml:space="preserve"> </w:t>
      </w:r>
      <w:hyperlink r:id="rId88" w:history="1">
        <w:r w:rsidRPr="00E03995">
          <w:rPr>
            <w:rStyle w:val="Hyperlink"/>
            <w:rFonts w:cstheme="minorBidi"/>
          </w:rPr>
          <w:t>https://www.swov.nl/en/facts-figures/factsheet/30-kmh-zones</w:t>
        </w:r>
      </w:hyperlink>
      <w:r>
        <w:t xml:space="preserve"> Accessed 12 June 2020.</w:t>
      </w:r>
    </w:p>
  </w:footnote>
  <w:footnote w:id="256">
    <w:p w14:paraId="650BF3BB" w14:textId="4B1E3F21" w:rsidR="00B5570E" w:rsidRPr="00213C3B" w:rsidRDefault="00B5570E">
      <w:pPr>
        <w:pStyle w:val="FootnoteText"/>
      </w:pPr>
      <w:r>
        <w:rPr>
          <w:rStyle w:val="FootnoteReference"/>
        </w:rPr>
        <w:footnoteRef/>
      </w:r>
      <w:r>
        <w:t xml:space="preserve"> Road users are obliged to follow instructions of traffic regulators: </w:t>
      </w:r>
      <w:r w:rsidRPr="00213C3B">
        <w:t xml:space="preserve">Article </w:t>
      </w:r>
      <w:r>
        <w:t>182.1(d), RVV 1994.</w:t>
      </w:r>
    </w:p>
  </w:footnote>
  <w:footnote w:id="257">
    <w:p w14:paraId="41C5F5D6" w14:textId="408C8136" w:rsidR="00B5570E" w:rsidRPr="00690318" w:rsidRDefault="00B5570E">
      <w:pPr>
        <w:pStyle w:val="FootnoteText"/>
        <w:rPr>
          <w:lang w:val="nl-NL"/>
        </w:rPr>
      </w:pPr>
      <w:r>
        <w:rPr>
          <w:rStyle w:val="FootnoteReference"/>
        </w:rPr>
        <w:footnoteRef/>
      </w:r>
      <w:r w:rsidRPr="00690318">
        <w:rPr>
          <w:lang w:val="nl-NL"/>
        </w:rPr>
        <w:t xml:space="preserve"> </w:t>
      </w:r>
      <w:r w:rsidRPr="00690318">
        <w:rPr>
          <w:lang w:val="nl-NL"/>
        </w:rPr>
        <w:t>Article</w:t>
      </w:r>
      <w:r>
        <w:rPr>
          <w:lang w:val="nl-NL"/>
        </w:rPr>
        <w:t xml:space="preserve"> 59</w:t>
      </w:r>
      <w:r w:rsidRPr="00690318">
        <w:rPr>
          <w:lang w:val="nl-NL"/>
        </w:rPr>
        <w:t xml:space="preserve"> Besluit administratieve bepalingen inzake het wegverkeer</w:t>
      </w:r>
      <w:r>
        <w:rPr>
          <w:lang w:val="nl-NL"/>
        </w:rPr>
        <w:t>.</w:t>
      </w:r>
      <w:r w:rsidRPr="00690318">
        <w:rPr>
          <w:lang w:val="nl-NL"/>
        </w:rPr>
        <w:t xml:space="preserve"> </w:t>
      </w:r>
    </w:p>
  </w:footnote>
  <w:footnote w:id="258">
    <w:p w14:paraId="45A9FFDC" w14:textId="6809C445" w:rsidR="00B5570E" w:rsidRPr="000E007A" w:rsidRDefault="00B5570E" w:rsidP="000E007A">
      <w:pPr>
        <w:pStyle w:val="fntxt"/>
      </w:pPr>
      <w:r>
        <w:rPr>
          <w:rStyle w:val="FootnoteReference"/>
        </w:rPr>
        <w:footnoteRef/>
      </w:r>
      <w:r w:rsidRPr="000E007A">
        <w:t xml:space="preserve"> </w:t>
      </w:r>
      <w:hyperlink r:id="rId89" w:history="1">
        <w:r w:rsidRPr="000E007A">
          <w:rPr>
            <w:rStyle w:val="Hyperlink"/>
            <w:rFonts w:cstheme="minorBidi"/>
            <w:szCs w:val="20"/>
          </w:rPr>
          <w:t>http://www.kijkopkennis.nl/wp/2018/04/meer-verkeersveiligheid-door-shared-space/</w:t>
        </w:r>
      </w:hyperlink>
      <w:r w:rsidRPr="000E007A">
        <w:t xml:space="preserve"> </w:t>
      </w:r>
      <w:r>
        <w:t>Accessed 19 July 2020</w:t>
      </w:r>
    </w:p>
  </w:footnote>
  <w:footnote w:id="259">
    <w:p w14:paraId="01F6BA93" w14:textId="08F59B75" w:rsidR="00B5570E" w:rsidRPr="00ED2119" w:rsidRDefault="00B5570E">
      <w:pPr>
        <w:pStyle w:val="FootnoteText"/>
      </w:pPr>
      <w:r>
        <w:rPr>
          <w:rStyle w:val="FootnoteReference"/>
        </w:rPr>
        <w:footnoteRef/>
      </w:r>
      <w:r>
        <w:t xml:space="preserve"> </w:t>
      </w:r>
      <w:hyperlink r:id="rId90" w:history="1">
        <w:r w:rsidRPr="00C679A1">
          <w:rPr>
            <w:rStyle w:val="Hyperlink"/>
            <w:rFonts w:cstheme="minorBidi"/>
          </w:rPr>
          <w:t>https://www.kenniscentrumsharedspace.nl/English</w:t>
        </w:r>
      </w:hyperlink>
      <w:r>
        <w:t xml:space="preserve"> Accessed 19 July 2020</w:t>
      </w:r>
    </w:p>
  </w:footnote>
  <w:footnote w:id="260">
    <w:p w14:paraId="546A3F74" w14:textId="64707F8B" w:rsidR="00B5570E" w:rsidRPr="00B0404D" w:rsidRDefault="00B5570E">
      <w:pPr>
        <w:pStyle w:val="FootnoteText"/>
      </w:pPr>
      <w:r>
        <w:rPr>
          <w:rStyle w:val="FootnoteReference"/>
        </w:rPr>
        <w:footnoteRef/>
      </w:r>
      <w:r w:rsidRPr="00B0404D">
        <w:rPr>
          <w:lang w:val="nl-NL"/>
        </w:rPr>
        <w:t xml:space="preserve"> </w:t>
      </w:r>
      <w:r w:rsidRPr="00B0404D">
        <w:rPr>
          <w:lang w:val="nl-NL"/>
        </w:rPr>
        <w:t xml:space="preserve">Michiel Maas, ‘Den </w:t>
      </w:r>
      <w:r>
        <w:rPr>
          <w:lang w:val="nl-NL"/>
        </w:rPr>
        <w:t>H</w:t>
      </w:r>
      <w:r w:rsidRPr="00B0404D">
        <w:rPr>
          <w:lang w:val="nl-NL"/>
        </w:rPr>
        <w:t>aag vindt shared space toc</w:t>
      </w:r>
      <w:r>
        <w:rPr>
          <w:lang w:val="nl-NL"/>
        </w:rPr>
        <w:t xml:space="preserve">h te gevaarlijk’, </w:t>
      </w:r>
      <w:r w:rsidRPr="00B0404D">
        <w:rPr>
          <w:i/>
          <w:iCs/>
          <w:lang w:val="nl-NL"/>
        </w:rPr>
        <w:t>Binnenlands Bestuur</w:t>
      </w:r>
      <w:r>
        <w:rPr>
          <w:i/>
          <w:iCs/>
          <w:lang w:val="nl-NL"/>
        </w:rPr>
        <w:t xml:space="preserve">, </w:t>
      </w:r>
      <w:r>
        <w:rPr>
          <w:lang w:val="nl-NL"/>
        </w:rPr>
        <w:t xml:space="preserve">17 July 2020. </w:t>
      </w:r>
      <w:r w:rsidR="00043F52">
        <w:fldChar w:fldCharType="begin"/>
      </w:r>
      <w:r w:rsidR="00043F52">
        <w:instrText xml:space="preserve"> HYPERLINK "https://www.binnenlandsbestuur.nl/ruimte-en-milieu/nieuws/den-haag-vindt-shared-space-toch-te-gevaarlijk.13887968.lynkx" </w:instrText>
      </w:r>
      <w:r w:rsidR="00043F52">
        <w:fldChar w:fldCharType="separate"/>
      </w:r>
      <w:r w:rsidRPr="00B0404D">
        <w:rPr>
          <w:rStyle w:val="Hyperlink"/>
          <w:rFonts w:cstheme="minorBidi"/>
        </w:rPr>
        <w:t>https://www.binnenlandsbestuur.nl/ruimte-en-milieu/nieuws/den-haag-vindt-shared-space-toch-te-gevaarlijk.13887968.lynkx</w:t>
      </w:r>
      <w:r w:rsidR="00043F52">
        <w:rPr>
          <w:rStyle w:val="Hyperlink"/>
          <w:rFonts w:cstheme="minorBidi"/>
        </w:rPr>
        <w:fldChar w:fldCharType="end"/>
      </w:r>
      <w:r w:rsidRPr="00B0404D">
        <w:t xml:space="preserve"> A</w:t>
      </w:r>
      <w:r>
        <w:t>ccessed 19 July 2020.</w:t>
      </w:r>
    </w:p>
  </w:footnote>
  <w:footnote w:id="261">
    <w:p w14:paraId="138367EC" w14:textId="711C6EC4" w:rsidR="00B5570E" w:rsidRPr="00A95318" w:rsidRDefault="00B5570E">
      <w:pPr>
        <w:pStyle w:val="FootnoteText"/>
      </w:pPr>
      <w:r>
        <w:rPr>
          <w:rStyle w:val="FootnoteReference"/>
        </w:rPr>
        <w:footnoteRef/>
      </w:r>
      <w:r>
        <w:t xml:space="preserve"> </w:t>
      </w:r>
      <w:r w:rsidRPr="00E069F9">
        <w:rPr>
          <w:szCs w:val="20"/>
        </w:rPr>
        <w:t xml:space="preserve">Royal Dutch Visio, </w:t>
      </w:r>
      <w:r w:rsidRPr="00E069F9">
        <w:rPr>
          <w:i/>
          <w:iCs/>
          <w:szCs w:val="20"/>
        </w:rPr>
        <w:t xml:space="preserve">Shared spaces for blind and partially sighted people: a challenge for designers. </w:t>
      </w:r>
      <w:proofErr w:type="gramStart"/>
      <w:r w:rsidRPr="00E069F9">
        <w:rPr>
          <w:i/>
          <w:iCs/>
          <w:szCs w:val="20"/>
        </w:rPr>
        <w:t>Issues and advice for accessible public spaces</w:t>
      </w:r>
      <w:r w:rsidRPr="00E069F9">
        <w:rPr>
          <w:szCs w:val="20"/>
        </w:rPr>
        <w:t xml:space="preserve"> (Royal Dutch Visio 2013)</w:t>
      </w:r>
      <w:r>
        <w:rPr>
          <w:szCs w:val="20"/>
        </w:rPr>
        <w:t>, chapter A 1.</w:t>
      </w:r>
      <w:proofErr w:type="gramEnd"/>
    </w:p>
  </w:footnote>
  <w:footnote w:id="262">
    <w:p w14:paraId="201E00F6" w14:textId="755B1CEF" w:rsidR="00B5570E" w:rsidRPr="009E4499" w:rsidRDefault="00B5570E" w:rsidP="00B0404D">
      <w:pPr>
        <w:pStyle w:val="fntxt"/>
      </w:pPr>
      <w:r>
        <w:rPr>
          <w:rStyle w:val="FootnoteReference"/>
        </w:rPr>
        <w:footnoteRef/>
      </w:r>
      <w:r w:rsidRPr="00B0404D">
        <w:rPr>
          <w:lang w:val="nl-NL"/>
        </w:rPr>
        <w:t xml:space="preserve"> </w:t>
      </w:r>
      <w:r w:rsidRPr="00B0404D">
        <w:rPr>
          <w:lang w:val="nl-NL"/>
        </w:rPr>
        <w:t xml:space="preserve">M. de Lange </w:t>
      </w:r>
      <w:r w:rsidRPr="00B0404D">
        <w:rPr>
          <w:i/>
          <w:iCs/>
          <w:lang w:val="nl-NL"/>
        </w:rPr>
        <w:t>CROW-Fietsberaadnotitie: Fietsdrukte op kruispunten: innovaties, pilots, kennis en ervaring</w:t>
      </w:r>
      <w:r w:rsidRPr="00B0404D">
        <w:rPr>
          <w:lang w:val="nl-NL"/>
        </w:rPr>
        <w:t xml:space="preserve">. </w:t>
      </w:r>
      <w:r w:rsidRPr="009E4499">
        <w:t xml:space="preserve">(CROW </w:t>
      </w:r>
      <w:proofErr w:type="spellStart"/>
      <w:r w:rsidRPr="009E4499">
        <w:t>Fietsberaad</w:t>
      </w:r>
      <w:proofErr w:type="spellEnd"/>
      <w:r w:rsidRPr="009E4499">
        <w:t xml:space="preserve"> 2019), p. 12. Also see footnote 50.</w:t>
      </w:r>
    </w:p>
  </w:footnote>
  <w:footnote w:id="263">
    <w:p w14:paraId="279DB649" w14:textId="7BB6B70E" w:rsidR="00B5570E" w:rsidRPr="00542241" w:rsidRDefault="00B5570E" w:rsidP="00542241">
      <w:pPr>
        <w:pStyle w:val="Default"/>
        <w:rPr>
          <w:lang w:val="en-GB"/>
        </w:rPr>
      </w:pPr>
      <w:r>
        <w:rPr>
          <w:rStyle w:val="FootnoteReference"/>
        </w:rPr>
        <w:footnoteRef/>
      </w:r>
      <w:r w:rsidRPr="00542241">
        <w:rPr>
          <w:lang w:val="en-GB"/>
        </w:rPr>
        <w:t xml:space="preserve"> </w:t>
      </w:r>
      <w:r w:rsidRPr="00542241">
        <w:rPr>
          <w:rFonts w:ascii="Arial" w:hAnsi="Arial" w:cs="Arial"/>
          <w:sz w:val="20"/>
          <w:szCs w:val="20"/>
          <w:lang w:val="en-GB"/>
        </w:rPr>
        <w:t>Instruction of the Minister of Public Health, Welfare and Sports to the Safety Regions, 10 July 2020, reference no. 1720717-208077-PG</w:t>
      </w:r>
      <w:r>
        <w:rPr>
          <w:rFonts w:ascii="Arial" w:hAnsi="Arial" w:cs="Arial"/>
          <w:sz w:val="20"/>
          <w:szCs w:val="20"/>
          <w:lang w:val="en-GB"/>
        </w:rPr>
        <w:t>. The legal basis of the emergency ordinances is article 7 Public Health Act.</w:t>
      </w:r>
    </w:p>
  </w:footnote>
  <w:footnote w:id="264">
    <w:p w14:paraId="06F637C4" w14:textId="0C4308EC" w:rsidR="00B5570E" w:rsidRPr="00B3018A" w:rsidRDefault="00B5570E" w:rsidP="00B3018A">
      <w:pPr>
        <w:pStyle w:val="fntxt"/>
        <w:rPr>
          <w:szCs w:val="20"/>
        </w:rPr>
      </w:pPr>
      <w:r>
        <w:rPr>
          <w:rStyle w:val="FootnoteReference"/>
        </w:rPr>
        <w:footnoteRef/>
      </w:r>
      <w:r w:rsidRPr="00B3018A">
        <w:rPr>
          <w:lang w:val="nl-NL"/>
        </w:rPr>
        <w:t xml:space="preserve"> </w:t>
      </w:r>
      <w:r w:rsidRPr="00B3018A">
        <w:rPr>
          <w:rFonts w:cs="Arial"/>
          <w:szCs w:val="20"/>
          <w:lang w:val="nl-NL"/>
        </w:rPr>
        <w:t>Oogvereniging, Koninklijke Visio, Bartim</w:t>
      </w:r>
      <w:r>
        <w:rPr>
          <w:rFonts w:cs="Arial"/>
          <w:szCs w:val="20"/>
          <w:lang w:val="nl-NL"/>
        </w:rPr>
        <w:t>é</w:t>
      </w:r>
      <w:r w:rsidRPr="00B3018A">
        <w:rPr>
          <w:rFonts w:cs="Arial"/>
          <w:szCs w:val="20"/>
          <w:lang w:val="nl-NL"/>
        </w:rPr>
        <w:t xml:space="preserve">us </w:t>
      </w:r>
      <w:r>
        <w:rPr>
          <w:rFonts w:cs="Arial"/>
          <w:szCs w:val="20"/>
          <w:lang w:val="nl-NL"/>
        </w:rPr>
        <w:t>and</w:t>
      </w:r>
      <w:r w:rsidRPr="00B3018A">
        <w:rPr>
          <w:rFonts w:cs="Arial"/>
          <w:szCs w:val="20"/>
          <w:lang w:val="nl-NL"/>
        </w:rPr>
        <w:t xml:space="preserve"> Robert Coppes Stichting</w:t>
      </w:r>
      <w:r>
        <w:rPr>
          <w:lang w:val="nl-NL"/>
        </w:rPr>
        <w:t>,</w:t>
      </w:r>
      <w:r w:rsidRPr="00B3018A">
        <w:rPr>
          <w:lang w:val="nl-NL"/>
        </w:rPr>
        <w:t xml:space="preserve"> </w:t>
      </w:r>
      <w:r w:rsidRPr="00B3018A">
        <w:rPr>
          <w:rFonts w:cs="Arial"/>
          <w:i/>
          <w:iCs/>
          <w:szCs w:val="20"/>
          <w:lang w:val="nl-NL"/>
        </w:rPr>
        <w:t xml:space="preserve">Een toegankelijke anderhalvemetersamenleving. </w:t>
      </w:r>
      <w:proofErr w:type="spellStart"/>
      <w:r w:rsidRPr="00B3018A">
        <w:rPr>
          <w:rFonts w:cs="Arial"/>
          <w:i/>
          <w:iCs/>
          <w:szCs w:val="20"/>
        </w:rPr>
        <w:t>Praktische</w:t>
      </w:r>
      <w:proofErr w:type="spellEnd"/>
      <w:r w:rsidRPr="00B3018A">
        <w:rPr>
          <w:rFonts w:cs="Arial"/>
          <w:i/>
          <w:iCs/>
          <w:szCs w:val="20"/>
        </w:rPr>
        <w:t xml:space="preserve"> tips </w:t>
      </w:r>
      <w:proofErr w:type="spellStart"/>
      <w:r w:rsidRPr="00B3018A">
        <w:rPr>
          <w:rFonts w:cs="Arial"/>
          <w:i/>
          <w:iCs/>
          <w:szCs w:val="20"/>
        </w:rPr>
        <w:t>voor</w:t>
      </w:r>
      <w:proofErr w:type="spellEnd"/>
      <w:r w:rsidRPr="00B3018A">
        <w:rPr>
          <w:rFonts w:cs="Arial"/>
          <w:i/>
          <w:iCs/>
          <w:szCs w:val="20"/>
        </w:rPr>
        <w:t xml:space="preserve"> </w:t>
      </w:r>
      <w:proofErr w:type="spellStart"/>
      <w:proofErr w:type="gramStart"/>
      <w:r w:rsidRPr="00B3018A">
        <w:rPr>
          <w:rFonts w:cs="Arial"/>
          <w:i/>
          <w:iCs/>
          <w:szCs w:val="20"/>
        </w:rPr>
        <w:t>uw</w:t>
      </w:r>
      <w:proofErr w:type="spellEnd"/>
      <w:proofErr w:type="gramEnd"/>
      <w:r w:rsidRPr="00B3018A">
        <w:rPr>
          <w:rFonts w:cs="Arial"/>
          <w:i/>
          <w:iCs/>
          <w:szCs w:val="20"/>
        </w:rPr>
        <w:t xml:space="preserve"> </w:t>
      </w:r>
      <w:proofErr w:type="spellStart"/>
      <w:r w:rsidRPr="00B3018A">
        <w:rPr>
          <w:rFonts w:cs="Arial"/>
          <w:i/>
          <w:iCs/>
          <w:szCs w:val="20"/>
        </w:rPr>
        <w:t>winkel</w:t>
      </w:r>
      <w:proofErr w:type="spellEnd"/>
      <w:r w:rsidRPr="00B3018A">
        <w:rPr>
          <w:rFonts w:cs="Arial"/>
          <w:i/>
          <w:iCs/>
          <w:szCs w:val="20"/>
        </w:rPr>
        <w:t xml:space="preserve">, </w:t>
      </w:r>
      <w:proofErr w:type="spellStart"/>
      <w:r w:rsidRPr="00B3018A">
        <w:rPr>
          <w:rFonts w:cs="Arial"/>
          <w:i/>
          <w:iCs/>
          <w:szCs w:val="20"/>
        </w:rPr>
        <w:t>onderneming</w:t>
      </w:r>
      <w:proofErr w:type="spellEnd"/>
      <w:r w:rsidRPr="00B3018A">
        <w:rPr>
          <w:rFonts w:cs="Arial"/>
          <w:i/>
          <w:iCs/>
          <w:szCs w:val="20"/>
        </w:rPr>
        <w:t xml:space="preserve"> of (</w:t>
      </w:r>
      <w:proofErr w:type="spellStart"/>
      <w:r w:rsidRPr="00B3018A">
        <w:rPr>
          <w:rFonts w:cs="Arial"/>
          <w:i/>
          <w:iCs/>
          <w:szCs w:val="20"/>
        </w:rPr>
        <w:t>culturele</w:t>
      </w:r>
      <w:proofErr w:type="spellEnd"/>
      <w:r w:rsidRPr="00B3018A">
        <w:rPr>
          <w:rFonts w:cs="Arial"/>
          <w:i/>
          <w:iCs/>
          <w:szCs w:val="20"/>
        </w:rPr>
        <w:t xml:space="preserve">) </w:t>
      </w:r>
      <w:proofErr w:type="spellStart"/>
      <w:r w:rsidRPr="00B3018A">
        <w:rPr>
          <w:rFonts w:cs="Arial"/>
          <w:i/>
          <w:iCs/>
          <w:szCs w:val="20"/>
        </w:rPr>
        <w:t>instelling</w:t>
      </w:r>
      <w:proofErr w:type="spellEnd"/>
      <w:r w:rsidRPr="00B3018A">
        <w:rPr>
          <w:rFonts w:cs="Arial"/>
          <w:szCs w:val="20"/>
        </w:rPr>
        <w:t xml:space="preserve"> (‘An accessible one</w:t>
      </w:r>
      <w:r>
        <w:rPr>
          <w:rFonts w:cs="Arial"/>
          <w:szCs w:val="20"/>
        </w:rPr>
        <w:t>-</w:t>
      </w:r>
      <w:r w:rsidRPr="00B3018A">
        <w:rPr>
          <w:rFonts w:cs="Arial"/>
          <w:szCs w:val="20"/>
        </w:rPr>
        <w:t>and</w:t>
      </w:r>
      <w:r>
        <w:rPr>
          <w:rFonts w:cs="Arial"/>
          <w:szCs w:val="20"/>
        </w:rPr>
        <w:t>-</w:t>
      </w:r>
      <w:r w:rsidRPr="00B3018A">
        <w:rPr>
          <w:rFonts w:cs="Arial"/>
          <w:szCs w:val="20"/>
        </w:rPr>
        <w:t>a</w:t>
      </w:r>
      <w:r>
        <w:rPr>
          <w:rFonts w:cs="Arial"/>
          <w:szCs w:val="20"/>
        </w:rPr>
        <w:t>-</w:t>
      </w:r>
      <w:r w:rsidRPr="00B3018A">
        <w:rPr>
          <w:rFonts w:cs="Arial"/>
          <w:szCs w:val="20"/>
        </w:rPr>
        <w:t>half</w:t>
      </w:r>
      <w:r>
        <w:rPr>
          <w:rFonts w:cs="Arial"/>
          <w:szCs w:val="20"/>
        </w:rPr>
        <w:t>-</w:t>
      </w:r>
      <w:r w:rsidRPr="00B3018A">
        <w:rPr>
          <w:rFonts w:cs="Arial"/>
          <w:szCs w:val="20"/>
        </w:rPr>
        <w:t>meter society. Practical tips for your shop, company or (cultural) institution</w:t>
      </w:r>
      <w:r>
        <w:rPr>
          <w:rFonts w:cs="Arial"/>
          <w:szCs w:val="20"/>
        </w:rPr>
        <w:t xml:space="preserve">’) </w:t>
      </w:r>
      <w:r w:rsidRPr="00B3018A">
        <w:rPr>
          <w:rFonts w:cs="Arial"/>
          <w:szCs w:val="20"/>
        </w:rPr>
        <w:t>(</w:t>
      </w:r>
      <w:proofErr w:type="spellStart"/>
      <w:r w:rsidRPr="00B3018A">
        <w:rPr>
          <w:rFonts w:cs="Arial"/>
          <w:szCs w:val="20"/>
        </w:rPr>
        <w:t>Oogvereniging</w:t>
      </w:r>
      <w:proofErr w:type="spellEnd"/>
      <w:r w:rsidRPr="00B3018A">
        <w:rPr>
          <w:rFonts w:cs="Arial"/>
          <w:szCs w:val="20"/>
        </w:rPr>
        <w:t xml:space="preserve"> 2020)</w:t>
      </w:r>
      <w:r>
        <w:rPr>
          <w:rFonts w:cs="Arial"/>
          <w:szCs w:val="20"/>
        </w:rPr>
        <w:t xml:space="preserve">. Also see: </w:t>
      </w:r>
      <w:hyperlink r:id="rId91" w:history="1">
        <w:r w:rsidRPr="0012290B">
          <w:rPr>
            <w:rStyle w:val="Hyperlink"/>
            <w:rFonts w:cs="Arial"/>
            <w:szCs w:val="20"/>
          </w:rPr>
          <w:t>https://iederin.nl/maak-de-anderhalvemetersamenleving-inclusief/</w:t>
        </w:r>
      </w:hyperlink>
      <w:r>
        <w:rPr>
          <w:rFonts w:cs="Arial"/>
          <w:szCs w:val="20"/>
        </w:rPr>
        <w:t xml:space="preserve"> Accessed 20 July 2020</w:t>
      </w:r>
    </w:p>
  </w:footnote>
  <w:footnote w:id="265">
    <w:p w14:paraId="7EFA577A" w14:textId="2A706EB6" w:rsidR="00B5570E" w:rsidRPr="00A15CC2" w:rsidRDefault="00B5570E">
      <w:pPr>
        <w:pStyle w:val="FootnoteText"/>
      </w:pPr>
      <w:r>
        <w:rPr>
          <w:rStyle w:val="FootnoteReference"/>
        </w:rPr>
        <w:footnoteRef/>
      </w:r>
      <w:r w:rsidRPr="00A15CC2">
        <w:rPr>
          <w:lang w:val="nl-NL"/>
        </w:rPr>
        <w:t xml:space="preserve"> </w:t>
      </w:r>
      <w:r w:rsidRPr="007639C5">
        <w:rPr>
          <w:szCs w:val="20"/>
          <w:lang w:val="nl-NL"/>
        </w:rPr>
        <w:t xml:space="preserve">S. Schaap and M. Dijkshoorn, </w:t>
      </w:r>
      <w:r w:rsidRPr="007639C5">
        <w:rPr>
          <w:i/>
          <w:iCs/>
          <w:szCs w:val="20"/>
          <w:lang w:val="nl-NL"/>
        </w:rPr>
        <w:t>Reguleren van drukte in de openbare ruimte. Handreiking crowd management bij het verantwoord openstellen.</w:t>
      </w:r>
      <w:r w:rsidRPr="007639C5">
        <w:rPr>
          <w:szCs w:val="20"/>
          <w:lang w:val="nl-NL"/>
        </w:rPr>
        <w:t xml:space="preserve"> (‘Regulating crowds in the public space. Guide for crowd management in responsible re-opening’) (Vereniging Nederlandse Gemeenten 2020), p. 20, p. 41. </w:t>
      </w:r>
      <w:hyperlink r:id="rId92" w:history="1">
        <w:r w:rsidRPr="007639C5">
          <w:rPr>
            <w:rStyle w:val="Hyperlink"/>
            <w:rFonts w:cstheme="minorBidi"/>
            <w:szCs w:val="20"/>
          </w:rPr>
          <w:t>https://vng.nl/sites/default/files/2020-06/vng-handreiking-crowmanagement.pdf</w:t>
        </w:r>
      </w:hyperlink>
      <w:r w:rsidRPr="007639C5">
        <w:rPr>
          <w:szCs w:val="20"/>
        </w:rPr>
        <w:t xml:space="preserve"> Accessed 20 July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55B"/>
    <w:multiLevelType w:val="hybridMultilevel"/>
    <w:tmpl w:val="C97087AC"/>
    <w:lvl w:ilvl="0" w:tplc="4328DD7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3E5C1F"/>
    <w:multiLevelType w:val="hybridMultilevel"/>
    <w:tmpl w:val="0F4052FE"/>
    <w:lvl w:ilvl="0" w:tplc="A420018E">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08664FD3"/>
    <w:multiLevelType w:val="hybridMultilevel"/>
    <w:tmpl w:val="55B0C390"/>
    <w:lvl w:ilvl="0" w:tplc="D9B0ED18">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 w15:restartNumberingAfterBreak="0">
    <w:nsid w:val="0B7E1EF5"/>
    <w:multiLevelType w:val="hybridMultilevel"/>
    <w:tmpl w:val="48A420A8"/>
    <w:lvl w:ilvl="0" w:tplc="AEEC3C94">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4" w15:restartNumberingAfterBreak="0">
    <w:nsid w:val="18A93233"/>
    <w:multiLevelType w:val="multilevel"/>
    <w:tmpl w:val="FE50E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C247DC"/>
    <w:multiLevelType w:val="hybridMultilevel"/>
    <w:tmpl w:val="0846B340"/>
    <w:lvl w:ilvl="0" w:tplc="1FAEB17A">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6" w15:restartNumberingAfterBreak="0">
    <w:nsid w:val="1BE317D2"/>
    <w:multiLevelType w:val="hybridMultilevel"/>
    <w:tmpl w:val="0E10CAD0"/>
    <w:lvl w:ilvl="0" w:tplc="69123364">
      <w:start w:val="1"/>
      <w:numFmt w:val="decimal"/>
      <w:lvlText w:val="%1."/>
      <w:lvlJc w:val="left"/>
      <w:pPr>
        <w:ind w:left="1365" w:hanging="360"/>
      </w:pPr>
      <w:rPr>
        <w:rFonts w:hint="default"/>
      </w:rPr>
    </w:lvl>
    <w:lvl w:ilvl="1" w:tplc="04130019" w:tentative="1">
      <w:start w:val="1"/>
      <w:numFmt w:val="lowerLetter"/>
      <w:lvlText w:val="%2."/>
      <w:lvlJc w:val="left"/>
      <w:pPr>
        <w:ind w:left="2085" w:hanging="360"/>
      </w:pPr>
    </w:lvl>
    <w:lvl w:ilvl="2" w:tplc="0413001B" w:tentative="1">
      <w:start w:val="1"/>
      <w:numFmt w:val="lowerRoman"/>
      <w:lvlText w:val="%3."/>
      <w:lvlJc w:val="right"/>
      <w:pPr>
        <w:ind w:left="2805" w:hanging="180"/>
      </w:pPr>
    </w:lvl>
    <w:lvl w:ilvl="3" w:tplc="0413000F" w:tentative="1">
      <w:start w:val="1"/>
      <w:numFmt w:val="decimal"/>
      <w:lvlText w:val="%4."/>
      <w:lvlJc w:val="left"/>
      <w:pPr>
        <w:ind w:left="3525" w:hanging="360"/>
      </w:pPr>
    </w:lvl>
    <w:lvl w:ilvl="4" w:tplc="04130019" w:tentative="1">
      <w:start w:val="1"/>
      <w:numFmt w:val="lowerLetter"/>
      <w:lvlText w:val="%5."/>
      <w:lvlJc w:val="left"/>
      <w:pPr>
        <w:ind w:left="4245" w:hanging="360"/>
      </w:pPr>
    </w:lvl>
    <w:lvl w:ilvl="5" w:tplc="0413001B" w:tentative="1">
      <w:start w:val="1"/>
      <w:numFmt w:val="lowerRoman"/>
      <w:lvlText w:val="%6."/>
      <w:lvlJc w:val="right"/>
      <w:pPr>
        <w:ind w:left="4965" w:hanging="180"/>
      </w:pPr>
    </w:lvl>
    <w:lvl w:ilvl="6" w:tplc="0413000F" w:tentative="1">
      <w:start w:val="1"/>
      <w:numFmt w:val="decimal"/>
      <w:lvlText w:val="%7."/>
      <w:lvlJc w:val="left"/>
      <w:pPr>
        <w:ind w:left="5685" w:hanging="360"/>
      </w:pPr>
    </w:lvl>
    <w:lvl w:ilvl="7" w:tplc="04130019" w:tentative="1">
      <w:start w:val="1"/>
      <w:numFmt w:val="lowerLetter"/>
      <w:lvlText w:val="%8."/>
      <w:lvlJc w:val="left"/>
      <w:pPr>
        <w:ind w:left="6405" w:hanging="360"/>
      </w:pPr>
    </w:lvl>
    <w:lvl w:ilvl="8" w:tplc="0413001B" w:tentative="1">
      <w:start w:val="1"/>
      <w:numFmt w:val="lowerRoman"/>
      <w:lvlText w:val="%9."/>
      <w:lvlJc w:val="right"/>
      <w:pPr>
        <w:ind w:left="7125" w:hanging="180"/>
      </w:pPr>
    </w:lvl>
  </w:abstractNum>
  <w:abstractNum w:abstractNumId="7" w15:restartNumberingAfterBreak="0">
    <w:nsid w:val="220138E6"/>
    <w:multiLevelType w:val="multilevel"/>
    <w:tmpl w:val="02829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7107EA"/>
    <w:multiLevelType w:val="hybridMultilevel"/>
    <w:tmpl w:val="A2EE16A6"/>
    <w:lvl w:ilvl="0" w:tplc="CD18A000">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9" w15:restartNumberingAfterBreak="0">
    <w:nsid w:val="2D2C2C07"/>
    <w:multiLevelType w:val="hybridMultilevel"/>
    <w:tmpl w:val="80B642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5997905"/>
    <w:multiLevelType w:val="hybridMultilevel"/>
    <w:tmpl w:val="21CCF62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C12437B"/>
    <w:multiLevelType w:val="hybridMultilevel"/>
    <w:tmpl w:val="5170A64A"/>
    <w:lvl w:ilvl="0" w:tplc="9BE66474">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2" w15:restartNumberingAfterBreak="0">
    <w:nsid w:val="455A543A"/>
    <w:multiLevelType w:val="hybridMultilevel"/>
    <w:tmpl w:val="AB72D4F8"/>
    <w:lvl w:ilvl="0" w:tplc="5B309230">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3" w15:restartNumberingAfterBreak="0">
    <w:nsid w:val="4A3D3EA9"/>
    <w:multiLevelType w:val="hybridMultilevel"/>
    <w:tmpl w:val="9348CF28"/>
    <w:lvl w:ilvl="0" w:tplc="7598CED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4" w15:restartNumberingAfterBreak="0">
    <w:nsid w:val="4B3D3935"/>
    <w:multiLevelType w:val="hybridMultilevel"/>
    <w:tmpl w:val="52D0885E"/>
    <w:lvl w:ilvl="0" w:tplc="99829608">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4C4F2A4F"/>
    <w:multiLevelType w:val="hybridMultilevel"/>
    <w:tmpl w:val="B4C0AE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D7F4519"/>
    <w:multiLevelType w:val="hybridMultilevel"/>
    <w:tmpl w:val="460CC636"/>
    <w:lvl w:ilvl="0" w:tplc="4AC61342">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7" w15:restartNumberingAfterBreak="0">
    <w:nsid w:val="4E4E53C2"/>
    <w:multiLevelType w:val="hybridMultilevel"/>
    <w:tmpl w:val="700884B4"/>
    <w:lvl w:ilvl="0" w:tplc="E188DBB0">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EB414CA"/>
    <w:multiLevelType w:val="multilevel"/>
    <w:tmpl w:val="60F64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4362B4"/>
    <w:multiLevelType w:val="hybridMultilevel"/>
    <w:tmpl w:val="B5DC2946"/>
    <w:lvl w:ilvl="0" w:tplc="D2B4E2E2">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20" w15:restartNumberingAfterBreak="0">
    <w:nsid w:val="5557415D"/>
    <w:multiLevelType w:val="hybridMultilevel"/>
    <w:tmpl w:val="4CC200AE"/>
    <w:lvl w:ilvl="0" w:tplc="F7C4E5A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67E58C2"/>
    <w:multiLevelType w:val="hybridMultilevel"/>
    <w:tmpl w:val="B8F04AD8"/>
    <w:lvl w:ilvl="0" w:tplc="59822D42">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6F70CED"/>
    <w:multiLevelType w:val="hybridMultilevel"/>
    <w:tmpl w:val="7F8A44C6"/>
    <w:lvl w:ilvl="0" w:tplc="00840F2C">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23" w15:restartNumberingAfterBreak="0">
    <w:nsid w:val="5C851931"/>
    <w:multiLevelType w:val="hybridMultilevel"/>
    <w:tmpl w:val="EBD4AFE2"/>
    <w:lvl w:ilvl="0" w:tplc="6FF21F9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5F477C12"/>
    <w:multiLevelType w:val="multilevel"/>
    <w:tmpl w:val="2FF2A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1C7A6B"/>
    <w:multiLevelType w:val="hybridMultilevel"/>
    <w:tmpl w:val="086A25EA"/>
    <w:lvl w:ilvl="0" w:tplc="5282DEE8">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73950A9"/>
    <w:multiLevelType w:val="hybridMultilevel"/>
    <w:tmpl w:val="3300D7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7D3620E"/>
    <w:multiLevelType w:val="hybridMultilevel"/>
    <w:tmpl w:val="B652F1C0"/>
    <w:lvl w:ilvl="0" w:tplc="66B80ED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28" w15:restartNumberingAfterBreak="0">
    <w:nsid w:val="72BE3A5F"/>
    <w:multiLevelType w:val="multilevel"/>
    <w:tmpl w:val="0C22D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2734D7"/>
    <w:multiLevelType w:val="hybridMultilevel"/>
    <w:tmpl w:val="732CD9C0"/>
    <w:lvl w:ilvl="0" w:tplc="D2BADFC6">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30" w15:restartNumberingAfterBreak="0">
    <w:nsid w:val="79615F81"/>
    <w:multiLevelType w:val="hybridMultilevel"/>
    <w:tmpl w:val="677A1D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AA14D1D"/>
    <w:multiLevelType w:val="hybridMultilevel"/>
    <w:tmpl w:val="66289744"/>
    <w:lvl w:ilvl="0" w:tplc="F51CEECA">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32" w15:restartNumberingAfterBreak="0">
    <w:nsid w:val="7C7D1BAD"/>
    <w:multiLevelType w:val="hybridMultilevel"/>
    <w:tmpl w:val="CC465066"/>
    <w:lvl w:ilvl="0" w:tplc="A6B280C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3"/>
  </w:num>
  <w:num w:numId="2">
    <w:abstractNumId w:val="7"/>
  </w:num>
  <w:num w:numId="3">
    <w:abstractNumId w:val="8"/>
  </w:num>
  <w:num w:numId="4">
    <w:abstractNumId w:val="5"/>
  </w:num>
  <w:num w:numId="5">
    <w:abstractNumId w:val="15"/>
  </w:num>
  <w:num w:numId="6">
    <w:abstractNumId w:val="0"/>
  </w:num>
  <w:num w:numId="7">
    <w:abstractNumId w:val="2"/>
  </w:num>
  <w:num w:numId="8">
    <w:abstractNumId w:val="11"/>
  </w:num>
  <w:num w:numId="9">
    <w:abstractNumId w:val="22"/>
  </w:num>
  <w:num w:numId="10">
    <w:abstractNumId w:val="4"/>
  </w:num>
  <w:num w:numId="11">
    <w:abstractNumId w:val="24"/>
  </w:num>
  <w:num w:numId="12">
    <w:abstractNumId w:val="27"/>
  </w:num>
  <w:num w:numId="13">
    <w:abstractNumId w:val="28"/>
  </w:num>
  <w:num w:numId="14">
    <w:abstractNumId w:val="6"/>
  </w:num>
  <w:num w:numId="15">
    <w:abstractNumId w:val="1"/>
  </w:num>
  <w:num w:numId="16">
    <w:abstractNumId w:val="29"/>
  </w:num>
  <w:num w:numId="17">
    <w:abstractNumId w:val="31"/>
  </w:num>
  <w:num w:numId="18">
    <w:abstractNumId w:val="13"/>
  </w:num>
  <w:num w:numId="19">
    <w:abstractNumId w:val="16"/>
  </w:num>
  <w:num w:numId="20">
    <w:abstractNumId w:val="19"/>
  </w:num>
  <w:num w:numId="21">
    <w:abstractNumId w:val="21"/>
  </w:num>
  <w:num w:numId="22">
    <w:abstractNumId w:val="20"/>
  </w:num>
  <w:num w:numId="23">
    <w:abstractNumId w:val="17"/>
  </w:num>
  <w:num w:numId="24">
    <w:abstractNumId w:val="12"/>
  </w:num>
  <w:num w:numId="25">
    <w:abstractNumId w:val="25"/>
  </w:num>
  <w:num w:numId="26">
    <w:abstractNumId w:val="18"/>
  </w:num>
  <w:num w:numId="27">
    <w:abstractNumId w:val="32"/>
  </w:num>
  <w:num w:numId="28">
    <w:abstractNumId w:val="14"/>
  </w:num>
  <w:num w:numId="29">
    <w:abstractNumId w:val="3"/>
  </w:num>
  <w:num w:numId="30">
    <w:abstractNumId w:val="10"/>
  </w:num>
  <w:num w:numId="31">
    <w:abstractNumId w:val="30"/>
  </w:num>
  <w:num w:numId="32">
    <w:abstractNumId w:val="26"/>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mailMerge>
    <w:mainDocumentType w:val="formLetters"/>
    <w:dataType w:val="textFile"/>
    <w:activeRecord w:val="-1"/>
  </w:mailMerge>
  <w:defaultTabStop w:val="720"/>
  <w:hyphenationZone w:val="425"/>
  <w:drawingGridHorizontalSpacing w:val="120"/>
  <w:drawingGridVerticalSpacing w:val="163"/>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Y1MzQ1MjU2sjCxNDFX0lEKTi0uzszPAykwqgUAk/lGlSwAAAA="/>
  </w:docVars>
  <w:rsids>
    <w:rsidRoot w:val="005F0C1F"/>
    <w:rsid w:val="0000241A"/>
    <w:rsid w:val="000044C9"/>
    <w:rsid w:val="00004538"/>
    <w:rsid w:val="00004BE7"/>
    <w:rsid w:val="00006BD9"/>
    <w:rsid w:val="00013060"/>
    <w:rsid w:val="00013888"/>
    <w:rsid w:val="00015155"/>
    <w:rsid w:val="00015489"/>
    <w:rsid w:val="00015F36"/>
    <w:rsid w:val="000211A4"/>
    <w:rsid w:val="000223E6"/>
    <w:rsid w:val="00022DAF"/>
    <w:rsid w:val="00030D5B"/>
    <w:rsid w:val="00030F62"/>
    <w:rsid w:val="00031854"/>
    <w:rsid w:val="000356E9"/>
    <w:rsid w:val="00036CE1"/>
    <w:rsid w:val="00036F7D"/>
    <w:rsid w:val="0003704F"/>
    <w:rsid w:val="00042568"/>
    <w:rsid w:val="00043F52"/>
    <w:rsid w:val="0004688F"/>
    <w:rsid w:val="00054219"/>
    <w:rsid w:val="000545EE"/>
    <w:rsid w:val="00054DF1"/>
    <w:rsid w:val="00061358"/>
    <w:rsid w:val="00061D4E"/>
    <w:rsid w:val="000663A5"/>
    <w:rsid w:val="00070955"/>
    <w:rsid w:val="00072A12"/>
    <w:rsid w:val="00072F9C"/>
    <w:rsid w:val="00073051"/>
    <w:rsid w:val="0007360B"/>
    <w:rsid w:val="000747B3"/>
    <w:rsid w:val="00077245"/>
    <w:rsid w:val="00081954"/>
    <w:rsid w:val="0008551C"/>
    <w:rsid w:val="000858CA"/>
    <w:rsid w:val="00086888"/>
    <w:rsid w:val="00094A1C"/>
    <w:rsid w:val="000A03E9"/>
    <w:rsid w:val="000A0817"/>
    <w:rsid w:val="000A195E"/>
    <w:rsid w:val="000A1C75"/>
    <w:rsid w:val="000A4C29"/>
    <w:rsid w:val="000A69AE"/>
    <w:rsid w:val="000A6AC4"/>
    <w:rsid w:val="000A6F52"/>
    <w:rsid w:val="000B246C"/>
    <w:rsid w:val="000B2761"/>
    <w:rsid w:val="000C3AE8"/>
    <w:rsid w:val="000C622C"/>
    <w:rsid w:val="000D4311"/>
    <w:rsid w:val="000D75A8"/>
    <w:rsid w:val="000D76DF"/>
    <w:rsid w:val="000E007A"/>
    <w:rsid w:val="000E19E7"/>
    <w:rsid w:val="000E2BE0"/>
    <w:rsid w:val="000E2C18"/>
    <w:rsid w:val="000E47BC"/>
    <w:rsid w:val="000E4C00"/>
    <w:rsid w:val="000E662A"/>
    <w:rsid w:val="000F0412"/>
    <w:rsid w:val="000F06D8"/>
    <w:rsid w:val="000F1EF5"/>
    <w:rsid w:val="000F71FF"/>
    <w:rsid w:val="00101825"/>
    <w:rsid w:val="00102596"/>
    <w:rsid w:val="00103192"/>
    <w:rsid w:val="001052EA"/>
    <w:rsid w:val="00106AA7"/>
    <w:rsid w:val="00106AFE"/>
    <w:rsid w:val="00107608"/>
    <w:rsid w:val="001109F6"/>
    <w:rsid w:val="00114345"/>
    <w:rsid w:val="00116779"/>
    <w:rsid w:val="001211BA"/>
    <w:rsid w:val="00124841"/>
    <w:rsid w:val="00133E64"/>
    <w:rsid w:val="00134513"/>
    <w:rsid w:val="00134E86"/>
    <w:rsid w:val="00142E42"/>
    <w:rsid w:val="00143335"/>
    <w:rsid w:val="00143EDF"/>
    <w:rsid w:val="00145525"/>
    <w:rsid w:val="00152219"/>
    <w:rsid w:val="00153CD5"/>
    <w:rsid w:val="00153F43"/>
    <w:rsid w:val="00154594"/>
    <w:rsid w:val="00162B49"/>
    <w:rsid w:val="00162B51"/>
    <w:rsid w:val="001658C3"/>
    <w:rsid w:val="00165F7E"/>
    <w:rsid w:val="0017101E"/>
    <w:rsid w:val="00172A18"/>
    <w:rsid w:val="00174DDC"/>
    <w:rsid w:val="001773EC"/>
    <w:rsid w:val="00183CA0"/>
    <w:rsid w:val="001840F2"/>
    <w:rsid w:val="001853BF"/>
    <w:rsid w:val="00186C2A"/>
    <w:rsid w:val="00187598"/>
    <w:rsid w:val="001914AF"/>
    <w:rsid w:val="00192153"/>
    <w:rsid w:val="00192E65"/>
    <w:rsid w:val="00193288"/>
    <w:rsid w:val="00194047"/>
    <w:rsid w:val="001A4782"/>
    <w:rsid w:val="001A4E16"/>
    <w:rsid w:val="001A52A2"/>
    <w:rsid w:val="001A594C"/>
    <w:rsid w:val="001A6653"/>
    <w:rsid w:val="001A6F3F"/>
    <w:rsid w:val="001A7503"/>
    <w:rsid w:val="001B102E"/>
    <w:rsid w:val="001B1B1F"/>
    <w:rsid w:val="001B46EB"/>
    <w:rsid w:val="001B4825"/>
    <w:rsid w:val="001B56A1"/>
    <w:rsid w:val="001B59BD"/>
    <w:rsid w:val="001B62CE"/>
    <w:rsid w:val="001B69DB"/>
    <w:rsid w:val="001C24CF"/>
    <w:rsid w:val="001C56C4"/>
    <w:rsid w:val="001C5A08"/>
    <w:rsid w:val="001C5C60"/>
    <w:rsid w:val="001C7677"/>
    <w:rsid w:val="001C78CB"/>
    <w:rsid w:val="001C7F15"/>
    <w:rsid w:val="001D29C3"/>
    <w:rsid w:val="001D44C4"/>
    <w:rsid w:val="001D5AAF"/>
    <w:rsid w:val="001D7871"/>
    <w:rsid w:val="001E0671"/>
    <w:rsid w:val="001E07BE"/>
    <w:rsid w:val="001E0DB2"/>
    <w:rsid w:val="001E22F3"/>
    <w:rsid w:val="001E46AC"/>
    <w:rsid w:val="001E4A67"/>
    <w:rsid w:val="001E64B7"/>
    <w:rsid w:val="001F023C"/>
    <w:rsid w:val="001F1AE2"/>
    <w:rsid w:val="001F207E"/>
    <w:rsid w:val="001F39B9"/>
    <w:rsid w:val="00200E0D"/>
    <w:rsid w:val="00204A1E"/>
    <w:rsid w:val="00206DAF"/>
    <w:rsid w:val="00210D86"/>
    <w:rsid w:val="00210F4F"/>
    <w:rsid w:val="00210FF9"/>
    <w:rsid w:val="002128AB"/>
    <w:rsid w:val="00213C3B"/>
    <w:rsid w:val="00221F31"/>
    <w:rsid w:val="00225121"/>
    <w:rsid w:val="002253F3"/>
    <w:rsid w:val="00227A06"/>
    <w:rsid w:val="00227B5B"/>
    <w:rsid w:val="002311CC"/>
    <w:rsid w:val="00232899"/>
    <w:rsid w:val="00233C68"/>
    <w:rsid w:val="00236174"/>
    <w:rsid w:val="00237704"/>
    <w:rsid w:val="00240F75"/>
    <w:rsid w:val="00244D3F"/>
    <w:rsid w:val="002463E9"/>
    <w:rsid w:val="00246B15"/>
    <w:rsid w:val="00247D5F"/>
    <w:rsid w:val="00250C32"/>
    <w:rsid w:val="00251830"/>
    <w:rsid w:val="002523C3"/>
    <w:rsid w:val="0025323F"/>
    <w:rsid w:val="00253535"/>
    <w:rsid w:val="00254C81"/>
    <w:rsid w:val="002632ED"/>
    <w:rsid w:val="00264D2D"/>
    <w:rsid w:val="002674E6"/>
    <w:rsid w:val="00272387"/>
    <w:rsid w:val="0027436E"/>
    <w:rsid w:val="002755D8"/>
    <w:rsid w:val="00275F3F"/>
    <w:rsid w:val="00276067"/>
    <w:rsid w:val="002778FB"/>
    <w:rsid w:val="0028073D"/>
    <w:rsid w:val="00281EDC"/>
    <w:rsid w:val="00285241"/>
    <w:rsid w:val="002874E3"/>
    <w:rsid w:val="00287DA7"/>
    <w:rsid w:val="002911D5"/>
    <w:rsid w:val="00293A8D"/>
    <w:rsid w:val="00293BB6"/>
    <w:rsid w:val="002A5DB3"/>
    <w:rsid w:val="002B0B9C"/>
    <w:rsid w:val="002B1C53"/>
    <w:rsid w:val="002B4256"/>
    <w:rsid w:val="002B4AD7"/>
    <w:rsid w:val="002C2A5A"/>
    <w:rsid w:val="002C2DBC"/>
    <w:rsid w:val="002C36B9"/>
    <w:rsid w:val="002C4AB6"/>
    <w:rsid w:val="002D0379"/>
    <w:rsid w:val="002D0BD7"/>
    <w:rsid w:val="002D10DB"/>
    <w:rsid w:val="002D1F1E"/>
    <w:rsid w:val="002E1EFB"/>
    <w:rsid w:val="002E443A"/>
    <w:rsid w:val="002E620B"/>
    <w:rsid w:val="002F120F"/>
    <w:rsid w:val="002F2013"/>
    <w:rsid w:val="002F3BD6"/>
    <w:rsid w:val="00300557"/>
    <w:rsid w:val="003024AB"/>
    <w:rsid w:val="00302B99"/>
    <w:rsid w:val="00302D30"/>
    <w:rsid w:val="0030308C"/>
    <w:rsid w:val="00305C3E"/>
    <w:rsid w:val="00310F1C"/>
    <w:rsid w:val="0031283F"/>
    <w:rsid w:val="003141C5"/>
    <w:rsid w:val="0031489B"/>
    <w:rsid w:val="00321374"/>
    <w:rsid w:val="00322C96"/>
    <w:rsid w:val="00324923"/>
    <w:rsid w:val="00326BDC"/>
    <w:rsid w:val="0032722B"/>
    <w:rsid w:val="00335E77"/>
    <w:rsid w:val="00336D93"/>
    <w:rsid w:val="00337106"/>
    <w:rsid w:val="00344C1B"/>
    <w:rsid w:val="00347D40"/>
    <w:rsid w:val="003500BA"/>
    <w:rsid w:val="003550B9"/>
    <w:rsid w:val="003606CA"/>
    <w:rsid w:val="00360AF8"/>
    <w:rsid w:val="00361219"/>
    <w:rsid w:val="00364E36"/>
    <w:rsid w:val="00367A12"/>
    <w:rsid w:val="00371981"/>
    <w:rsid w:val="00373D7B"/>
    <w:rsid w:val="00376B2D"/>
    <w:rsid w:val="00383301"/>
    <w:rsid w:val="00387E7D"/>
    <w:rsid w:val="00390220"/>
    <w:rsid w:val="003923EC"/>
    <w:rsid w:val="00393759"/>
    <w:rsid w:val="00394387"/>
    <w:rsid w:val="0039648E"/>
    <w:rsid w:val="00397D6B"/>
    <w:rsid w:val="003A1B56"/>
    <w:rsid w:val="003A2268"/>
    <w:rsid w:val="003A4541"/>
    <w:rsid w:val="003A558B"/>
    <w:rsid w:val="003A70E0"/>
    <w:rsid w:val="003B3981"/>
    <w:rsid w:val="003B4C01"/>
    <w:rsid w:val="003B5CC8"/>
    <w:rsid w:val="003B7A4B"/>
    <w:rsid w:val="003B7B78"/>
    <w:rsid w:val="003C042B"/>
    <w:rsid w:val="003C23C7"/>
    <w:rsid w:val="003C3F61"/>
    <w:rsid w:val="003D2925"/>
    <w:rsid w:val="003D5D92"/>
    <w:rsid w:val="003D6099"/>
    <w:rsid w:val="003E0037"/>
    <w:rsid w:val="003E7468"/>
    <w:rsid w:val="003F4356"/>
    <w:rsid w:val="003F509C"/>
    <w:rsid w:val="003F6678"/>
    <w:rsid w:val="003F6AAC"/>
    <w:rsid w:val="00402275"/>
    <w:rsid w:val="00402DFB"/>
    <w:rsid w:val="0040617D"/>
    <w:rsid w:val="00414081"/>
    <w:rsid w:val="00414B6E"/>
    <w:rsid w:val="00415F7C"/>
    <w:rsid w:val="0042147F"/>
    <w:rsid w:val="00422BBD"/>
    <w:rsid w:val="00425E26"/>
    <w:rsid w:val="00427D00"/>
    <w:rsid w:val="00430B31"/>
    <w:rsid w:val="00431F47"/>
    <w:rsid w:val="004344C4"/>
    <w:rsid w:val="00434F75"/>
    <w:rsid w:val="004353FF"/>
    <w:rsid w:val="00442E31"/>
    <w:rsid w:val="0044779B"/>
    <w:rsid w:val="00450ADC"/>
    <w:rsid w:val="004647A2"/>
    <w:rsid w:val="004712B8"/>
    <w:rsid w:val="0047342F"/>
    <w:rsid w:val="004735B4"/>
    <w:rsid w:val="0047604F"/>
    <w:rsid w:val="00484259"/>
    <w:rsid w:val="00485FC7"/>
    <w:rsid w:val="00486A98"/>
    <w:rsid w:val="00486C8D"/>
    <w:rsid w:val="004912CE"/>
    <w:rsid w:val="00496E0A"/>
    <w:rsid w:val="004975BD"/>
    <w:rsid w:val="004A02A4"/>
    <w:rsid w:val="004A0617"/>
    <w:rsid w:val="004A0913"/>
    <w:rsid w:val="004A0C1D"/>
    <w:rsid w:val="004A26B5"/>
    <w:rsid w:val="004A27E8"/>
    <w:rsid w:val="004A41B9"/>
    <w:rsid w:val="004A7CC9"/>
    <w:rsid w:val="004B308A"/>
    <w:rsid w:val="004B3A78"/>
    <w:rsid w:val="004C0A85"/>
    <w:rsid w:val="004C2F73"/>
    <w:rsid w:val="004C6736"/>
    <w:rsid w:val="004D2274"/>
    <w:rsid w:val="004D249C"/>
    <w:rsid w:val="004D358E"/>
    <w:rsid w:val="004D3FB6"/>
    <w:rsid w:val="004D63C4"/>
    <w:rsid w:val="004E7D3F"/>
    <w:rsid w:val="004F5706"/>
    <w:rsid w:val="004F6513"/>
    <w:rsid w:val="0050165C"/>
    <w:rsid w:val="0050336D"/>
    <w:rsid w:val="005058FC"/>
    <w:rsid w:val="0050747A"/>
    <w:rsid w:val="00512433"/>
    <w:rsid w:val="0051495B"/>
    <w:rsid w:val="00515803"/>
    <w:rsid w:val="005174E3"/>
    <w:rsid w:val="0051785D"/>
    <w:rsid w:val="0052105F"/>
    <w:rsid w:val="005259BB"/>
    <w:rsid w:val="005279B2"/>
    <w:rsid w:val="00530F1E"/>
    <w:rsid w:val="005311A0"/>
    <w:rsid w:val="00531377"/>
    <w:rsid w:val="00535E65"/>
    <w:rsid w:val="00537B73"/>
    <w:rsid w:val="00542241"/>
    <w:rsid w:val="00543933"/>
    <w:rsid w:val="00545E9F"/>
    <w:rsid w:val="00550813"/>
    <w:rsid w:val="00557D74"/>
    <w:rsid w:val="005633C1"/>
    <w:rsid w:val="0057501C"/>
    <w:rsid w:val="00577035"/>
    <w:rsid w:val="005821D8"/>
    <w:rsid w:val="0058296F"/>
    <w:rsid w:val="00584BC3"/>
    <w:rsid w:val="00586DE3"/>
    <w:rsid w:val="0059064C"/>
    <w:rsid w:val="00592746"/>
    <w:rsid w:val="005964C1"/>
    <w:rsid w:val="005A1EA6"/>
    <w:rsid w:val="005A2704"/>
    <w:rsid w:val="005A5C9C"/>
    <w:rsid w:val="005A61B3"/>
    <w:rsid w:val="005B0048"/>
    <w:rsid w:val="005B09E5"/>
    <w:rsid w:val="005B1107"/>
    <w:rsid w:val="005B1453"/>
    <w:rsid w:val="005B760B"/>
    <w:rsid w:val="005B7DFC"/>
    <w:rsid w:val="005C1F2A"/>
    <w:rsid w:val="005C34EB"/>
    <w:rsid w:val="005C5330"/>
    <w:rsid w:val="005C586C"/>
    <w:rsid w:val="005C66C2"/>
    <w:rsid w:val="005C6F37"/>
    <w:rsid w:val="005D03B3"/>
    <w:rsid w:val="005D4042"/>
    <w:rsid w:val="005D54EA"/>
    <w:rsid w:val="005D5530"/>
    <w:rsid w:val="005D658C"/>
    <w:rsid w:val="005D6790"/>
    <w:rsid w:val="005D7CCC"/>
    <w:rsid w:val="005E1984"/>
    <w:rsid w:val="005E1E4A"/>
    <w:rsid w:val="005E5DFD"/>
    <w:rsid w:val="005F05E2"/>
    <w:rsid w:val="005F0C1F"/>
    <w:rsid w:val="005F2F53"/>
    <w:rsid w:val="005F36C0"/>
    <w:rsid w:val="005F3F41"/>
    <w:rsid w:val="005F4978"/>
    <w:rsid w:val="005F49E7"/>
    <w:rsid w:val="005F4E14"/>
    <w:rsid w:val="005F4F85"/>
    <w:rsid w:val="005F511B"/>
    <w:rsid w:val="005F71B4"/>
    <w:rsid w:val="005F74E8"/>
    <w:rsid w:val="0061212D"/>
    <w:rsid w:val="006126FA"/>
    <w:rsid w:val="00614764"/>
    <w:rsid w:val="0061748F"/>
    <w:rsid w:val="006202C3"/>
    <w:rsid w:val="006218C6"/>
    <w:rsid w:val="00625A52"/>
    <w:rsid w:val="00627EE9"/>
    <w:rsid w:val="006307CD"/>
    <w:rsid w:val="00636371"/>
    <w:rsid w:val="00636CA3"/>
    <w:rsid w:val="006375BC"/>
    <w:rsid w:val="00642698"/>
    <w:rsid w:val="00642914"/>
    <w:rsid w:val="006463D5"/>
    <w:rsid w:val="00650FFC"/>
    <w:rsid w:val="0065184B"/>
    <w:rsid w:val="00654CA5"/>
    <w:rsid w:val="00657D6A"/>
    <w:rsid w:val="00660E6D"/>
    <w:rsid w:val="00661D49"/>
    <w:rsid w:val="00666A81"/>
    <w:rsid w:val="00667167"/>
    <w:rsid w:val="006676ED"/>
    <w:rsid w:val="006717EF"/>
    <w:rsid w:val="00672052"/>
    <w:rsid w:val="00672C8E"/>
    <w:rsid w:val="0067309F"/>
    <w:rsid w:val="006737D5"/>
    <w:rsid w:val="006744C5"/>
    <w:rsid w:val="006749A6"/>
    <w:rsid w:val="006759F4"/>
    <w:rsid w:val="006773D1"/>
    <w:rsid w:val="00677D32"/>
    <w:rsid w:val="00682F41"/>
    <w:rsid w:val="00685C94"/>
    <w:rsid w:val="00690318"/>
    <w:rsid w:val="006904D5"/>
    <w:rsid w:val="00690CF7"/>
    <w:rsid w:val="0069102A"/>
    <w:rsid w:val="00693F46"/>
    <w:rsid w:val="00694BCE"/>
    <w:rsid w:val="006969F5"/>
    <w:rsid w:val="00696E51"/>
    <w:rsid w:val="006A01E2"/>
    <w:rsid w:val="006A3FA3"/>
    <w:rsid w:val="006A5BFD"/>
    <w:rsid w:val="006A6BBC"/>
    <w:rsid w:val="006B0F2D"/>
    <w:rsid w:val="006B4474"/>
    <w:rsid w:val="006B4B14"/>
    <w:rsid w:val="006C13A9"/>
    <w:rsid w:val="006C64C8"/>
    <w:rsid w:val="006D269E"/>
    <w:rsid w:val="006D4055"/>
    <w:rsid w:val="006D4FB7"/>
    <w:rsid w:val="006E2363"/>
    <w:rsid w:val="006F3606"/>
    <w:rsid w:val="006F3AD8"/>
    <w:rsid w:val="006F4927"/>
    <w:rsid w:val="006F7E8B"/>
    <w:rsid w:val="007011AF"/>
    <w:rsid w:val="00701A6E"/>
    <w:rsid w:val="00702BF6"/>
    <w:rsid w:val="00707D55"/>
    <w:rsid w:val="0071507B"/>
    <w:rsid w:val="007155C8"/>
    <w:rsid w:val="007170E0"/>
    <w:rsid w:val="0072181A"/>
    <w:rsid w:val="00721B62"/>
    <w:rsid w:val="00722BAC"/>
    <w:rsid w:val="007236B2"/>
    <w:rsid w:val="00725787"/>
    <w:rsid w:val="00726F46"/>
    <w:rsid w:val="00726FD3"/>
    <w:rsid w:val="007337B7"/>
    <w:rsid w:val="00733C52"/>
    <w:rsid w:val="0073516A"/>
    <w:rsid w:val="00740231"/>
    <w:rsid w:val="00741329"/>
    <w:rsid w:val="007423EF"/>
    <w:rsid w:val="007424CE"/>
    <w:rsid w:val="00743301"/>
    <w:rsid w:val="00750FA1"/>
    <w:rsid w:val="0075240F"/>
    <w:rsid w:val="0075730B"/>
    <w:rsid w:val="00760923"/>
    <w:rsid w:val="007639C5"/>
    <w:rsid w:val="00770CEF"/>
    <w:rsid w:val="007768FD"/>
    <w:rsid w:val="00776D7B"/>
    <w:rsid w:val="00777CCC"/>
    <w:rsid w:val="00781CD1"/>
    <w:rsid w:val="00785E07"/>
    <w:rsid w:val="00787AC3"/>
    <w:rsid w:val="007913E0"/>
    <w:rsid w:val="00794462"/>
    <w:rsid w:val="00796333"/>
    <w:rsid w:val="00796746"/>
    <w:rsid w:val="007A09C6"/>
    <w:rsid w:val="007A0B5F"/>
    <w:rsid w:val="007A42F7"/>
    <w:rsid w:val="007A6C7F"/>
    <w:rsid w:val="007B02EC"/>
    <w:rsid w:val="007B2EE1"/>
    <w:rsid w:val="007B301A"/>
    <w:rsid w:val="007B52F7"/>
    <w:rsid w:val="007C208D"/>
    <w:rsid w:val="007C2C6B"/>
    <w:rsid w:val="007C30F6"/>
    <w:rsid w:val="007C33CF"/>
    <w:rsid w:val="007C4E8A"/>
    <w:rsid w:val="007C53D8"/>
    <w:rsid w:val="007C7805"/>
    <w:rsid w:val="007C7A45"/>
    <w:rsid w:val="007C7DE6"/>
    <w:rsid w:val="007D2BF4"/>
    <w:rsid w:val="007D3A4F"/>
    <w:rsid w:val="007D4FAD"/>
    <w:rsid w:val="007D4FAF"/>
    <w:rsid w:val="007D5BED"/>
    <w:rsid w:val="007D7A3B"/>
    <w:rsid w:val="007E2B6F"/>
    <w:rsid w:val="007E3D24"/>
    <w:rsid w:val="007E50A3"/>
    <w:rsid w:val="007E77E1"/>
    <w:rsid w:val="007E7D9B"/>
    <w:rsid w:val="007F3088"/>
    <w:rsid w:val="007F3806"/>
    <w:rsid w:val="007F7600"/>
    <w:rsid w:val="007F7623"/>
    <w:rsid w:val="00802750"/>
    <w:rsid w:val="008027F4"/>
    <w:rsid w:val="00803A72"/>
    <w:rsid w:val="008041FF"/>
    <w:rsid w:val="00810167"/>
    <w:rsid w:val="00817505"/>
    <w:rsid w:val="008179D7"/>
    <w:rsid w:val="00817A76"/>
    <w:rsid w:val="008228A2"/>
    <w:rsid w:val="00823042"/>
    <w:rsid w:val="00826780"/>
    <w:rsid w:val="0082691D"/>
    <w:rsid w:val="008306C7"/>
    <w:rsid w:val="00832B9B"/>
    <w:rsid w:val="008330FE"/>
    <w:rsid w:val="00834873"/>
    <w:rsid w:val="00834C09"/>
    <w:rsid w:val="008361C9"/>
    <w:rsid w:val="008366C5"/>
    <w:rsid w:val="00836A18"/>
    <w:rsid w:val="008376BB"/>
    <w:rsid w:val="00842315"/>
    <w:rsid w:val="00842B8E"/>
    <w:rsid w:val="00846720"/>
    <w:rsid w:val="00850892"/>
    <w:rsid w:val="008510AD"/>
    <w:rsid w:val="00851513"/>
    <w:rsid w:val="00851CA4"/>
    <w:rsid w:val="0085701C"/>
    <w:rsid w:val="00861A44"/>
    <w:rsid w:val="00865E4A"/>
    <w:rsid w:val="00867F93"/>
    <w:rsid w:val="00871C60"/>
    <w:rsid w:val="00872108"/>
    <w:rsid w:val="00872333"/>
    <w:rsid w:val="00873248"/>
    <w:rsid w:val="0087389C"/>
    <w:rsid w:val="00876C45"/>
    <w:rsid w:val="008837C8"/>
    <w:rsid w:val="00883AAD"/>
    <w:rsid w:val="00896EF5"/>
    <w:rsid w:val="008A0C07"/>
    <w:rsid w:val="008A5CD8"/>
    <w:rsid w:val="008A5E93"/>
    <w:rsid w:val="008A6A81"/>
    <w:rsid w:val="008B0EB2"/>
    <w:rsid w:val="008B4B46"/>
    <w:rsid w:val="008C23FF"/>
    <w:rsid w:val="008C2647"/>
    <w:rsid w:val="008C3870"/>
    <w:rsid w:val="008C5442"/>
    <w:rsid w:val="008D1476"/>
    <w:rsid w:val="008D1B5D"/>
    <w:rsid w:val="008D259F"/>
    <w:rsid w:val="008D4261"/>
    <w:rsid w:val="008D5525"/>
    <w:rsid w:val="008D6336"/>
    <w:rsid w:val="008E2DFC"/>
    <w:rsid w:val="008E6EA5"/>
    <w:rsid w:val="008F34CA"/>
    <w:rsid w:val="008F5637"/>
    <w:rsid w:val="008F6BD3"/>
    <w:rsid w:val="008F798A"/>
    <w:rsid w:val="00906332"/>
    <w:rsid w:val="00907595"/>
    <w:rsid w:val="009116D2"/>
    <w:rsid w:val="0091470C"/>
    <w:rsid w:val="00914F2E"/>
    <w:rsid w:val="009152B4"/>
    <w:rsid w:val="0092119A"/>
    <w:rsid w:val="0092464D"/>
    <w:rsid w:val="009254C2"/>
    <w:rsid w:val="00926680"/>
    <w:rsid w:val="00933B73"/>
    <w:rsid w:val="00937769"/>
    <w:rsid w:val="0094089F"/>
    <w:rsid w:val="00942093"/>
    <w:rsid w:val="009449A2"/>
    <w:rsid w:val="009452B4"/>
    <w:rsid w:val="009462DF"/>
    <w:rsid w:val="00950504"/>
    <w:rsid w:val="009505A4"/>
    <w:rsid w:val="00950E7E"/>
    <w:rsid w:val="00953305"/>
    <w:rsid w:val="009535B5"/>
    <w:rsid w:val="00954636"/>
    <w:rsid w:val="0095789D"/>
    <w:rsid w:val="009635BB"/>
    <w:rsid w:val="00963B6A"/>
    <w:rsid w:val="0097493B"/>
    <w:rsid w:val="0097599D"/>
    <w:rsid w:val="009762A9"/>
    <w:rsid w:val="0097685A"/>
    <w:rsid w:val="009809F9"/>
    <w:rsid w:val="009813C4"/>
    <w:rsid w:val="00981EC8"/>
    <w:rsid w:val="0098484B"/>
    <w:rsid w:val="009849DB"/>
    <w:rsid w:val="00986763"/>
    <w:rsid w:val="00987BA8"/>
    <w:rsid w:val="00990138"/>
    <w:rsid w:val="00990A4D"/>
    <w:rsid w:val="00991E1E"/>
    <w:rsid w:val="00992249"/>
    <w:rsid w:val="009943F1"/>
    <w:rsid w:val="0099493A"/>
    <w:rsid w:val="009955D7"/>
    <w:rsid w:val="0099624E"/>
    <w:rsid w:val="00996EF3"/>
    <w:rsid w:val="0099722C"/>
    <w:rsid w:val="009A3209"/>
    <w:rsid w:val="009A35C5"/>
    <w:rsid w:val="009A6322"/>
    <w:rsid w:val="009A769D"/>
    <w:rsid w:val="009A7BE1"/>
    <w:rsid w:val="009B5BE5"/>
    <w:rsid w:val="009B6548"/>
    <w:rsid w:val="009B75D1"/>
    <w:rsid w:val="009B7F44"/>
    <w:rsid w:val="009C2211"/>
    <w:rsid w:val="009C31BC"/>
    <w:rsid w:val="009C5980"/>
    <w:rsid w:val="009D0D0A"/>
    <w:rsid w:val="009D2665"/>
    <w:rsid w:val="009D3C14"/>
    <w:rsid w:val="009D75F5"/>
    <w:rsid w:val="009D796E"/>
    <w:rsid w:val="009E09D3"/>
    <w:rsid w:val="009E4499"/>
    <w:rsid w:val="009E62CC"/>
    <w:rsid w:val="009F7C16"/>
    <w:rsid w:val="00A01368"/>
    <w:rsid w:val="00A02EDF"/>
    <w:rsid w:val="00A1521A"/>
    <w:rsid w:val="00A15CC2"/>
    <w:rsid w:val="00A164FA"/>
    <w:rsid w:val="00A20DDB"/>
    <w:rsid w:val="00A30C38"/>
    <w:rsid w:val="00A40A94"/>
    <w:rsid w:val="00A4400F"/>
    <w:rsid w:val="00A47F7D"/>
    <w:rsid w:val="00A5041C"/>
    <w:rsid w:val="00A555E0"/>
    <w:rsid w:val="00A57082"/>
    <w:rsid w:val="00A60F39"/>
    <w:rsid w:val="00A6275D"/>
    <w:rsid w:val="00A62BE4"/>
    <w:rsid w:val="00A631F9"/>
    <w:rsid w:val="00A6608E"/>
    <w:rsid w:val="00A74968"/>
    <w:rsid w:val="00A75C03"/>
    <w:rsid w:val="00A9019F"/>
    <w:rsid w:val="00A92B41"/>
    <w:rsid w:val="00A934AB"/>
    <w:rsid w:val="00A9351C"/>
    <w:rsid w:val="00A93984"/>
    <w:rsid w:val="00A95318"/>
    <w:rsid w:val="00A96DA6"/>
    <w:rsid w:val="00A97F91"/>
    <w:rsid w:val="00AA02AC"/>
    <w:rsid w:val="00AA099C"/>
    <w:rsid w:val="00AA24C4"/>
    <w:rsid w:val="00AA40CE"/>
    <w:rsid w:val="00AA4425"/>
    <w:rsid w:val="00AB1A5B"/>
    <w:rsid w:val="00AB2A6C"/>
    <w:rsid w:val="00AB3F36"/>
    <w:rsid w:val="00AB4D59"/>
    <w:rsid w:val="00AC007B"/>
    <w:rsid w:val="00AC0EB8"/>
    <w:rsid w:val="00AC15CB"/>
    <w:rsid w:val="00AC1956"/>
    <w:rsid w:val="00AC2195"/>
    <w:rsid w:val="00AC535F"/>
    <w:rsid w:val="00AC5CE8"/>
    <w:rsid w:val="00AC6691"/>
    <w:rsid w:val="00AC6B4A"/>
    <w:rsid w:val="00AD03E4"/>
    <w:rsid w:val="00AD0840"/>
    <w:rsid w:val="00AD0C12"/>
    <w:rsid w:val="00AD130F"/>
    <w:rsid w:val="00AD4C2F"/>
    <w:rsid w:val="00AD5705"/>
    <w:rsid w:val="00AD63F7"/>
    <w:rsid w:val="00AD7775"/>
    <w:rsid w:val="00AD7BAA"/>
    <w:rsid w:val="00AE79E9"/>
    <w:rsid w:val="00AF052B"/>
    <w:rsid w:val="00AF1444"/>
    <w:rsid w:val="00AF1D86"/>
    <w:rsid w:val="00AF2F1A"/>
    <w:rsid w:val="00B0404D"/>
    <w:rsid w:val="00B10040"/>
    <w:rsid w:val="00B10B33"/>
    <w:rsid w:val="00B11BDE"/>
    <w:rsid w:val="00B14DE8"/>
    <w:rsid w:val="00B164AA"/>
    <w:rsid w:val="00B21044"/>
    <w:rsid w:val="00B21844"/>
    <w:rsid w:val="00B21DED"/>
    <w:rsid w:val="00B22A7E"/>
    <w:rsid w:val="00B25D49"/>
    <w:rsid w:val="00B3018A"/>
    <w:rsid w:val="00B34263"/>
    <w:rsid w:val="00B353EB"/>
    <w:rsid w:val="00B40A23"/>
    <w:rsid w:val="00B422FE"/>
    <w:rsid w:val="00B5570E"/>
    <w:rsid w:val="00B568C6"/>
    <w:rsid w:val="00B57BBA"/>
    <w:rsid w:val="00B6329D"/>
    <w:rsid w:val="00B63948"/>
    <w:rsid w:val="00B639D5"/>
    <w:rsid w:val="00B66C0F"/>
    <w:rsid w:val="00B678BE"/>
    <w:rsid w:val="00B710E0"/>
    <w:rsid w:val="00B72402"/>
    <w:rsid w:val="00B74F64"/>
    <w:rsid w:val="00B7788C"/>
    <w:rsid w:val="00B81550"/>
    <w:rsid w:val="00B84997"/>
    <w:rsid w:val="00B8609A"/>
    <w:rsid w:val="00B869E8"/>
    <w:rsid w:val="00B90C78"/>
    <w:rsid w:val="00B91BE7"/>
    <w:rsid w:val="00B91D12"/>
    <w:rsid w:val="00B9585D"/>
    <w:rsid w:val="00BB3E18"/>
    <w:rsid w:val="00BB5EE9"/>
    <w:rsid w:val="00BB758E"/>
    <w:rsid w:val="00BC1033"/>
    <w:rsid w:val="00BC291F"/>
    <w:rsid w:val="00BC3F66"/>
    <w:rsid w:val="00BC52D8"/>
    <w:rsid w:val="00BC58AD"/>
    <w:rsid w:val="00BD422D"/>
    <w:rsid w:val="00BD6628"/>
    <w:rsid w:val="00BD6A0A"/>
    <w:rsid w:val="00BE0368"/>
    <w:rsid w:val="00BE139A"/>
    <w:rsid w:val="00BE2F50"/>
    <w:rsid w:val="00BE3499"/>
    <w:rsid w:val="00BE3CAD"/>
    <w:rsid w:val="00BE4EC2"/>
    <w:rsid w:val="00BF12E0"/>
    <w:rsid w:val="00BF299B"/>
    <w:rsid w:val="00BF4BE6"/>
    <w:rsid w:val="00BF5E4D"/>
    <w:rsid w:val="00BF7972"/>
    <w:rsid w:val="00C01A13"/>
    <w:rsid w:val="00C05EA0"/>
    <w:rsid w:val="00C11E3C"/>
    <w:rsid w:val="00C12AEE"/>
    <w:rsid w:val="00C13D26"/>
    <w:rsid w:val="00C13DF0"/>
    <w:rsid w:val="00C16776"/>
    <w:rsid w:val="00C219A3"/>
    <w:rsid w:val="00C263BA"/>
    <w:rsid w:val="00C269C2"/>
    <w:rsid w:val="00C26B87"/>
    <w:rsid w:val="00C27A9F"/>
    <w:rsid w:val="00C306F0"/>
    <w:rsid w:val="00C32899"/>
    <w:rsid w:val="00C32D32"/>
    <w:rsid w:val="00C33520"/>
    <w:rsid w:val="00C36D19"/>
    <w:rsid w:val="00C4023C"/>
    <w:rsid w:val="00C40F05"/>
    <w:rsid w:val="00C43136"/>
    <w:rsid w:val="00C43DDB"/>
    <w:rsid w:val="00C44F11"/>
    <w:rsid w:val="00C46942"/>
    <w:rsid w:val="00C47B56"/>
    <w:rsid w:val="00C539FD"/>
    <w:rsid w:val="00C53E64"/>
    <w:rsid w:val="00C63538"/>
    <w:rsid w:val="00C63B8D"/>
    <w:rsid w:val="00C645CE"/>
    <w:rsid w:val="00C64B25"/>
    <w:rsid w:val="00C64CB8"/>
    <w:rsid w:val="00C6657B"/>
    <w:rsid w:val="00C67C89"/>
    <w:rsid w:val="00C734C2"/>
    <w:rsid w:val="00C736F6"/>
    <w:rsid w:val="00C75BA9"/>
    <w:rsid w:val="00C77E7E"/>
    <w:rsid w:val="00C82DAD"/>
    <w:rsid w:val="00C83BEF"/>
    <w:rsid w:val="00C842C8"/>
    <w:rsid w:val="00C843E8"/>
    <w:rsid w:val="00C85500"/>
    <w:rsid w:val="00C85DDB"/>
    <w:rsid w:val="00C945CE"/>
    <w:rsid w:val="00C97F1E"/>
    <w:rsid w:val="00CA5E00"/>
    <w:rsid w:val="00CB376C"/>
    <w:rsid w:val="00CB3BFA"/>
    <w:rsid w:val="00CB5B80"/>
    <w:rsid w:val="00CB7313"/>
    <w:rsid w:val="00CC4E1B"/>
    <w:rsid w:val="00CD114A"/>
    <w:rsid w:val="00CD2BAD"/>
    <w:rsid w:val="00CD7A1E"/>
    <w:rsid w:val="00CD7CB6"/>
    <w:rsid w:val="00CE4642"/>
    <w:rsid w:val="00CE65AB"/>
    <w:rsid w:val="00CE6D65"/>
    <w:rsid w:val="00CE7CC8"/>
    <w:rsid w:val="00CF4722"/>
    <w:rsid w:val="00CF6D53"/>
    <w:rsid w:val="00CF74EA"/>
    <w:rsid w:val="00D020EA"/>
    <w:rsid w:val="00D0292A"/>
    <w:rsid w:val="00D048E8"/>
    <w:rsid w:val="00D04BE0"/>
    <w:rsid w:val="00D0533B"/>
    <w:rsid w:val="00D055FF"/>
    <w:rsid w:val="00D06E0F"/>
    <w:rsid w:val="00D07446"/>
    <w:rsid w:val="00D12BF5"/>
    <w:rsid w:val="00D14DC5"/>
    <w:rsid w:val="00D1514B"/>
    <w:rsid w:val="00D16433"/>
    <w:rsid w:val="00D21740"/>
    <w:rsid w:val="00D21C71"/>
    <w:rsid w:val="00D2520A"/>
    <w:rsid w:val="00D27245"/>
    <w:rsid w:val="00D276BC"/>
    <w:rsid w:val="00D33320"/>
    <w:rsid w:val="00D33476"/>
    <w:rsid w:val="00D37C36"/>
    <w:rsid w:val="00D402D3"/>
    <w:rsid w:val="00D41C15"/>
    <w:rsid w:val="00D41E2E"/>
    <w:rsid w:val="00D4595C"/>
    <w:rsid w:val="00D47303"/>
    <w:rsid w:val="00D549C2"/>
    <w:rsid w:val="00D578F1"/>
    <w:rsid w:val="00D63294"/>
    <w:rsid w:val="00D63E74"/>
    <w:rsid w:val="00D65F75"/>
    <w:rsid w:val="00D66E1F"/>
    <w:rsid w:val="00D7230A"/>
    <w:rsid w:val="00D77E35"/>
    <w:rsid w:val="00D813B6"/>
    <w:rsid w:val="00D81DC4"/>
    <w:rsid w:val="00D93954"/>
    <w:rsid w:val="00D9681D"/>
    <w:rsid w:val="00DA3B3B"/>
    <w:rsid w:val="00DA5685"/>
    <w:rsid w:val="00DA724C"/>
    <w:rsid w:val="00DB2A64"/>
    <w:rsid w:val="00DB4011"/>
    <w:rsid w:val="00DB715F"/>
    <w:rsid w:val="00DC1317"/>
    <w:rsid w:val="00DC2ACF"/>
    <w:rsid w:val="00DC6424"/>
    <w:rsid w:val="00DD2B36"/>
    <w:rsid w:val="00DD3A95"/>
    <w:rsid w:val="00DD7DBF"/>
    <w:rsid w:val="00DE35BE"/>
    <w:rsid w:val="00DE628D"/>
    <w:rsid w:val="00DE68F5"/>
    <w:rsid w:val="00DF2199"/>
    <w:rsid w:val="00DF36BE"/>
    <w:rsid w:val="00DF4FD0"/>
    <w:rsid w:val="00DF568D"/>
    <w:rsid w:val="00E0041F"/>
    <w:rsid w:val="00E00B96"/>
    <w:rsid w:val="00E00F46"/>
    <w:rsid w:val="00E038F8"/>
    <w:rsid w:val="00E069F9"/>
    <w:rsid w:val="00E116AC"/>
    <w:rsid w:val="00E13BCF"/>
    <w:rsid w:val="00E15788"/>
    <w:rsid w:val="00E158C7"/>
    <w:rsid w:val="00E15901"/>
    <w:rsid w:val="00E16E0E"/>
    <w:rsid w:val="00E1778A"/>
    <w:rsid w:val="00E21954"/>
    <w:rsid w:val="00E23AD0"/>
    <w:rsid w:val="00E3152B"/>
    <w:rsid w:val="00E375AE"/>
    <w:rsid w:val="00E41DF0"/>
    <w:rsid w:val="00E42655"/>
    <w:rsid w:val="00E45498"/>
    <w:rsid w:val="00E47844"/>
    <w:rsid w:val="00E539A8"/>
    <w:rsid w:val="00E540D8"/>
    <w:rsid w:val="00E55288"/>
    <w:rsid w:val="00E614DE"/>
    <w:rsid w:val="00E6457E"/>
    <w:rsid w:val="00E700A0"/>
    <w:rsid w:val="00E7226B"/>
    <w:rsid w:val="00E75BD9"/>
    <w:rsid w:val="00E835AA"/>
    <w:rsid w:val="00E85238"/>
    <w:rsid w:val="00E863B7"/>
    <w:rsid w:val="00E87ED2"/>
    <w:rsid w:val="00E9059A"/>
    <w:rsid w:val="00E911E4"/>
    <w:rsid w:val="00E915A6"/>
    <w:rsid w:val="00E92A44"/>
    <w:rsid w:val="00E939A0"/>
    <w:rsid w:val="00E94271"/>
    <w:rsid w:val="00EA5733"/>
    <w:rsid w:val="00EA6016"/>
    <w:rsid w:val="00EA6EEF"/>
    <w:rsid w:val="00EB0EBE"/>
    <w:rsid w:val="00EB20A7"/>
    <w:rsid w:val="00EB2F66"/>
    <w:rsid w:val="00EB465B"/>
    <w:rsid w:val="00EB5047"/>
    <w:rsid w:val="00EB6B3F"/>
    <w:rsid w:val="00EC10B8"/>
    <w:rsid w:val="00EC50BE"/>
    <w:rsid w:val="00EC67BB"/>
    <w:rsid w:val="00EC74AF"/>
    <w:rsid w:val="00EC75E5"/>
    <w:rsid w:val="00EC7C96"/>
    <w:rsid w:val="00ED2119"/>
    <w:rsid w:val="00ED329F"/>
    <w:rsid w:val="00ED5BF4"/>
    <w:rsid w:val="00EE37DF"/>
    <w:rsid w:val="00EE65EC"/>
    <w:rsid w:val="00EF1A79"/>
    <w:rsid w:val="00EF1F9B"/>
    <w:rsid w:val="00EF1FD8"/>
    <w:rsid w:val="00EF372C"/>
    <w:rsid w:val="00EF5704"/>
    <w:rsid w:val="00EF73B1"/>
    <w:rsid w:val="00EF73F3"/>
    <w:rsid w:val="00F0305B"/>
    <w:rsid w:val="00F033DF"/>
    <w:rsid w:val="00F058D2"/>
    <w:rsid w:val="00F11014"/>
    <w:rsid w:val="00F21E82"/>
    <w:rsid w:val="00F25373"/>
    <w:rsid w:val="00F315AA"/>
    <w:rsid w:val="00F31FB3"/>
    <w:rsid w:val="00F32266"/>
    <w:rsid w:val="00F370A0"/>
    <w:rsid w:val="00F3766D"/>
    <w:rsid w:val="00F46A7D"/>
    <w:rsid w:val="00F46BFE"/>
    <w:rsid w:val="00F4716B"/>
    <w:rsid w:val="00F5601A"/>
    <w:rsid w:val="00F56102"/>
    <w:rsid w:val="00F63578"/>
    <w:rsid w:val="00F64C63"/>
    <w:rsid w:val="00F661D9"/>
    <w:rsid w:val="00F77C06"/>
    <w:rsid w:val="00F81AC2"/>
    <w:rsid w:val="00F82B2F"/>
    <w:rsid w:val="00F83D78"/>
    <w:rsid w:val="00F83FBE"/>
    <w:rsid w:val="00F84064"/>
    <w:rsid w:val="00F85EBE"/>
    <w:rsid w:val="00F85F4B"/>
    <w:rsid w:val="00F8717B"/>
    <w:rsid w:val="00F919EF"/>
    <w:rsid w:val="00F9312C"/>
    <w:rsid w:val="00F96338"/>
    <w:rsid w:val="00FA0599"/>
    <w:rsid w:val="00FA1C52"/>
    <w:rsid w:val="00FA34D6"/>
    <w:rsid w:val="00FA3908"/>
    <w:rsid w:val="00FA525F"/>
    <w:rsid w:val="00FB0837"/>
    <w:rsid w:val="00FB08EF"/>
    <w:rsid w:val="00FB3081"/>
    <w:rsid w:val="00FC2240"/>
    <w:rsid w:val="00FC2FD9"/>
    <w:rsid w:val="00FD2B39"/>
    <w:rsid w:val="00FD6C08"/>
    <w:rsid w:val="00FE0B6A"/>
    <w:rsid w:val="00FE12D9"/>
    <w:rsid w:val="00FE213B"/>
    <w:rsid w:val="00FE34DA"/>
    <w:rsid w:val="00FE572D"/>
    <w:rsid w:val="00FE6421"/>
    <w:rsid w:val="00FF0E03"/>
    <w:rsid w:val="00FF3941"/>
    <w:rsid w:val="00FF49AB"/>
    <w:rsid w:val="00FF4C13"/>
    <w:rsid w:val="00FF68AB"/>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9790F"/>
  <w15:docId w15:val="{3EF4F310-5441-2645-B8B0-8DFE3382A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759"/>
    <w:rPr>
      <w:rFonts w:ascii="Arial" w:eastAsiaTheme="minorEastAsia" w:hAnsi="Arial"/>
      <w:sz w:val="24"/>
      <w:lang w:eastAsia="zh-CN"/>
    </w:rPr>
  </w:style>
  <w:style w:type="paragraph" w:styleId="Heading1">
    <w:name w:val="heading 1"/>
    <w:basedOn w:val="Normal"/>
    <w:next w:val="Normal"/>
    <w:link w:val="Heading1Char"/>
    <w:uiPriority w:val="9"/>
    <w:qFormat/>
    <w:rsid w:val="001E46AC"/>
    <w:pPr>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EF73F3"/>
    <w:pPr>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EF73F3"/>
    <w:pPr>
      <w:outlineLvl w:val="2"/>
    </w:pPr>
    <w:rPr>
      <w:rFonts w:eastAsiaTheme="majorEastAsia" w:cstheme="majorBidi"/>
      <w:bCs/>
      <w:lang w:bidi="en-US"/>
    </w:rPr>
  </w:style>
  <w:style w:type="paragraph" w:styleId="Heading4">
    <w:name w:val="heading 4"/>
    <w:basedOn w:val="Normal"/>
    <w:next w:val="Normal"/>
    <w:link w:val="Heading4Char"/>
    <w:uiPriority w:val="9"/>
    <w:qFormat/>
    <w:rsid w:val="00EF73F3"/>
    <w:pPr>
      <w:outlineLvl w:val="3"/>
    </w:pPr>
    <w:rPr>
      <w:rFonts w:eastAsiaTheme="majorEastAsia" w:cstheme="majorBidi"/>
      <w:bCs/>
      <w:i/>
      <w:iCs/>
      <w:lang w:bidi="en-US"/>
    </w:rPr>
  </w:style>
  <w:style w:type="paragraph" w:styleId="Heading5">
    <w:name w:val="heading 5"/>
    <w:basedOn w:val="Normal"/>
    <w:next w:val="Normal"/>
    <w:link w:val="Heading5Char"/>
    <w:uiPriority w:val="9"/>
    <w:semiHidden/>
    <w:unhideWhenUsed/>
    <w:qFormat/>
    <w:rsid w:val="00415F7C"/>
    <w:pPr>
      <w:spacing w:before="200"/>
      <w:outlineLvl w:val="4"/>
    </w:pPr>
    <w:rPr>
      <w:rFonts w:eastAsiaTheme="majorEastAsia" w:cstheme="majorBidi"/>
      <w:b/>
      <w:bCs/>
      <w:lang w:bidi="en-US"/>
    </w:rPr>
  </w:style>
  <w:style w:type="paragraph" w:styleId="Heading6">
    <w:name w:val="heading 6"/>
    <w:basedOn w:val="Normal"/>
    <w:next w:val="Normal"/>
    <w:link w:val="Heading6Char"/>
    <w:uiPriority w:val="9"/>
    <w:semiHidden/>
    <w:unhideWhenUsed/>
    <w:qFormat/>
    <w:rsid w:val="00EF73F3"/>
    <w:pPr>
      <w:spacing w:line="271" w:lineRule="auto"/>
      <w:outlineLvl w:val="5"/>
    </w:pPr>
    <w:rPr>
      <w:rFonts w:asciiTheme="majorHAnsi" w:eastAsiaTheme="majorEastAsia" w:hAnsiTheme="majorHAnsi"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EF73F3"/>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
    <w:semiHidden/>
    <w:unhideWhenUsed/>
    <w:qFormat/>
    <w:rsid w:val="00EF73F3"/>
    <w:pPr>
      <w:outlineLvl w:val="7"/>
    </w:pPr>
    <w:rPr>
      <w:rFonts w:asciiTheme="majorHAnsi" w:eastAsiaTheme="majorEastAsia" w:hAnsiTheme="majorHAnsi" w:cstheme="majorBidi"/>
      <w:sz w:val="20"/>
      <w:lang w:bidi="en-US"/>
    </w:rPr>
  </w:style>
  <w:style w:type="paragraph" w:styleId="Heading9">
    <w:name w:val="heading 9"/>
    <w:basedOn w:val="Normal"/>
    <w:next w:val="Normal"/>
    <w:link w:val="Heading9Char"/>
    <w:uiPriority w:val="9"/>
    <w:semiHidden/>
    <w:unhideWhenUsed/>
    <w:qFormat/>
    <w:rsid w:val="00EF73F3"/>
    <w:pPr>
      <w:outlineLvl w:val="8"/>
    </w:pPr>
    <w:rPr>
      <w:rFonts w:asciiTheme="majorHAnsi" w:eastAsiaTheme="majorEastAsia" w:hAnsiTheme="majorHAnsi" w:cstheme="majorBidi"/>
      <w:i/>
      <w:iCs/>
      <w:spacing w:val="5"/>
      <w:sz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6AC"/>
    <w:rPr>
      <w:rFonts w:ascii="Arial" w:eastAsiaTheme="majorEastAsia" w:hAnsi="Arial" w:cstheme="majorBidi"/>
      <w:b/>
      <w:bCs/>
      <w:sz w:val="28"/>
      <w:szCs w:val="28"/>
      <w:lang w:bidi="en-US"/>
    </w:rPr>
  </w:style>
  <w:style w:type="character" w:customStyle="1" w:styleId="Heading2Char">
    <w:name w:val="Heading 2 Char"/>
    <w:basedOn w:val="DefaultParagraphFont"/>
    <w:link w:val="Heading2"/>
    <w:uiPriority w:val="9"/>
    <w:rsid w:val="00EF73F3"/>
    <w:rPr>
      <w:rFonts w:ascii="Arial" w:eastAsiaTheme="majorEastAsia" w:hAnsi="Arial" w:cstheme="majorBidi"/>
      <w:b/>
      <w:bCs/>
      <w:sz w:val="24"/>
      <w:szCs w:val="26"/>
      <w:lang w:bidi="en-US"/>
    </w:rPr>
  </w:style>
  <w:style w:type="paragraph" w:styleId="Title">
    <w:name w:val="Title"/>
    <w:basedOn w:val="Normal"/>
    <w:next w:val="Normal"/>
    <w:link w:val="TitleChar"/>
    <w:uiPriority w:val="10"/>
    <w:qFormat/>
    <w:rsid w:val="00EF73F3"/>
    <w:pPr>
      <w:jc w:val="center"/>
    </w:pPr>
    <w:rPr>
      <w:rFonts w:eastAsiaTheme="majorEastAsia" w:cstheme="majorBidi"/>
      <w:b/>
      <w:spacing w:val="5"/>
      <w:sz w:val="32"/>
      <w:szCs w:val="52"/>
    </w:rPr>
  </w:style>
  <w:style w:type="character" w:customStyle="1" w:styleId="TitleChar">
    <w:name w:val="Title Char"/>
    <w:basedOn w:val="DefaultParagraphFont"/>
    <w:link w:val="Title"/>
    <w:uiPriority w:val="10"/>
    <w:rsid w:val="00EF73F3"/>
    <w:rPr>
      <w:rFonts w:ascii="Arial" w:eastAsiaTheme="majorEastAsia" w:hAnsi="Arial" w:cstheme="majorBidi"/>
      <w:b/>
      <w:spacing w:val="5"/>
      <w:sz w:val="32"/>
      <w:szCs w:val="52"/>
    </w:rPr>
  </w:style>
  <w:style w:type="paragraph" w:styleId="Quote">
    <w:name w:val="Quote"/>
    <w:basedOn w:val="Normal"/>
    <w:next w:val="Normal"/>
    <w:link w:val="QuoteChar"/>
    <w:uiPriority w:val="29"/>
    <w:qFormat/>
    <w:rsid w:val="00EF73F3"/>
    <w:pPr>
      <w:ind w:left="680"/>
    </w:pPr>
    <w:rPr>
      <w:iCs/>
      <w:lang w:bidi="en-US"/>
    </w:rPr>
  </w:style>
  <w:style w:type="character" w:customStyle="1" w:styleId="QuoteChar">
    <w:name w:val="Quote Char"/>
    <w:basedOn w:val="DefaultParagraphFont"/>
    <w:link w:val="Quote"/>
    <w:uiPriority w:val="29"/>
    <w:rsid w:val="00EF73F3"/>
    <w:rPr>
      <w:rFonts w:ascii="Arial" w:eastAsiaTheme="minorEastAsia" w:hAnsi="Arial"/>
      <w:iCs/>
      <w:sz w:val="24"/>
      <w:lang w:bidi="en-US"/>
    </w:rPr>
  </w:style>
  <w:style w:type="paragraph" w:styleId="ListParagraph">
    <w:name w:val="List Paragraph"/>
    <w:basedOn w:val="Normal"/>
    <w:uiPriority w:val="34"/>
    <w:qFormat/>
    <w:rsid w:val="005D5530"/>
    <w:pPr>
      <w:ind w:left="720"/>
      <w:contextualSpacing/>
    </w:pPr>
    <w:rPr>
      <w:lang w:eastAsia="en-GB"/>
    </w:rPr>
  </w:style>
  <w:style w:type="paragraph" w:customStyle="1" w:styleId="inset">
    <w:name w:val="inset"/>
    <w:basedOn w:val="Normal"/>
    <w:link w:val="insetChar"/>
    <w:qFormat/>
    <w:rsid w:val="00EF73F3"/>
    <w:pPr>
      <w:ind w:left="709"/>
    </w:pPr>
  </w:style>
  <w:style w:type="character" w:customStyle="1" w:styleId="insetChar">
    <w:name w:val="inset Char"/>
    <w:basedOn w:val="DefaultParagraphFont"/>
    <w:link w:val="inset"/>
    <w:rsid w:val="00EF73F3"/>
    <w:rPr>
      <w:rFonts w:ascii="Arial" w:hAnsi="Arial" w:cs="Times New Roman"/>
      <w:sz w:val="24"/>
      <w:szCs w:val="24"/>
      <w:lang w:eastAsia="en-GB"/>
    </w:rPr>
  </w:style>
  <w:style w:type="character" w:styleId="FootnoteReference">
    <w:name w:val="footnote reference"/>
    <w:aliases w:val="Fn Ref"/>
    <w:basedOn w:val="DefaultParagraphFont"/>
    <w:qFormat/>
    <w:rsid w:val="00E540D8"/>
    <w:rPr>
      <w:rFonts w:ascii="Arial" w:hAnsi="Arial"/>
      <w:sz w:val="20"/>
      <w:vertAlign w:val="superscript"/>
    </w:rPr>
  </w:style>
  <w:style w:type="paragraph" w:customStyle="1" w:styleId="fntxt">
    <w:name w:val="fn txt"/>
    <w:basedOn w:val="FootnoteText"/>
    <w:qFormat/>
    <w:rsid w:val="00EF73F3"/>
    <w:rPr>
      <w:rFonts w:eastAsiaTheme="minorHAnsi"/>
      <w:color w:val="000000"/>
    </w:rPr>
  </w:style>
  <w:style w:type="paragraph" w:styleId="FootnoteText">
    <w:name w:val="footnote text"/>
    <w:basedOn w:val="Normal"/>
    <w:link w:val="FootnoteTextChar"/>
    <w:uiPriority w:val="99"/>
    <w:unhideWhenUsed/>
    <w:rsid w:val="00EF73F3"/>
    <w:rPr>
      <w:sz w:val="20"/>
    </w:rPr>
  </w:style>
  <w:style w:type="character" w:customStyle="1" w:styleId="FootnoteTextChar">
    <w:name w:val="Footnote Text Char"/>
    <w:basedOn w:val="DefaultParagraphFont"/>
    <w:link w:val="FootnoteText"/>
    <w:uiPriority w:val="99"/>
    <w:rsid w:val="00EF73F3"/>
    <w:rPr>
      <w:rFonts w:ascii="Arial" w:hAnsi="Arial" w:cs="Times New Roman"/>
      <w:sz w:val="20"/>
      <w:szCs w:val="20"/>
    </w:rPr>
  </w:style>
  <w:style w:type="paragraph" w:customStyle="1" w:styleId="case">
    <w:name w:val="case"/>
    <w:basedOn w:val="Normal"/>
    <w:link w:val="caseChar"/>
    <w:qFormat/>
    <w:rsid w:val="00EF73F3"/>
    <w:rPr>
      <w:i/>
    </w:rPr>
  </w:style>
  <w:style w:type="character" w:customStyle="1" w:styleId="caseChar">
    <w:name w:val="case Char"/>
    <w:basedOn w:val="DefaultParagraphFont"/>
    <w:link w:val="case"/>
    <w:rsid w:val="00EF73F3"/>
    <w:rPr>
      <w:rFonts w:ascii="Arial" w:hAnsi="Arial" w:cs="Times New Roman"/>
      <w:i/>
      <w:sz w:val="24"/>
      <w:szCs w:val="24"/>
      <w:lang w:eastAsia="en-GB"/>
    </w:rPr>
  </w:style>
  <w:style w:type="character" w:customStyle="1" w:styleId="Heading3Char">
    <w:name w:val="Heading 3 Char"/>
    <w:basedOn w:val="DefaultParagraphFont"/>
    <w:link w:val="Heading3"/>
    <w:uiPriority w:val="9"/>
    <w:rsid w:val="00EF73F3"/>
    <w:rPr>
      <w:rFonts w:ascii="Arial" w:eastAsiaTheme="majorEastAsia" w:hAnsi="Arial" w:cstheme="majorBidi"/>
      <w:bCs/>
      <w:sz w:val="24"/>
      <w:lang w:bidi="en-US"/>
    </w:rPr>
  </w:style>
  <w:style w:type="character" w:customStyle="1" w:styleId="Heading4Char">
    <w:name w:val="Heading 4 Char"/>
    <w:basedOn w:val="DefaultParagraphFont"/>
    <w:link w:val="Heading4"/>
    <w:uiPriority w:val="9"/>
    <w:rsid w:val="00EF73F3"/>
    <w:rPr>
      <w:rFonts w:ascii="Arial" w:eastAsiaTheme="majorEastAsia" w:hAnsi="Arial" w:cstheme="majorBidi"/>
      <w:bCs/>
      <w:i/>
      <w:iCs/>
      <w:sz w:val="24"/>
      <w:lang w:bidi="en-US"/>
    </w:rPr>
  </w:style>
  <w:style w:type="character" w:customStyle="1" w:styleId="Heading5Char">
    <w:name w:val="Heading 5 Char"/>
    <w:basedOn w:val="DefaultParagraphFont"/>
    <w:link w:val="Heading5"/>
    <w:uiPriority w:val="9"/>
    <w:semiHidden/>
    <w:rsid w:val="00415F7C"/>
    <w:rPr>
      <w:rFonts w:ascii="Arial" w:eastAsiaTheme="majorEastAsia" w:hAnsi="Arial" w:cstheme="majorBidi"/>
      <w:b/>
      <w:bCs/>
      <w:sz w:val="24"/>
      <w:lang w:bidi="en-US"/>
    </w:rPr>
  </w:style>
  <w:style w:type="character" w:customStyle="1" w:styleId="Heading6Char">
    <w:name w:val="Heading 6 Char"/>
    <w:basedOn w:val="DefaultParagraphFont"/>
    <w:link w:val="Heading6"/>
    <w:uiPriority w:val="9"/>
    <w:semiHidden/>
    <w:rsid w:val="00EF73F3"/>
    <w:rPr>
      <w:rFonts w:asciiTheme="majorHAnsi" w:eastAsiaTheme="majorEastAsia" w:hAnsiTheme="majorHAnsi" w:cstheme="majorBidi"/>
      <w:b/>
      <w:bCs/>
      <w:i/>
      <w:iCs/>
      <w:color w:val="7F7F7F" w:themeColor="text1" w:themeTint="80"/>
      <w:lang w:bidi="en-US"/>
    </w:rPr>
  </w:style>
  <w:style w:type="character" w:customStyle="1" w:styleId="Heading7Char">
    <w:name w:val="Heading 7 Char"/>
    <w:basedOn w:val="DefaultParagraphFont"/>
    <w:link w:val="Heading7"/>
    <w:uiPriority w:val="9"/>
    <w:semiHidden/>
    <w:rsid w:val="00EF73F3"/>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
    <w:semiHidden/>
    <w:rsid w:val="00EF73F3"/>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
    <w:semiHidden/>
    <w:rsid w:val="00EF73F3"/>
    <w:rPr>
      <w:rFonts w:asciiTheme="majorHAnsi" w:eastAsiaTheme="majorEastAsia" w:hAnsiTheme="majorHAnsi" w:cstheme="majorBidi"/>
      <w:i/>
      <w:iCs/>
      <w:spacing w:val="5"/>
      <w:sz w:val="20"/>
      <w:szCs w:val="20"/>
      <w:lang w:bidi="en-US"/>
    </w:rPr>
  </w:style>
  <w:style w:type="paragraph" w:styleId="Subtitle">
    <w:name w:val="Subtitle"/>
    <w:basedOn w:val="Normal"/>
    <w:next w:val="Normal"/>
    <w:link w:val="SubtitleChar"/>
    <w:uiPriority w:val="11"/>
    <w:rsid w:val="00EF73F3"/>
    <w:pPr>
      <w:spacing w:after="600"/>
    </w:pPr>
    <w:rPr>
      <w:rFonts w:asciiTheme="majorHAnsi" w:eastAsiaTheme="majorEastAsia" w:hAnsiTheme="majorHAnsi" w:cstheme="majorBidi"/>
      <w:i/>
      <w:iCs/>
      <w:spacing w:val="13"/>
      <w:lang w:bidi="en-US"/>
    </w:rPr>
  </w:style>
  <w:style w:type="character" w:customStyle="1" w:styleId="SubtitleChar">
    <w:name w:val="Subtitle Char"/>
    <w:basedOn w:val="DefaultParagraphFont"/>
    <w:link w:val="Subtitle"/>
    <w:uiPriority w:val="11"/>
    <w:rsid w:val="00EF73F3"/>
    <w:rPr>
      <w:rFonts w:asciiTheme="majorHAnsi" w:eastAsiaTheme="majorEastAsia" w:hAnsiTheme="majorHAnsi" w:cstheme="majorBidi"/>
      <w:i/>
      <w:iCs/>
      <w:spacing w:val="13"/>
      <w:sz w:val="24"/>
      <w:szCs w:val="24"/>
      <w:lang w:bidi="en-US"/>
    </w:rPr>
  </w:style>
  <w:style w:type="paragraph" w:styleId="TOCHeading">
    <w:name w:val="TOC Heading"/>
    <w:basedOn w:val="Heading1"/>
    <w:next w:val="Normal"/>
    <w:uiPriority w:val="39"/>
    <w:unhideWhenUsed/>
    <w:qFormat/>
    <w:rsid w:val="00EF73F3"/>
    <w:pPr>
      <w:outlineLvl w:val="9"/>
    </w:pPr>
    <w:rPr>
      <w:lang w:eastAsia="en-GB" w:bidi="ar-SA"/>
    </w:rPr>
  </w:style>
  <w:style w:type="paragraph" w:customStyle="1" w:styleId="fncase">
    <w:name w:val="fn case"/>
    <w:basedOn w:val="Normal"/>
    <w:link w:val="fncaseChar"/>
    <w:qFormat/>
    <w:rsid w:val="008F798A"/>
    <w:pPr>
      <w:shd w:val="clear" w:color="auto" w:fill="FFFFFF"/>
      <w:textAlignment w:val="top"/>
    </w:pPr>
    <w:rPr>
      <w:rFonts w:eastAsia="MS Mincho"/>
      <w:i/>
      <w:sz w:val="20"/>
      <w:szCs w:val="24"/>
      <w:lang w:eastAsia="de-DE"/>
    </w:rPr>
  </w:style>
  <w:style w:type="character" w:customStyle="1" w:styleId="fncaseChar">
    <w:name w:val="fn case Char"/>
    <w:basedOn w:val="DefaultParagraphFont"/>
    <w:link w:val="fncase"/>
    <w:rsid w:val="008F798A"/>
    <w:rPr>
      <w:rFonts w:ascii="Arial" w:eastAsia="MS Mincho" w:hAnsi="Arial"/>
      <w:i/>
      <w:sz w:val="20"/>
      <w:szCs w:val="24"/>
      <w:shd w:val="clear" w:color="auto" w:fill="FFFFFF"/>
      <w:lang w:eastAsia="de-DE"/>
    </w:rPr>
  </w:style>
  <w:style w:type="paragraph" w:styleId="TOC1">
    <w:name w:val="toc 1"/>
    <w:basedOn w:val="Normal"/>
    <w:next w:val="Normal"/>
    <w:uiPriority w:val="39"/>
    <w:unhideWhenUsed/>
    <w:rsid w:val="00A97F91"/>
    <w:pPr>
      <w:spacing w:before="120"/>
    </w:pPr>
  </w:style>
  <w:style w:type="paragraph" w:styleId="TOC2">
    <w:name w:val="toc 2"/>
    <w:basedOn w:val="Normal"/>
    <w:next w:val="Normal"/>
    <w:uiPriority w:val="39"/>
    <w:unhideWhenUsed/>
    <w:rsid w:val="00A97F91"/>
    <w:pPr>
      <w:ind w:left="238"/>
    </w:pPr>
  </w:style>
  <w:style w:type="paragraph" w:styleId="TOC3">
    <w:name w:val="toc 3"/>
    <w:basedOn w:val="Normal"/>
    <w:next w:val="Normal"/>
    <w:uiPriority w:val="39"/>
    <w:unhideWhenUsed/>
    <w:rsid w:val="00A97F91"/>
    <w:pPr>
      <w:ind w:left="482"/>
    </w:pPr>
  </w:style>
  <w:style w:type="character" w:styleId="Hyperlink">
    <w:name w:val="Hyperlink"/>
    <w:basedOn w:val="DefaultParagraphFont"/>
    <w:uiPriority w:val="99"/>
    <w:unhideWhenUsed/>
    <w:rsid w:val="00A97F91"/>
    <w:rPr>
      <w:rFonts w:ascii="Arial" w:hAnsi="Arial" w:cs="Times New Roman" w:hint="default"/>
      <w:color w:val="0000FF"/>
      <w:u w:val="none"/>
    </w:rPr>
  </w:style>
  <w:style w:type="character" w:customStyle="1" w:styleId="highlight">
    <w:name w:val="highlight"/>
    <w:basedOn w:val="DefaultParagraphFont"/>
    <w:rsid w:val="006F7E8B"/>
  </w:style>
  <w:style w:type="character" w:customStyle="1" w:styleId="Onopgelostemelding1">
    <w:name w:val="Onopgeloste melding1"/>
    <w:basedOn w:val="DefaultParagraphFont"/>
    <w:uiPriority w:val="99"/>
    <w:semiHidden/>
    <w:unhideWhenUsed/>
    <w:rsid w:val="00C734C2"/>
    <w:rPr>
      <w:color w:val="605E5C"/>
      <w:shd w:val="clear" w:color="auto" w:fill="E1DFDD"/>
    </w:rPr>
  </w:style>
  <w:style w:type="character" w:customStyle="1" w:styleId="nr">
    <w:name w:val="nr"/>
    <w:basedOn w:val="DefaultParagraphFont"/>
    <w:rsid w:val="00A62BE4"/>
  </w:style>
  <w:style w:type="paragraph" w:styleId="NormalWeb">
    <w:name w:val="Normal (Web)"/>
    <w:basedOn w:val="Normal"/>
    <w:uiPriority w:val="99"/>
    <w:unhideWhenUsed/>
    <w:rsid w:val="00A62BE4"/>
    <w:pPr>
      <w:spacing w:before="100" w:beforeAutospacing="1" w:after="100" w:afterAutospacing="1"/>
    </w:pPr>
    <w:rPr>
      <w:rFonts w:ascii="Times New Roman" w:eastAsia="Times New Roman" w:hAnsi="Times New Roman" w:cs="Times New Roman"/>
      <w:szCs w:val="24"/>
      <w:lang w:val="nl-NL" w:eastAsia="nl-NL"/>
    </w:rPr>
  </w:style>
  <w:style w:type="character" w:customStyle="1" w:styleId="langblock">
    <w:name w:val="langblock"/>
    <w:basedOn w:val="DefaultParagraphFont"/>
    <w:rsid w:val="00722BAC"/>
  </w:style>
  <w:style w:type="character" w:customStyle="1" w:styleId="lidnr">
    <w:name w:val="lidnr"/>
    <w:basedOn w:val="DefaultParagraphFont"/>
    <w:rsid w:val="007F3806"/>
  </w:style>
  <w:style w:type="character" w:styleId="Emphasis">
    <w:name w:val="Emphasis"/>
    <w:basedOn w:val="DefaultParagraphFont"/>
    <w:uiPriority w:val="20"/>
    <w:qFormat/>
    <w:rsid w:val="00EC50BE"/>
    <w:rPr>
      <w:i/>
      <w:iCs/>
    </w:rPr>
  </w:style>
  <w:style w:type="paragraph" w:styleId="Header">
    <w:name w:val="header"/>
    <w:basedOn w:val="Normal"/>
    <w:link w:val="HeaderChar"/>
    <w:uiPriority w:val="99"/>
    <w:unhideWhenUsed/>
    <w:rsid w:val="00987BA8"/>
    <w:pPr>
      <w:tabs>
        <w:tab w:val="center" w:pos="4536"/>
        <w:tab w:val="right" w:pos="9072"/>
      </w:tabs>
    </w:pPr>
  </w:style>
  <w:style w:type="character" w:customStyle="1" w:styleId="HeaderChar">
    <w:name w:val="Header Char"/>
    <w:basedOn w:val="DefaultParagraphFont"/>
    <w:link w:val="Header"/>
    <w:uiPriority w:val="99"/>
    <w:rsid w:val="00987BA8"/>
    <w:rPr>
      <w:rFonts w:ascii="Arial" w:eastAsiaTheme="minorEastAsia" w:hAnsi="Arial"/>
      <w:sz w:val="24"/>
      <w:lang w:eastAsia="zh-CN"/>
    </w:rPr>
  </w:style>
  <w:style w:type="paragraph" w:styleId="Footer">
    <w:name w:val="footer"/>
    <w:basedOn w:val="Normal"/>
    <w:link w:val="FooterChar"/>
    <w:uiPriority w:val="99"/>
    <w:unhideWhenUsed/>
    <w:rsid w:val="00987BA8"/>
    <w:pPr>
      <w:tabs>
        <w:tab w:val="center" w:pos="4536"/>
        <w:tab w:val="right" w:pos="9072"/>
      </w:tabs>
    </w:pPr>
  </w:style>
  <w:style w:type="character" w:customStyle="1" w:styleId="FooterChar">
    <w:name w:val="Footer Char"/>
    <w:basedOn w:val="DefaultParagraphFont"/>
    <w:link w:val="Footer"/>
    <w:uiPriority w:val="99"/>
    <w:rsid w:val="00987BA8"/>
    <w:rPr>
      <w:rFonts w:ascii="Arial" w:eastAsiaTheme="minorEastAsia" w:hAnsi="Arial"/>
      <w:sz w:val="24"/>
      <w:lang w:eastAsia="zh-CN"/>
    </w:rPr>
  </w:style>
  <w:style w:type="character" w:customStyle="1" w:styleId="st">
    <w:name w:val="st"/>
    <w:basedOn w:val="DefaultParagraphFont"/>
    <w:rsid w:val="009C5980"/>
  </w:style>
  <w:style w:type="paragraph" w:customStyle="1" w:styleId="Default">
    <w:name w:val="Default"/>
    <w:rsid w:val="005C5330"/>
    <w:pPr>
      <w:autoSpaceDE w:val="0"/>
      <w:autoSpaceDN w:val="0"/>
      <w:adjustRightInd w:val="0"/>
      <w:spacing w:after="0"/>
    </w:pPr>
    <w:rPr>
      <w:rFonts w:ascii="ScalaSansOT-Bold" w:hAnsi="ScalaSansOT-Bold" w:cs="ScalaSansOT-Bold"/>
      <w:color w:val="000000"/>
      <w:sz w:val="24"/>
      <w:szCs w:val="24"/>
      <w:lang w:val="nl-NL"/>
    </w:rPr>
  </w:style>
  <w:style w:type="character" w:customStyle="1" w:styleId="A0">
    <w:name w:val="A0"/>
    <w:uiPriority w:val="99"/>
    <w:rsid w:val="005C5330"/>
    <w:rPr>
      <w:rFonts w:cs="ScalaSansOT-Bold"/>
      <w:b/>
      <w:bCs/>
      <w:color w:val="000000"/>
      <w:sz w:val="120"/>
      <w:szCs w:val="120"/>
    </w:rPr>
  </w:style>
  <w:style w:type="character" w:styleId="FollowedHyperlink">
    <w:name w:val="FollowedHyperlink"/>
    <w:basedOn w:val="DefaultParagraphFont"/>
    <w:uiPriority w:val="99"/>
    <w:semiHidden/>
    <w:unhideWhenUsed/>
    <w:rsid w:val="00162B51"/>
    <w:rPr>
      <w:color w:val="800080" w:themeColor="followedHyperlink"/>
      <w:u w:val="single"/>
    </w:rPr>
  </w:style>
  <w:style w:type="paragraph" w:customStyle="1" w:styleId="Pa5">
    <w:name w:val="Pa5"/>
    <w:basedOn w:val="Default"/>
    <w:next w:val="Default"/>
    <w:uiPriority w:val="99"/>
    <w:rsid w:val="0008551C"/>
    <w:pPr>
      <w:spacing w:line="201" w:lineRule="atLeast"/>
    </w:pPr>
    <w:rPr>
      <w:rFonts w:ascii="RijksoverheidSansText" w:hAnsi="RijksoverheidSansText" w:cstheme="minorBidi"/>
      <w:color w:val="auto"/>
    </w:rPr>
  </w:style>
  <w:style w:type="character" w:customStyle="1" w:styleId="Onopgelostemelding2">
    <w:name w:val="Onopgeloste melding2"/>
    <w:basedOn w:val="DefaultParagraphFont"/>
    <w:uiPriority w:val="99"/>
    <w:semiHidden/>
    <w:unhideWhenUsed/>
    <w:rsid w:val="000A6F52"/>
    <w:rPr>
      <w:color w:val="605E5C"/>
      <w:shd w:val="clear" w:color="auto" w:fill="E1DFDD"/>
    </w:rPr>
  </w:style>
  <w:style w:type="character" w:customStyle="1" w:styleId="tlid-translation">
    <w:name w:val="tlid-translation"/>
    <w:basedOn w:val="DefaultParagraphFont"/>
    <w:rsid w:val="006463D5"/>
  </w:style>
  <w:style w:type="paragraph" w:customStyle="1" w:styleId="al">
    <w:name w:val="al"/>
    <w:basedOn w:val="Normal"/>
    <w:rsid w:val="009A769D"/>
    <w:pPr>
      <w:spacing w:before="100" w:beforeAutospacing="1" w:after="100" w:afterAutospacing="1"/>
    </w:pPr>
    <w:rPr>
      <w:rFonts w:ascii="Times New Roman" w:eastAsia="Times New Roman" w:hAnsi="Times New Roman" w:cs="Times New Roman"/>
      <w:szCs w:val="24"/>
      <w:lang w:val="nl-NL" w:eastAsia="nl-NL"/>
    </w:rPr>
  </w:style>
  <w:style w:type="character" w:customStyle="1" w:styleId="italic">
    <w:name w:val="italic"/>
    <w:basedOn w:val="DefaultParagraphFont"/>
    <w:rsid w:val="009A769D"/>
  </w:style>
  <w:style w:type="character" w:customStyle="1" w:styleId="text1">
    <w:name w:val="text1"/>
    <w:basedOn w:val="DefaultParagraphFont"/>
    <w:rsid w:val="009C2211"/>
  </w:style>
  <w:style w:type="character" w:styleId="Strong">
    <w:name w:val="Strong"/>
    <w:basedOn w:val="DefaultParagraphFont"/>
    <w:uiPriority w:val="22"/>
    <w:qFormat/>
    <w:rsid w:val="001C7677"/>
    <w:rPr>
      <w:b/>
      <w:bCs/>
    </w:rPr>
  </w:style>
  <w:style w:type="paragraph" w:customStyle="1" w:styleId="artikelkop">
    <w:name w:val="artikel_kop"/>
    <w:basedOn w:val="Normal"/>
    <w:rsid w:val="00EC74AF"/>
    <w:pPr>
      <w:spacing w:before="100" w:beforeAutospacing="1" w:after="100" w:afterAutospacing="1"/>
    </w:pPr>
    <w:rPr>
      <w:rFonts w:ascii="Times New Roman" w:eastAsia="Times New Roman" w:hAnsi="Times New Roman" w:cs="Times New Roman"/>
      <w:szCs w:val="24"/>
      <w:lang w:val="nl-NL" w:eastAsia="nl-NL"/>
    </w:rPr>
  </w:style>
  <w:style w:type="character" w:customStyle="1" w:styleId="artikelkop1">
    <w:name w:val="artikel_kop1"/>
    <w:basedOn w:val="DefaultParagraphFont"/>
    <w:rsid w:val="00EC74AF"/>
  </w:style>
  <w:style w:type="paragraph" w:customStyle="1" w:styleId="plid">
    <w:name w:val="_p_lid"/>
    <w:basedOn w:val="Normal"/>
    <w:rsid w:val="00EC74AF"/>
    <w:pPr>
      <w:spacing w:before="100" w:beforeAutospacing="1" w:after="100" w:afterAutospacing="1"/>
    </w:pPr>
    <w:rPr>
      <w:rFonts w:ascii="Times New Roman" w:eastAsia="Times New Roman" w:hAnsi="Times New Roman" w:cs="Times New Roman"/>
      <w:szCs w:val="24"/>
      <w:lang w:val="nl-NL" w:eastAsia="nl-NL"/>
    </w:rPr>
  </w:style>
  <w:style w:type="character" w:customStyle="1" w:styleId="A7">
    <w:name w:val="A7"/>
    <w:uiPriority w:val="99"/>
    <w:rsid w:val="00614764"/>
    <w:rPr>
      <w:rFonts w:cs="RijksoverheidSansText"/>
      <w:color w:val="000000"/>
      <w:sz w:val="42"/>
      <w:szCs w:val="42"/>
    </w:rPr>
  </w:style>
  <w:style w:type="table" w:styleId="TableGrid">
    <w:name w:val="Table Grid"/>
    <w:basedOn w:val="TableNormal"/>
    <w:uiPriority w:val="59"/>
    <w:rsid w:val="0061748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6A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AA7"/>
    <w:rPr>
      <w:rFonts w:ascii="Segoe UI" w:eastAsiaTheme="minorEastAsia" w:hAnsi="Segoe UI" w:cs="Segoe UI"/>
      <w:sz w:val="18"/>
      <w:szCs w:val="18"/>
      <w:lang w:eastAsia="zh-CN"/>
    </w:rPr>
  </w:style>
  <w:style w:type="character" w:customStyle="1" w:styleId="Onopgelostemelding3">
    <w:name w:val="Onopgeloste melding3"/>
    <w:basedOn w:val="DefaultParagraphFont"/>
    <w:uiPriority w:val="99"/>
    <w:semiHidden/>
    <w:unhideWhenUsed/>
    <w:rsid w:val="0099722C"/>
    <w:rPr>
      <w:color w:val="605E5C"/>
      <w:shd w:val="clear" w:color="auto" w:fill="E1DFDD"/>
    </w:rPr>
  </w:style>
  <w:style w:type="paragraph" w:styleId="Revision">
    <w:name w:val="Revision"/>
    <w:hidden/>
    <w:uiPriority w:val="99"/>
    <w:semiHidden/>
    <w:rsid w:val="00DE35BE"/>
    <w:pPr>
      <w:spacing w:after="0"/>
    </w:pPr>
    <w:rPr>
      <w:rFonts w:ascii="Arial" w:eastAsiaTheme="minorEastAsia" w:hAnsi="Arial"/>
      <w:sz w:val="24"/>
      <w:lang w:eastAsia="zh-CN"/>
    </w:rPr>
  </w:style>
  <w:style w:type="character" w:customStyle="1" w:styleId="UnresolvedMention">
    <w:name w:val="Unresolved Mention"/>
    <w:basedOn w:val="DefaultParagraphFont"/>
    <w:uiPriority w:val="99"/>
    <w:semiHidden/>
    <w:unhideWhenUsed/>
    <w:rsid w:val="007C7DE6"/>
    <w:rPr>
      <w:color w:val="605E5C"/>
      <w:shd w:val="clear" w:color="auto" w:fill="E1DFDD"/>
    </w:rPr>
  </w:style>
  <w:style w:type="character" w:customStyle="1" w:styleId="bookcontent-title">
    <w:name w:val="bookcontent-title"/>
    <w:basedOn w:val="DefaultParagraphFont"/>
    <w:rsid w:val="00914F2E"/>
  </w:style>
  <w:style w:type="character" w:customStyle="1" w:styleId="bookcontent-subtitle">
    <w:name w:val="bookcontent-subtitle"/>
    <w:basedOn w:val="DefaultParagraphFont"/>
    <w:rsid w:val="00914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5955">
      <w:bodyDiv w:val="1"/>
      <w:marLeft w:val="0"/>
      <w:marRight w:val="0"/>
      <w:marTop w:val="0"/>
      <w:marBottom w:val="0"/>
      <w:divBdr>
        <w:top w:val="none" w:sz="0" w:space="0" w:color="auto"/>
        <w:left w:val="none" w:sz="0" w:space="0" w:color="auto"/>
        <w:bottom w:val="none" w:sz="0" w:space="0" w:color="auto"/>
        <w:right w:val="none" w:sz="0" w:space="0" w:color="auto"/>
      </w:divBdr>
    </w:div>
    <w:div w:id="31615785">
      <w:bodyDiv w:val="1"/>
      <w:marLeft w:val="0"/>
      <w:marRight w:val="0"/>
      <w:marTop w:val="0"/>
      <w:marBottom w:val="0"/>
      <w:divBdr>
        <w:top w:val="none" w:sz="0" w:space="0" w:color="auto"/>
        <w:left w:val="none" w:sz="0" w:space="0" w:color="auto"/>
        <w:bottom w:val="none" w:sz="0" w:space="0" w:color="auto"/>
        <w:right w:val="none" w:sz="0" w:space="0" w:color="auto"/>
      </w:divBdr>
    </w:div>
    <w:div w:id="139613458">
      <w:bodyDiv w:val="1"/>
      <w:marLeft w:val="0"/>
      <w:marRight w:val="0"/>
      <w:marTop w:val="0"/>
      <w:marBottom w:val="0"/>
      <w:divBdr>
        <w:top w:val="none" w:sz="0" w:space="0" w:color="auto"/>
        <w:left w:val="none" w:sz="0" w:space="0" w:color="auto"/>
        <w:bottom w:val="none" w:sz="0" w:space="0" w:color="auto"/>
        <w:right w:val="none" w:sz="0" w:space="0" w:color="auto"/>
      </w:divBdr>
      <w:divsChild>
        <w:div w:id="1597639730">
          <w:marLeft w:val="0"/>
          <w:marRight w:val="0"/>
          <w:marTop w:val="0"/>
          <w:marBottom w:val="0"/>
          <w:divBdr>
            <w:top w:val="none" w:sz="0" w:space="0" w:color="auto"/>
            <w:left w:val="none" w:sz="0" w:space="0" w:color="auto"/>
            <w:bottom w:val="none" w:sz="0" w:space="0" w:color="auto"/>
            <w:right w:val="none" w:sz="0" w:space="0" w:color="auto"/>
          </w:divBdr>
          <w:divsChild>
            <w:div w:id="1270694972">
              <w:marLeft w:val="0"/>
              <w:marRight w:val="0"/>
              <w:marTop w:val="0"/>
              <w:marBottom w:val="0"/>
              <w:divBdr>
                <w:top w:val="none" w:sz="0" w:space="0" w:color="auto"/>
                <w:left w:val="none" w:sz="0" w:space="0" w:color="auto"/>
                <w:bottom w:val="none" w:sz="0" w:space="0" w:color="auto"/>
                <w:right w:val="none" w:sz="0" w:space="0" w:color="auto"/>
              </w:divBdr>
            </w:div>
          </w:divsChild>
        </w:div>
        <w:div w:id="1781608732">
          <w:marLeft w:val="0"/>
          <w:marRight w:val="0"/>
          <w:marTop w:val="0"/>
          <w:marBottom w:val="0"/>
          <w:divBdr>
            <w:top w:val="none" w:sz="0" w:space="0" w:color="auto"/>
            <w:left w:val="none" w:sz="0" w:space="0" w:color="auto"/>
            <w:bottom w:val="none" w:sz="0" w:space="0" w:color="auto"/>
            <w:right w:val="none" w:sz="0" w:space="0" w:color="auto"/>
          </w:divBdr>
          <w:divsChild>
            <w:div w:id="160106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562216">
      <w:bodyDiv w:val="1"/>
      <w:marLeft w:val="0"/>
      <w:marRight w:val="0"/>
      <w:marTop w:val="0"/>
      <w:marBottom w:val="0"/>
      <w:divBdr>
        <w:top w:val="none" w:sz="0" w:space="0" w:color="auto"/>
        <w:left w:val="none" w:sz="0" w:space="0" w:color="auto"/>
        <w:bottom w:val="none" w:sz="0" w:space="0" w:color="auto"/>
        <w:right w:val="none" w:sz="0" w:space="0" w:color="auto"/>
      </w:divBdr>
    </w:div>
    <w:div w:id="254173387">
      <w:bodyDiv w:val="1"/>
      <w:marLeft w:val="0"/>
      <w:marRight w:val="0"/>
      <w:marTop w:val="0"/>
      <w:marBottom w:val="0"/>
      <w:divBdr>
        <w:top w:val="none" w:sz="0" w:space="0" w:color="auto"/>
        <w:left w:val="none" w:sz="0" w:space="0" w:color="auto"/>
        <w:bottom w:val="none" w:sz="0" w:space="0" w:color="auto"/>
        <w:right w:val="none" w:sz="0" w:space="0" w:color="auto"/>
      </w:divBdr>
    </w:div>
    <w:div w:id="272174002">
      <w:bodyDiv w:val="1"/>
      <w:marLeft w:val="0"/>
      <w:marRight w:val="0"/>
      <w:marTop w:val="0"/>
      <w:marBottom w:val="0"/>
      <w:divBdr>
        <w:top w:val="none" w:sz="0" w:space="0" w:color="auto"/>
        <w:left w:val="none" w:sz="0" w:space="0" w:color="auto"/>
        <w:bottom w:val="none" w:sz="0" w:space="0" w:color="auto"/>
        <w:right w:val="none" w:sz="0" w:space="0" w:color="auto"/>
      </w:divBdr>
      <w:divsChild>
        <w:div w:id="960526468">
          <w:marLeft w:val="0"/>
          <w:marRight w:val="0"/>
          <w:marTop w:val="0"/>
          <w:marBottom w:val="0"/>
          <w:divBdr>
            <w:top w:val="none" w:sz="0" w:space="0" w:color="auto"/>
            <w:left w:val="none" w:sz="0" w:space="0" w:color="auto"/>
            <w:bottom w:val="none" w:sz="0" w:space="0" w:color="auto"/>
            <w:right w:val="none" w:sz="0" w:space="0" w:color="auto"/>
          </w:divBdr>
        </w:div>
      </w:divsChild>
    </w:div>
    <w:div w:id="276065606">
      <w:bodyDiv w:val="1"/>
      <w:marLeft w:val="0"/>
      <w:marRight w:val="0"/>
      <w:marTop w:val="0"/>
      <w:marBottom w:val="0"/>
      <w:divBdr>
        <w:top w:val="none" w:sz="0" w:space="0" w:color="auto"/>
        <w:left w:val="none" w:sz="0" w:space="0" w:color="auto"/>
        <w:bottom w:val="none" w:sz="0" w:space="0" w:color="auto"/>
        <w:right w:val="none" w:sz="0" w:space="0" w:color="auto"/>
      </w:divBdr>
    </w:div>
    <w:div w:id="327445738">
      <w:bodyDiv w:val="1"/>
      <w:marLeft w:val="0"/>
      <w:marRight w:val="0"/>
      <w:marTop w:val="0"/>
      <w:marBottom w:val="0"/>
      <w:divBdr>
        <w:top w:val="none" w:sz="0" w:space="0" w:color="auto"/>
        <w:left w:val="none" w:sz="0" w:space="0" w:color="auto"/>
        <w:bottom w:val="none" w:sz="0" w:space="0" w:color="auto"/>
        <w:right w:val="none" w:sz="0" w:space="0" w:color="auto"/>
      </w:divBdr>
    </w:div>
    <w:div w:id="340738721">
      <w:bodyDiv w:val="1"/>
      <w:marLeft w:val="0"/>
      <w:marRight w:val="0"/>
      <w:marTop w:val="0"/>
      <w:marBottom w:val="0"/>
      <w:divBdr>
        <w:top w:val="none" w:sz="0" w:space="0" w:color="auto"/>
        <w:left w:val="none" w:sz="0" w:space="0" w:color="auto"/>
        <w:bottom w:val="none" w:sz="0" w:space="0" w:color="auto"/>
        <w:right w:val="none" w:sz="0" w:space="0" w:color="auto"/>
      </w:divBdr>
    </w:div>
    <w:div w:id="374277847">
      <w:bodyDiv w:val="1"/>
      <w:marLeft w:val="0"/>
      <w:marRight w:val="0"/>
      <w:marTop w:val="0"/>
      <w:marBottom w:val="0"/>
      <w:divBdr>
        <w:top w:val="none" w:sz="0" w:space="0" w:color="auto"/>
        <w:left w:val="none" w:sz="0" w:space="0" w:color="auto"/>
        <w:bottom w:val="none" w:sz="0" w:space="0" w:color="auto"/>
        <w:right w:val="none" w:sz="0" w:space="0" w:color="auto"/>
      </w:divBdr>
      <w:divsChild>
        <w:div w:id="2102755040">
          <w:marLeft w:val="0"/>
          <w:marRight w:val="0"/>
          <w:marTop w:val="0"/>
          <w:marBottom w:val="0"/>
          <w:divBdr>
            <w:top w:val="none" w:sz="0" w:space="0" w:color="auto"/>
            <w:left w:val="none" w:sz="0" w:space="0" w:color="auto"/>
            <w:bottom w:val="none" w:sz="0" w:space="0" w:color="auto"/>
            <w:right w:val="none" w:sz="0" w:space="0" w:color="auto"/>
          </w:divBdr>
        </w:div>
        <w:div w:id="61295633">
          <w:marLeft w:val="0"/>
          <w:marRight w:val="0"/>
          <w:marTop w:val="0"/>
          <w:marBottom w:val="0"/>
          <w:divBdr>
            <w:top w:val="none" w:sz="0" w:space="0" w:color="auto"/>
            <w:left w:val="none" w:sz="0" w:space="0" w:color="auto"/>
            <w:bottom w:val="none" w:sz="0" w:space="0" w:color="auto"/>
            <w:right w:val="none" w:sz="0" w:space="0" w:color="auto"/>
          </w:divBdr>
        </w:div>
        <w:div w:id="1194344681">
          <w:marLeft w:val="0"/>
          <w:marRight w:val="0"/>
          <w:marTop w:val="0"/>
          <w:marBottom w:val="0"/>
          <w:divBdr>
            <w:top w:val="none" w:sz="0" w:space="0" w:color="auto"/>
            <w:left w:val="none" w:sz="0" w:space="0" w:color="auto"/>
            <w:bottom w:val="none" w:sz="0" w:space="0" w:color="auto"/>
            <w:right w:val="none" w:sz="0" w:space="0" w:color="auto"/>
          </w:divBdr>
        </w:div>
        <w:div w:id="985860206">
          <w:marLeft w:val="0"/>
          <w:marRight w:val="0"/>
          <w:marTop w:val="0"/>
          <w:marBottom w:val="0"/>
          <w:divBdr>
            <w:top w:val="none" w:sz="0" w:space="0" w:color="auto"/>
            <w:left w:val="none" w:sz="0" w:space="0" w:color="auto"/>
            <w:bottom w:val="none" w:sz="0" w:space="0" w:color="auto"/>
            <w:right w:val="none" w:sz="0" w:space="0" w:color="auto"/>
          </w:divBdr>
        </w:div>
        <w:div w:id="2127502043">
          <w:marLeft w:val="0"/>
          <w:marRight w:val="0"/>
          <w:marTop w:val="0"/>
          <w:marBottom w:val="0"/>
          <w:divBdr>
            <w:top w:val="none" w:sz="0" w:space="0" w:color="auto"/>
            <w:left w:val="none" w:sz="0" w:space="0" w:color="auto"/>
            <w:bottom w:val="none" w:sz="0" w:space="0" w:color="auto"/>
            <w:right w:val="none" w:sz="0" w:space="0" w:color="auto"/>
          </w:divBdr>
        </w:div>
        <w:div w:id="1344550870">
          <w:marLeft w:val="0"/>
          <w:marRight w:val="0"/>
          <w:marTop w:val="0"/>
          <w:marBottom w:val="0"/>
          <w:divBdr>
            <w:top w:val="none" w:sz="0" w:space="0" w:color="auto"/>
            <w:left w:val="none" w:sz="0" w:space="0" w:color="auto"/>
            <w:bottom w:val="none" w:sz="0" w:space="0" w:color="auto"/>
            <w:right w:val="none" w:sz="0" w:space="0" w:color="auto"/>
          </w:divBdr>
        </w:div>
        <w:div w:id="772550455">
          <w:marLeft w:val="0"/>
          <w:marRight w:val="0"/>
          <w:marTop w:val="0"/>
          <w:marBottom w:val="0"/>
          <w:divBdr>
            <w:top w:val="none" w:sz="0" w:space="0" w:color="auto"/>
            <w:left w:val="none" w:sz="0" w:space="0" w:color="auto"/>
            <w:bottom w:val="none" w:sz="0" w:space="0" w:color="auto"/>
            <w:right w:val="none" w:sz="0" w:space="0" w:color="auto"/>
          </w:divBdr>
        </w:div>
        <w:div w:id="1486356894">
          <w:marLeft w:val="0"/>
          <w:marRight w:val="0"/>
          <w:marTop w:val="0"/>
          <w:marBottom w:val="0"/>
          <w:divBdr>
            <w:top w:val="none" w:sz="0" w:space="0" w:color="auto"/>
            <w:left w:val="none" w:sz="0" w:space="0" w:color="auto"/>
            <w:bottom w:val="none" w:sz="0" w:space="0" w:color="auto"/>
            <w:right w:val="none" w:sz="0" w:space="0" w:color="auto"/>
          </w:divBdr>
        </w:div>
        <w:div w:id="78257268">
          <w:marLeft w:val="0"/>
          <w:marRight w:val="0"/>
          <w:marTop w:val="0"/>
          <w:marBottom w:val="0"/>
          <w:divBdr>
            <w:top w:val="none" w:sz="0" w:space="0" w:color="auto"/>
            <w:left w:val="none" w:sz="0" w:space="0" w:color="auto"/>
            <w:bottom w:val="none" w:sz="0" w:space="0" w:color="auto"/>
            <w:right w:val="none" w:sz="0" w:space="0" w:color="auto"/>
          </w:divBdr>
        </w:div>
      </w:divsChild>
    </w:div>
    <w:div w:id="388383747">
      <w:bodyDiv w:val="1"/>
      <w:marLeft w:val="0"/>
      <w:marRight w:val="0"/>
      <w:marTop w:val="0"/>
      <w:marBottom w:val="0"/>
      <w:divBdr>
        <w:top w:val="none" w:sz="0" w:space="0" w:color="auto"/>
        <w:left w:val="none" w:sz="0" w:space="0" w:color="auto"/>
        <w:bottom w:val="none" w:sz="0" w:space="0" w:color="auto"/>
        <w:right w:val="none" w:sz="0" w:space="0" w:color="auto"/>
      </w:divBdr>
    </w:div>
    <w:div w:id="427165260">
      <w:bodyDiv w:val="1"/>
      <w:marLeft w:val="0"/>
      <w:marRight w:val="0"/>
      <w:marTop w:val="0"/>
      <w:marBottom w:val="0"/>
      <w:divBdr>
        <w:top w:val="none" w:sz="0" w:space="0" w:color="auto"/>
        <w:left w:val="none" w:sz="0" w:space="0" w:color="auto"/>
        <w:bottom w:val="none" w:sz="0" w:space="0" w:color="auto"/>
        <w:right w:val="none" w:sz="0" w:space="0" w:color="auto"/>
      </w:divBdr>
    </w:div>
    <w:div w:id="459153607">
      <w:bodyDiv w:val="1"/>
      <w:marLeft w:val="0"/>
      <w:marRight w:val="0"/>
      <w:marTop w:val="0"/>
      <w:marBottom w:val="0"/>
      <w:divBdr>
        <w:top w:val="none" w:sz="0" w:space="0" w:color="auto"/>
        <w:left w:val="none" w:sz="0" w:space="0" w:color="auto"/>
        <w:bottom w:val="none" w:sz="0" w:space="0" w:color="auto"/>
        <w:right w:val="none" w:sz="0" w:space="0" w:color="auto"/>
      </w:divBdr>
    </w:div>
    <w:div w:id="478612289">
      <w:bodyDiv w:val="1"/>
      <w:marLeft w:val="0"/>
      <w:marRight w:val="0"/>
      <w:marTop w:val="0"/>
      <w:marBottom w:val="0"/>
      <w:divBdr>
        <w:top w:val="none" w:sz="0" w:space="0" w:color="auto"/>
        <w:left w:val="none" w:sz="0" w:space="0" w:color="auto"/>
        <w:bottom w:val="none" w:sz="0" w:space="0" w:color="auto"/>
        <w:right w:val="none" w:sz="0" w:space="0" w:color="auto"/>
      </w:divBdr>
      <w:divsChild>
        <w:div w:id="288128263">
          <w:marLeft w:val="0"/>
          <w:marRight w:val="0"/>
          <w:marTop w:val="0"/>
          <w:marBottom w:val="0"/>
          <w:divBdr>
            <w:top w:val="none" w:sz="0" w:space="0" w:color="auto"/>
            <w:left w:val="none" w:sz="0" w:space="0" w:color="auto"/>
            <w:bottom w:val="none" w:sz="0" w:space="0" w:color="auto"/>
            <w:right w:val="none" w:sz="0" w:space="0" w:color="auto"/>
          </w:divBdr>
        </w:div>
      </w:divsChild>
    </w:div>
    <w:div w:id="544685361">
      <w:bodyDiv w:val="1"/>
      <w:marLeft w:val="0"/>
      <w:marRight w:val="0"/>
      <w:marTop w:val="0"/>
      <w:marBottom w:val="0"/>
      <w:divBdr>
        <w:top w:val="none" w:sz="0" w:space="0" w:color="auto"/>
        <w:left w:val="none" w:sz="0" w:space="0" w:color="auto"/>
        <w:bottom w:val="none" w:sz="0" w:space="0" w:color="auto"/>
        <w:right w:val="none" w:sz="0" w:space="0" w:color="auto"/>
      </w:divBdr>
    </w:div>
    <w:div w:id="629097888">
      <w:bodyDiv w:val="1"/>
      <w:marLeft w:val="0"/>
      <w:marRight w:val="0"/>
      <w:marTop w:val="0"/>
      <w:marBottom w:val="0"/>
      <w:divBdr>
        <w:top w:val="none" w:sz="0" w:space="0" w:color="auto"/>
        <w:left w:val="none" w:sz="0" w:space="0" w:color="auto"/>
        <w:bottom w:val="none" w:sz="0" w:space="0" w:color="auto"/>
        <w:right w:val="none" w:sz="0" w:space="0" w:color="auto"/>
      </w:divBdr>
      <w:divsChild>
        <w:div w:id="1065688338">
          <w:marLeft w:val="0"/>
          <w:marRight w:val="0"/>
          <w:marTop w:val="0"/>
          <w:marBottom w:val="0"/>
          <w:divBdr>
            <w:top w:val="none" w:sz="0" w:space="0" w:color="auto"/>
            <w:left w:val="none" w:sz="0" w:space="0" w:color="auto"/>
            <w:bottom w:val="none" w:sz="0" w:space="0" w:color="auto"/>
            <w:right w:val="none" w:sz="0" w:space="0" w:color="auto"/>
          </w:divBdr>
        </w:div>
        <w:div w:id="1488747279">
          <w:marLeft w:val="0"/>
          <w:marRight w:val="0"/>
          <w:marTop w:val="0"/>
          <w:marBottom w:val="0"/>
          <w:divBdr>
            <w:top w:val="none" w:sz="0" w:space="0" w:color="auto"/>
            <w:left w:val="none" w:sz="0" w:space="0" w:color="auto"/>
            <w:bottom w:val="none" w:sz="0" w:space="0" w:color="auto"/>
            <w:right w:val="none" w:sz="0" w:space="0" w:color="auto"/>
          </w:divBdr>
        </w:div>
      </w:divsChild>
    </w:div>
    <w:div w:id="676925957">
      <w:bodyDiv w:val="1"/>
      <w:marLeft w:val="0"/>
      <w:marRight w:val="0"/>
      <w:marTop w:val="0"/>
      <w:marBottom w:val="0"/>
      <w:divBdr>
        <w:top w:val="none" w:sz="0" w:space="0" w:color="auto"/>
        <w:left w:val="none" w:sz="0" w:space="0" w:color="auto"/>
        <w:bottom w:val="none" w:sz="0" w:space="0" w:color="auto"/>
        <w:right w:val="none" w:sz="0" w:space="0" w:color="auto"/>
      </w:divBdr>
    </w:div>
    <w:div w:id="679620520">
      <w:bodyDiv w:val="1"/>
      <w:marLeft w:val="0"/>
      <w:marRight w:val="0"/>
      <w:marTop w:val="0"/>
      <w:marBottom w:val="0"/>
      <w:divBdr>
        <w:top w:val="none" w:sz="0" w:space="0" w:color="auto"/>
        <w:left w:val="none" w:sz="0" w:space="0" w:color="auto"/>
        <w:bottom w:val="none" w:sz="0" w:space="0" w:color="auto"/>
        <w:right w:val="none" w:sz="0" w:space="0" w:color="auto"/>
      </w:divBdr>
    </w:div>
    <w:div w:id="685055796">
      <w:bodyDiv w:val="1"/>
      <w:marLeft w:val="0"/>
      <w:marRight w:val="0"/>
      <w:marTop w:val="0"/>
      <w:marBottom w:val="0"/>
      <w:divBdr>
        <w:top w:val="none" w:sz="0" w:space="0" w:color="auto"/>
        <w:left w:val="none" w:sz="0" w:space="0" w:color="auto"/>
        <w:bottom w:val="none" w:sz="0" w:space="0" w:color="auto"/>
        <w:right w:val="none" w:sz="0" w:space="0" w:color="auto"/>
      </w:divBdr>
    </w:div>
    <w:div w:id="760419611">
      <w:bodyDiv w:val="1"/>
      <w:marLeft w:val="0"/>
      <w:marRight w:val="0"/>
      <w:marTop w:val="0"/>
      <w:marBottom w:val="0"/>
      <w:divBdr>
        <w:top w:val="none" w:sz="0" w:space="0" w:color="auto"/>
        <w:left w:val="none" w:sz="0" w:space="0" w:color="auto"/>
        <w:bottom w:val="none" w:sz="0" w:space="0" w:color="auto"/>
        <w:right w:val="none" w:sz="0" w:space="0" w:color="auto"/>
      </w:divBdr>
    </w:div>
    <w:div w:id="770248739">
      <w:bodyDiv w:val="1"/>
      <w:marLeft w:val="0"/>
      <w:marRight w:val="0"/>
      <w:marTop w:val="0"/>
      <w:marBottom w:val="0"/>
      <w:divBdr>
        <w:top w:val="none" w:sz="0" w:space="0" w:color="auto"/>
        <w:left w:val="none" w:sz="0" w:space="0" w:color="auto"/>
        <w:bottom w:val="none" w:sz="0" w:space="0" w:color="auto"/>
        <w:right w:val="none" w:sz="0" w:space="0" w:color="auto"/>
      </w:divBdr>
      <w:divsChild>
        <w:div w:id="790710951">
          <w:marLeft w:val="0"/>
          <w:marRight w:val="0"/>
          <w:marTop w:val="0"/>
          <w:marBottom w:val="0"/>
          <w:divBdr>
            <w:top w:val="none" w:sz="0" w:space="0" w:color="auto"/>
            <w:left w:val="none" w:sz="0" w:space="0" w:color="auto"/>
            <w:bottom w:val="none" w:sz="0" w:space="0" w:color="auto"/>
            <w:right w:val="none" w:sz="0" w:space="0" w:color="auto"/>
          </w:divBdr>
        </w:div>
        <w:div w:id="155534526">
          <w:marLeft w:val="0"/>
          <w:marRight w:val="0"/>
          <w:marTop w:val="0"/>
          <w:marBottom w:val="0"/>
          <w:divBdr>
            <w:top w:val="none" w:sz="0" w:space="0" w:color="auto"/>
            <w:left w:val="none" w:sz="0" w:space="0" w:color="auto"/>
            <w:bottom w:val="none" w:sz="0" w:space="0" w:color="auto"/>
            <w:right w:val="none" w:sz="0" w:space="0" w:color="auto"/>
          </w:divBdr>
        </w:div>
        <w:div w:id="1441146667">
          <w:marLeft w:val="0"/>
          <w:marRight w:val="0"/>
          <w:marTop w:val="0"/>
          <w:marBottom w:val="0"/>
          <w:divBdr>
            <w:top w:val="none" w:sz="0" w:space="0" w:color="auto"/>
            <w:left w:val="none" w:sz="0" w:space="0" w:color="auto"/>
            <w:bottom w:val="none" w:sz="0" w:space="0" w:color="auto"/>
            <w:right w:val="none" w:sz="0" w:space="0" w:color="auto"/>
          </w:divBdr>
        </w:div>
      </w:divsChild>
    </w:div>
    <w:div w:id="774709387">
      <w:bodyDiv w:val="1"/>
      <w:marLeft w:val="0"/>
      <w:marRight w:val="0"/>
      <w:marTop w:val="0"/>
      <w:marBottom w:val="0"/>
      <w:divBdr>
        <w:top w:val="none" w:sz="0" w:space="0" w:color="auto"/>
        <w:left w:val="none" w:sz="0" w:space="0" w:color="auto"/>
        <w:bottom w:val="none" w:sz="0" w:space="0" w:color="auto"/>
        <w:right w:val="none" w:sz="0" w:space="0" w:color="auto"/>
      </w:divBdr>
    </w:div>
    <w:div w:id="782379557">
      <w:bodyDiv w:val="1"/>
      <w:marLeft w:val="0"/>
      <w:marRight w:val="0"/>
      <w:marTop w:val="0"/>
      <w:marBottom w:val="0"/>
      <w:divBdr>
        <w:top w:val="none" w:sz="0" w:space="0" w:color="auto"/>
        <w:left w:val="none" w:sz="0" w:space="0" w:color="auto"/>
        <w:bottom w:val="none" w:sz="0" w:space="0" w:color="auto"/>
        <w:right w:val="none" w:sz="0" w:space="0" w:color="auto"/>
      </w:divBdr>
    </w:div>
    <w:div w:id="800340720">
      <w:bodyDiv w:val="1"/>
      <w:marLeft w:val="0"/>
      <w:marRight w:val="0"/>
      <w:marTop w:val="0"/>
      <w:marBottom w:val="0"/>
      <w:divBdr>
        <w:top w:val="none" w:sz="0" w:space="0" w:color="auto"/>
        <w:left w:val="none" w:sz="0" w:space="0" w:color="auto"/>
        <w:bottom w:val="none" w:sz="0" w:space="0" w:color="auto"/>
        <w:right w:val="none" w:sz="0" w:space="0" w:color="auto"/>
      </w:divBdr>
    </w:div>
    <w:div w:id="851987965">
      <w:bodyDiv w:val="1"/>
      <w:marLeft w:val="0"/>
      <w:marRight w:val="0"/>
      <w:marTop w:val="0"/>
      <w:marBottom w:val="0"/>
      <w:divBdr>
        <w:top w:val="none" w:sz="0" w:space="0" w:color="auto"/>
        <w:left w:val="none" w:sz="0" w:space="0" w:color="auto"/>
        <w:bottom w:val="none" w:sz="0" w:space="0" w:color="auto"/>
        <w:right w:val="none" w:sz="0" w:space="0" w:color="auto"/>
      </w:divBdr>
      <w:divsChild>
        <w:div w:id="1320185213">
          <w:marLeft w:val="0"/>
          <w:marRight w:val="0"/>
          <w:marTop w:val="0"/>
          <w:marBottom w:val="0"/>
          <w:divBdr>
            <w:top w:val="none" w:sz="0" w:space="0" w:color="auto"/>
            <w:left w:val="none" w:sz="0" w:space="0" w:color="auto"/>
            <w:bottom w:val="none" w:sz="0" w:space="0" w:color="auto"/>
            <w:right w:val="none" w:sz="0" w:space="0" w:color="auto"/>
          </w:divBdr>
        </w:div>
        <w:div w:id="2069112634">
          <w:marLeft w:val="0"/>
          <w:marRight w:val="0"/>
          <w:marTop w:val="0"/>
          <w:marBottom w:val="0"/>
          <w:divBdr>
            <w:top w:val="none" w:sz="0" w:space="0" w:color="auto"/>
            <w:left w:val="none" w:sz="0" w:space="0" w:color="auto"/>
            <w:bottom w:val="none" w:sz="0" w:space="0" w:color="auto"/>
            <w:right w:val="none" w:sz="0" w:space="0" w:color="auto"/>
          </w:divBdr>
        </w:div>
        <w:div w:id="1747722660">
          <w:marLeft w:val="0"/>
          <w:marRight w:val="0"/>
          <w:marTop w:val="0"/>
          <w:marBottom w:val="0"/>
          <w:divBdr>
            <w:top w:val="none" w:sz="0" w:space="0" w:color="auto"/>
            <w:left w:val="none" w:sz="0" w:space="0" w:color="auto"/>
            <w:bottom w:val="none" w:sz="0" w:space="0" w:color="auto"/>
            <w:right w:val="none" w:sz="0" w:space="0" w:color="auto"/>
          </w:divBdr>
        </w:div>
        <w:div w:id="738406124">
          <w:marLeft w:val="0"/>
          <w:marRight w:val="0"/>
          <w:marTop w:val="0"/>
          <w:marBottom w:val="0"/>
          <w:divBdr>
            <w:top w:val="none" w:sz="0" w:space="0" w:color="auto"/>
            <w:left w:val="none" w:sz="0" w:space="0" w:color="auto"/>
            <w:bottom w:val="none" w:sz="0" w:space="0" w:color="auto"/>
            <w:right w:val="none" w:sz="0" w:space="0" w:color="auto"/>
          </w:divBdr>
        </w:div>
        <w:div w:id="984703627">
          <w:marLeft w:val="0"/>
          <w:marRight w:val="0"/>
          <w:marTop w:val="0"/>
          <w:marBottom w:val="0"/>
          <w:divBdr>
            <w:top w:val="none" w:sz="0" w:space="0" w:color="auto"/>
            <w:left w:val="none" w:sz="0" w:space="0" w:color="auto"/>
            <w:bottom w:val="none" w:sz="0" w:space="0" w:color="auto"/>
            <w:right w:val="none" w:sz="0" w:space="0" w:color="auto"/>
          </w:divBdr>
        </w:div>
        <w:div w:id="99616203">
          <w:marLeft w:val="0"/>
          <w:marRight w:val="0"/>
          <w:marTop w:val="0"/>
          <w:marBottom w:val="0"/>
          <w:divBdr>
            <w:top w:val="none" w:sz="0" w:space="0" w:color="auto"/>
            <w:left w:val="none" w:sz="0" w:space="0" w:color="auto"/>
            <w:bottom w:val="none" w:sz="0" w:space="0" w:color="auto"/>
            <w:right w:val="none" w:sz="0" w:space="0" w:color="auto"/>
          </w:divBdr>
        </w:div>
        <w:div w:id="1394353630">
          <w:marLeft w:val="0"/>
          <w:marRight w:val="0"/>
          <w:marTop w:val="0"/>
          <w:marBottom w:val="0"/>
          <w:divBdr>
            <w:top w:val="none" w:sz="0" w:space="0" w:color="auto"/>
            <w:left w:val="none" w:sz="0" w:space="0" w:color="auto"/>
            <w:bottom w:val="none" w:sz="0" w:space="0" w:color="auto"/>
            <w:right w:val="none" w:sz="0" w:space="0" w:color="auto"/>
          </w:divBdr>
        </w:div>
        <w:div w:id="918707701">
          <w:marLeft w:val="0"/>
          <w:marRight w:val="0"/>
          <w:marTop w:val="0"/>
          <w:marBottom w:val="0"/>
          <w:divBdr>
            <w:top w:val="none" w:sz="0" w:space="0" w:color="auto"/>
            <w:left w:val="none" w:sz="0" w:space="0" w:color="auto"/>
            <w:bottom w:val="none" w:sz="0" w:space="0" w:color="auto"/>
            <w:right w:val="none" w:sz="0" w:space="0" w:color="auto"/>
          </w:divBdr>
        </w:div>
      </w:divsChild>
    </w:div>
    <w:div w:id="873275420">
      <w:bodyDiv w:val="1"/>
      <w:marLeft w:val="0"/>
      <w:marRight w:val="0"/>
      <w:marTop w:val="0"/>
      <w:marBottom w:val="0"/>
      <w:divBdr>
        <w:top w:val="none" w:sz="0" w:space="0" w:color="auto"/>
        <w:left w:val="none" w:sz="0" w:space="0" w:color="auto"/>
        <w:bottom w:val="none" w:sz="0" w:space="0" w:color="auto"/>
        <w:right w:val="none" w:sz="0" w:space="0" w:color="auto"/>
      </w:divBdr>
    </w:div>
    <w:div w:id="880286817">
      <w:bodyDiv w:val="1"/>
      <w:marLeft w:val="0"/>
      <w:marRight w:val="0"/>
      <w:marTop w:val="0"/>
      <w:marBottom w:val="0"/>
      <w:divBdr>
        <w:top w:val="none" w:sz="0" w:space="0" w:color="auto"/>
        <w:left w:val="none" w:sz="0" w:space="0" w:color="auto"/>
        <w:bottom w:val="none" w:sz="0" w:space="0" w:color="auto"/>
        <w:right w:val="none" w:sz="0" w:space="0" w:color="auto"/>
      </w:divBdr>
    </w:div>
    <w:div w:id="884365561">
      <w:bodyDiv w:val="1"/>
      <w:marLeft w:val="0"/>
      <w:marRight w:val="0"/>
      <w:marTop w:val="0"/>
      <w:marBottom w:val="0"/>
      <w:divBdr>
        <w:top w:val="none" w:sz="0" w:space="0" w:color="auto"/>
        <w:left w:val="none" w:sz="0" w:space="0" w:color="auto"/>
        <w:bottom w:val="none" w:sz="0" w:space="0" w:color="auto"/>
        <w:right w:val="none" w:sz="0" w:space="0" w:color="auto"/>
      </w:divBdr>
      <w:divsChild>
        <w:div w:id="704410623">
          <w:marLeft w:val="0"/>
          <w:marRight w:val="0"/>
          <w:marTop w:val="0"/>
          <w:marBottom w:val="0"/>
          <w:divBdr>
            <w:top w:val="none" w:sz="0" w:space="0" w:color="auto"/>
            <w:left w:val="none" w:sz="0" w:space="0" w:color="auto"/>
            <w:bottom w:val="none" w:sz="0" w:space="0" w:color="auto"/>
            <w:right w:val="none" w:sz="0" w:space="0" w:color="auto"/>
          </w:divBdr>
        </w:div>
        <w:div w:id="979697726">
          <w:marLeft w:val="0"/>
          <w:marRight w:val="0"/>
          <w:marTop w:val="0"/>
          <w:marBottom w:val="0"/>
          <w:divBdr>
            <w:top w:val="none" w:sz="0" w:space="0" w:color="auto"/>
            <w:left w:val="none" w:sz="0" w:space="0" w:color="auto"/>
            <w:bottom w:val="none" w:sz="0" w:space="0" w:color="auto"/>
            <w:right w:val="none" w:sz="0" w:space="0" w:color="auto"/>
          </w:divBdr>
        </w:div>
        <w:div w:id="1506049217">
          <w:marLeft w:val="0"/>
          <w:marRight w:val="0"/>
          <w:marTop w:val="0"/>
          <w:marBottom w:val="0"/>
          <w:divBdr>
            <w:top w:val="none" w:sz="0" w:space="0" w:color="auto"/>
            <w:left w:val="none" w:sz="0" w:space="0" w:color="auto"/>
            <w:bottom w:val="none" w:sz="0" w:space="0" w:color="auto"/>
            <w:right w:val="none" w:sz="0" w:space="0" w:color="auto"/>
          </w:divBdr>
        </w:div>
      </w:divsChild>
    </w:div>
    <w:div w:id="968129365">
      <w:bodyDiv w:val="1"/>
      <w:marLeft w:val="0"/>
      <w:marRight w:val="0"/>
      <w:marTop w:val="0"/>
      <w:marBottom w:val="0"/>
      <w:divBdr>
        <w:top w:val="none" w:sz="0" w:space="0" w:color="auto"/>
        <w:left w:val="none" w:sz="0" w:space="0" w:color="auto"/>
        <w:bottom w:val="none" w:sz="0" w:space="0" w:color="auto"/>
        <w:right w:val="none" w:sz="0" w:space="0" w:color="auto"/>
      </w:divBdr>
    </w:div>
    <w:div w:id="976572127">
      <w:bodyDiv w:val="1"/>
      <w:marLeft w:val="0"/>
      <w:marRight w:val="0"/>
      <w:marTop w:val="0"/>
      <w:marBottom w:val="0"/>
      <w:divBdr>
        <w:top w:val="none" w:sz="0" w:space="0" w:color="auto"/>
        <w:left w:val="none" w:sz="0" w:space="0" w:color="auto"/>
        <w:bottom w:val="none" w:sz="0" w:space="0" w:color="auto"/>
        <w:right w:val="none" w:sz="0" w:space="0" w:color="auto"/>
      </w:divBdr>
    </w:div>
    <w:div w:id="1036928598">
      <w:bodyDiv w:val="1"/>
      <w:marLeft w:val="0"/>
      <w:marRight w:val="0"/>
      <w:marTop w:val="0"/>
      <w:marBottom w:val="0"/>
      <w:divBdr>
        <w:top w:val="none" w:sz="0" w:space="0" w:color="auto"/>
        <w:left w:val="none" w:sz="0" w:space="0" w:color="auto"/>
        <w:bottom w:val="none" w:sz="0" w:space="0" w:color="auto"/>
        <w:right w:val="none" w:sz="0" w:space="0" w:color="auto"/>
      </w:divBdr>
      <w:divsChild>
        <w:div w:id="1532720311">
          <w:marLeft w:val="0"/>
          <w:marRight w:val="0"/>
          <w:marTop w:val="0"/>
          <w:marBottom w:val="0"/>
          <w:divBdr>
            <w:top w:val="none" w:sz="0" w:space="0" w:color="auto"/>
            <w:left w:val="none" w:sz="0" w:space="0" w:color="auto"/>
            <w:bottom w:val="none" w:sz="0" w:space="0" w:color="auto"/>
            <w:right w:val="none" w:sz="0" w:space="0" w:color="auto"/>
          </w:divBdr>
        </w:div>
      </w:divsChild>
    </w:div>
    <w:div w:id="1037779753">
      <w:bodyDiv w:val="1"/>
      <w:marLeft w:val="0"/>
      <w:marRight w:val="0"/>
      <w:marTop w:val="0"/>
      <w:marBottom w:val="0"/>
      <w:divBdr>
        <w:top w:val="none" w:sz="0" w:space="0" w:color="auto"/>
        <w:left w:val="none" w:sz="0" w:space="0" w:color="auto"/>
        <w:bottom w:val="none" w:sz="0" w:space="0" w:color="auto"/>
        <w:right w:val="none" w:sz="0" w:space="0" w:color="auto"/>
      </w:divBdr>
    </w:div>
    <w:div w:id="1198279399">
      <w:bodyDiv w:val="1"/>
      <w:marLeft w:val="0"/>
      <w:marRight w:val="0"/>
      <w:marTop w:val="0"/>
      <w:marBottom w:val="0"/>
      <w:divBdr>
        <w:top w:val="none" w:sz="0" w:space="0" w:color="auto"/>
        <w:left w:val="none" w:sz="0" w:space="0" w:color="auto"/>
        <w:bottom w:val="none" w:sz="0" w:space="0" w:color="auto"/>
        <w:right w:val="none" w:sz="0" w:space="0" w:color="auto"/>
      </w:divBdr>
      <w:divsChild>
        <w:div w:id="1573007120">
          <w:marLeft w:val="0"/>
          <w:marRight w:val="0"/>
          <w:marTop w:val="0"/>
          <w:marBottom w:val="0"/>
          <w:divBdr>
            <w:top w:val="none" w:sz="0" w:space="0" w:color="auto"/>
            <w:left w:val="none" w:sz="0" w:space="0" w:color="auto"/>
            <w:bottom w:val="none" w:sz="0" w:space="0" w:color="auto"/>
            <w:right w:val="none" w:sz="0" w:space="0" w:color="auto"/>
          </w:divBdr>
        </w:div>
        <w:div w:id="563568845">
          <w:marLeft w:val="0"/>
          <w:marRight w:val="0"/>
          <w:marTop w:val="0"/>
          <w:marBottom w:val="0"/>
          <w:divBdr>
            <w:top w:val="none" w:sz="0" w:space="0" w:color="auto"/>
            <w:left w:val="none" w:sz="0" w:space="0" w:color="auto"/>
            <w:bottom w:val="none" w:sz="0" w:space="0" w:color="auto"/>
            <w:right w:val="none" w:sz="0" w:space="0" w:color="auto"/>
          </w:divBdr>
        </w:div>
        <w:div w:id="974064959">
          <w:marLeft w:val="0"/>
          <w:marRight w:val="0"/>
          <w:marTop w:val="0"/>
          <w:marBottom w:val="0"/>
          <w:divBdr>
            <w:top w:val="none" w:sz="0" w:space="0" w:color="auto"/>
            <w:left w:val="none" w:sz="0" w:space="0" w:color="auto"/>
            <w:bottom w:val="none" w:sz="0" w:space="0" w:color="auto"/>
            <w:right w:val="none" w:sz="0" w:space="0" w:color="auto"/>
          </w:divBdr>
        </w:div>
        <w:div w:id="1027485146">
          <w:marLeft w:val="0"/>
          <w:marRight w:val="0"/>
          <w:marTop w:val="0"/>
          <w:marBottom w:val="0"/>
          <w:divBdr>
            <w:top w:val="none" w:sz="0" w:space="0" w:color="auto"/>
            <w:left w:val="none" w:sz="0" w:space="0" w:color="auto"/>
            <w:bottom w:val="none" w:sz="0" w:space="0" w:color="auto"/>
            <w:right w:val="none" w:sz="0" w:space="0" w:color="auto"/>
          </w:divBdr>
        </w:div>
        <w:div w:id="148711686">
          <w:marLeft w:val="0"/>
          <w:marRight w:val="0"/>
          <w:marTop w:val="0"/>
          <w:marBottom w:val="0"/>
          <w:divBdr>
            <w:top w:val="none" w:sz="0" w:space="0" w:color="auto"/>
            <w:left w:val="none" w:sz="0" w:space="0" w:color="auto"/>
            <w:bottom w:val="none" w:sz="0" w:space="0" w:color="auto"/>
            <w:right w:val="none" w:sz="0" w:space="0" w:color="auto"/>
          </w:divBdr>
        </w:div>
        <w:div w:id="1695883983">
          <w:marLeft w:val="0"/>
          <w:marRight w:val="0"/>
          <w:marTop w:val="0"/>
          <w:marBottom w:val="0"/>
          <w:divBdr>
            <w:top w:val="none" w:sz="0" w:space="0" w:color="auto"/>
            <w:left w:val="none" w:sz="0" w:space="0" w:color="auto"/>
            <w:bottom w:val="none" w:sz="0" w:space="0" w:color="auto"/>
            <w:right w:val="none" w:sz="0" w:space="0" w:color="auto"/>
          </w:divBdr>
        </w:div>
        <w:div w:id="1629581659">
          <w:marLeft w:val="0"/>
          <w:marRight w:val="0"/>
          <w:marTop w:val="0"/>
          <w:marBottom w:val="0"/>
          <w:divBdr>
            <w:top w:val="none" w:sz="0" w:space="0" w:color="auto"/>
            <w:left w:val="none" w:sz="0" w:space="0" w:color="auto"/>
            <w:bottom w:val="none" w:sz="0" w:space="0" w:color="auto"/>
            <w:right w:val="none" w:sz="0" w:space="0" w:color="auto"/>
          </w:divBdr>
        </w:div>
        <w:div w:id="1240678380">
          <w:marLeft w:val="0"/>
          <w:marRight w:val="0"/>
          <w:marTop w:val="0"/>
          <w:marBottom w:val="0"/>
          <w:divBdr>
            <w:top w:val="none" w:sz="0" w:space="0" w:color="auto"/>
            <w:left w:val="none" w:sz="0" w:space="0" w:color="auto"/>
            <w:bottom w:val="none" w:sz="0" w:space="0" w:color="auto"/>
            <w:right w:val="none" w:sz="0" w:space="0" w:color="auto"/>
          </w:divBdr>
        </w:div>
        <w:div w:id="1425683240">
          <w:marLeft w:val="0"/>
          <w:marRight w:val="0"/>
          <w:marTop w:val="0"/>
          <w:marBottom w:val="0"/>
          <w:divBdr>
            <w:top w:val="none" w:sz="0" w:space="0" w:color="auto"/>
            <w:left w:val="none" w:sz="0" w:space="0" w:color="auto"/>
            <w:bottom w:val="none" w:sz="0" w:space="0" w:color="auto"/>
            <w:right w:val="none" w:sz="0" w:space="0" w:color="auto"/>
          </w:divBdr>
        </w:div>
        <w:div w:id="437331811">
          <w:marLeft w:val="0"/>
          <w:marRight w:val="0"/>
          <w:marTop w:val="0"/>
          <w:marBottom w:val="0"/>
          <w:divBdr>
            <w:top w:val="none" w:sz="0" w:space="0" w:color="auto"/>
            <w:left w:val="none" w:sz="0" w:space="0" w:color="auto"/>
            <w:bottom w:val="none" w:sz="0" w:space="0" w:color="auto"/>
            <w:right w:val="none" w:sz="0" w:space="0" w:color="auto"/>
          </w:divBdr>
        </w:div>
        <w:div w:id="348407336">
          <w:marLeft w:val="0"/>
          <w:marRight w:val="0"/>
          <w:marTop w:val="0"/>
          <w:marBottom w:val="0"/>
          <w:divBdr>
            <w:top w:val="none" w:sz="0" w:space="0" w:color="auto"/>
            <w:left w:val="none" w:sz="0" w:space="0" w:color="auto"/>
            <w:bottom w:val="none" w:sz="0" w:space="0" w:color="auto"/>
            <w:right w:val="none" w:sz="0" w:space="0" w:color="auto"/>
          </w:divBdr>
        </w:div>
        <w:div w:id="339285035">
          <w:marLeft w:val="0"/>
          <w:marRight w:val="0"/>
          <w:marTop w:val="0"/>
          <w:marBottom w:val="0"/>
          <w:divBdr>
            <w:top w:val="none" w:sz="0" w:space="0" w:color="auto"/>
            <w:left w:val="none" w:sz="0" w:space="0" w:color="auto"/>
            <w:bottom w:val="none" w:sz="0" w:space="0" w:color="auto"/>
            <w:right w:val="none" w:sz="0" w:space="0" w:color="auto"/>
          </w:divBdr>
        </w:div>
      </w:divsChild>
    </w:div>
    <w:div w:id="1202088942">
      <w:bodyDiv w:val="1"/>
      <w:marLeft w:val="0"/>
      <w:marRight w:val="0"/>
      <w:marTop w:val="0"/>
      <w:marBottom w:val="0"/>
      <w:divBdr>
        <w:top w:val="none" w:sz="0" w:space="0" w:color="auto"/>
        <w:left w:val="none" w:sz="0" w:space="0" w:color="auto"/>
        <w:bottom w:val="none" w:sz="0" w:space="0" w:color="auto"/>
        <w:right w:val="none" w:sz="0" w:space="0" w:color="auto"/>
      </w:divBdr>
    </w:div>
    <w:div w:id="1202670756">
      <w:bodyDiv w:val="1"/>
      <w:marLeft w:val="0"/>
      <w:marRight w:val="0"/>
      <w:marTop w:val="0"/>
      <w:marBottom w:val="0"/>
      <w:divBdr>
        <w:top w:val="none" w:sz="0" w:space="0" w:color="auto"/>
        <w:left w:val="none" w:sz="0" w:space="0" w:color="auto"/>
        <w:bottom w:val="none" w:sz="0" w:space="0" w:color="auto"/>
        <w:right w:val="none" w:sz="0" w:space="0" w:color="auto"/>
      </w:divBdr>
    </w:div>
    <w:div w:id="1312295691">
      <w:bodyDiv w:val="1"/>
      <w:marLeft w:val="0"/>
      <w:marRight w:val="0"/>
      <w:marTop w:val="0"/>
      <w:marBottom w:val="0"/>
      <w:divBdr>
        <w:top w:val="none" w:sz="0" w:space="0" w:color="auto"/>
        <w:left w:val="none" w:sz="0" w:space="0" w:color="auto"/>
        <w:bottom w:val="none" w:sz="0" w:space="0" w:color="auto"/>
        <w:right w:val="none" w:sz="0" w:space="0" w:color="auto"/>
      </w:divBdr>
      <w:divsChild>
        <w:div w:id="1116945062">
          <w:marLeft w:val="0"/>
          <w:marRight w:val="0"/>
          <w:marTop w:val="0"/>
          <w:marBottom w:val="0"/>
          <w:divBdr>
            <w:top w:val="none" w:sz="0" w:space="0" w:color="auto"/>
            <w:left w:val="none" w:sz="0" w:space="0" w:color="auto"/>
            <w:bottom w:val="none" w:sz="0" w:space="0" w:color="auto"/>
            <w:right w:val="none" w:sz="0" w:space="0" w:color="auto"/>
          </w:divBdr>
        </w:div>
        <w:div w:id="115753946">
          <w:marLeft w:val="0"/>
          <w:marRight w:val="0"/>
          <w:marTop w:val="0"/>
          <w:marBottom w:val="0"/>
          <w:divBdr>
            <w:top w:val="none" w:sz="0" w:space="0" w:color="auto"/>
            <w:left w:val="none" w:sz="0" w:space="0" w:color="auto"/>
            <w:bottom w:val="none" w:sz="0" w:space="0" w:color="auto"/>
            <w:right w:val="none" w:sz="0" w:space="0" w:color="auto"/>
          </w:divBdr>
        </w:div>
        <w:div w:id="353652874">
          <w:marLeft w:val="0"/>
          <w:marRight w:val="0"/>
          <w:marTop w:val="0"/>
          <w:marBottom w:val="0"/>
          <w:divBdr>
            <w:top w:val="none" w:sz="0" w:space="0" w:color="auto"/>
            <w:left w:val="none" w:sz="0" w:space="0" w:color="auto"/>
            <w:bottom w:val="none" w:sz="0" w:space="0" w:color="auto"/>
            <w:right w:val="none" w:sz="0" w:space="0" w:color="auto"/>
          </w:divBdr>
        </w:div>
      </w:divsChild>
    </w:div>
    <w:div w:id="1333993429">
      <w:bodyDiv w:val="1"/>
      <w:marLeft w:val="0"/>
      <w:marRight w:val="0"/>
      <w:marTop w:val="0"/>
      <w:marBottom w:val="0"/>
      <w:divBdr>
        <w:top w:val="none" w:sz="0" w:space="0" w:color="auto"/>
        <w:left w:val="none" w:sz="0" w:space="0" w:color="auto"/>
        <w:bottom w:val="none" w:sz="0" w:space="0" w:color="auto"/>
        <w:right w:val="none" w:sz="0" w:space="0" w:color="auto"/>
      </w:divBdr>
    </w:div>
    <w:div w:id="1388839667">
      <w:bodyDiv w:val="1"/>
      <w:marLeft w:val="0"/>
      <w:marRight w:val="0"/>
      <w:marTop w:val="0"/>
      <w:marBottom w:val="0"/>
      <w:divBdr>
        <w:top w:val="none" w:sz="0" w:space="0" w:color="auto"/>
        <w:left w:val="none" w:sz="0" w:space="0" w:color="auto"/>
        <w:bottom w:val="none" w:sz="0" w:space="0" w:color="auto"/>
        <w:right w:val="none" w:sz="0" w:space="0" w:color="auto"/>
      </w:divBdr>
      <w:divsChild>
        <w:div w:id="560752559">
          <w:marLeft w:val="0"/>
          <w:marRight w:val="0"/>
          <w:marTop w:val="0"/>
          <w:marBottom w:val="0"/>
          <w:divBdr>
            <w:top w:val="none" w:sz="0" w:space="0" w:color="auto"/>
            <w:left w:val="none" w:sz="0" w:space="0" w:color="auto"/>
            <w:bottom w:val="none" w:sz="0" w:space="0" w:color="auto"/>
            <w:right w:val="none" w:sz="0" w:space="0" w:color="auto"/>
          </w:divBdr>
        </w:div>
      </w:divsChild>
    </w:div>
    <w:div w:id="1413166464">
      <w:bodyDiv w:val="1"/>
      <w:marLeft w:val="0"/>
      <w:marRight w:val="0"/>
      <w:marTop w:val="0"/>
      <w:marBottom w:val="0"/>
      <w:divBdr>
        <w:top w:val="none" w:sz="0" w:space="0" w:color="auto"/>
        <w:left w:val="none" w:sz="0" w:space="0" w:color="auto"/>
        <w:bottom w:val="none" w:sz="0" w:space="0" w:color="auto"/>
        <w:right w:val="none" w:sz="0" w:space="0" w:color="auto"/>
      </w:divBdr>
    </w:div>
    <w:div w:id="1484617800">
      <w:bodyDiv w:val="1"/>
      <w:marLeft w:val="0"/>
      <w:marRight w:val="0"/>
      <w:marTop w:val="0"/>
      <w:marBottom w:val="0"/>
      <w:divBdr>
        <w:top w:val="none" w:sz="0" w:space="0" w:color="auto"/>
        <w:left w:val="none" w:sz="0" w:space="0" w:color="auto"/>
        <w:bottom w:val="none" w:sz="0" w:space="0" w:color="auto"/>
        <w:right w:val="none" w:sz="0" w:space="0" w:color="auto"/>
      </w:divBdr>
    </w:div>
    <w:div w:id="1562398030">
      <w:bodyDiv w:val="1"/>
      <w:marLeft w:val="0"/>
      <w:marRight w:val="0"/>
      <w:marTop w:val="0"/>
      <w:marBottom w:val="0"/>
      <w:divBdr>
        <w:top w:val="none" w:sz="0" w:space="0" w:color="auto"/>
        <w:left w:val="none" w:sz="0" w:space="0" w:color="auto"/>
        <w:bottom w:val="none" w:sz="0" w:space="0" w:color="auto"/>
        <w:right w:val="none" w:sz="0" w:space="0" w:color="auto"/>
      </w:divBdr>
      <w:divsChild>
        <w:div w:id="1678265955">
          <w:marLeft w:val="0"/>
          <w:marRight w:val="0"/>
          <w:marTop w:val="0"/>
          <w:marBottom w:val="0"/>
          <w:divBdr>
            <w:top w:val="none" w:sz="0" w:space="0" w:color="auto"/>
            <w:left w:val="none" w:sz="0" w:space="0" w:color="auto"/>
            <w:bottom w:val="none" w:sz="0" w:space="0" w:color="auto"/>
            <w:right w:val="none" w:sz="0" w:space="0" w:color="auto"/>
          </w:divBdr>
        </w:div>
      </w:divsChild>
    </w:div>
    <w:div w:id="1592817440">
      <w:bodyDiv w:val="1"/>
      <w:marLeft w:val="0"/>
      <w:marRight w:val="0"/>
      <w:marTop w:val="0"/>
      <w:marBottom w:val="0"/>
      <w:divBdr>
        <w:top w:val="none" w:sz="0" w:space="0" w:color="auto"/>
        <w:left w:val="none" w:sz="0" w:space="0" w:color="auto"/>
        <w:bottom w:val="none" w:sz="0" w:space="0" w:color="auto"/>
        <w:right w:val="none" w:sz="0" w:space="0" w:color="auto"/>
      </w:divBdr>
    </w:div>
    <w:div w:id="1603224313">
      <w:bodyDiv w:val="1"/>
      <w:marLeft w:val="0"/>
      <w:marRight w:val="0"/>
      <w:marTop w:val="0"/>
      <w:marBottom w:val="0"/>
      <w:divBdr>
        <w:top w:val="none" w:sz="0" w:space="0" w:color="auto"/>
        <w:left w:val="none" w:sz="0" w:space="0" w:color="auto"/>
        <w:bottom w:val="none" w:sz="0" w:space="0" w:color="auto"/>
        <w:right w:val="none" w:sz="0" w:space="0" w:color="auto"/>
      </w:divBdr>
    </w:div>
    <w:div w:id="1718435154">
      <w:bodyDiv w:val="1"/>
      <w:marLeft w:val="0"/>
      <w:marRight w:val="0"/>
      <w:marTop w:val="0"/>
      <w:marBottom w:val="0"/>
      <w:divBdr>
        <w:top w:val="none" w:sz="0" w:space="0" w:color="auto"/>
        <w:left w:val="none" w:sz="0" w:space="0" w:color="auto"/>
        <w:bottom w:val="none" w:sz="0" w:space="0" w:color="auto"/>
        <w:right w:val="none" w:sz="0" w:space="0" w:color="auto"/>
      </w:divBdr>
      <w:divsChild>
        <w:div w:id="986202459">
          <w:marLeft w:val="0"/>
          <w:marRight w:val="0"/>
          <w:marTop w:val="0"/>
          <w:marBottom w:val="0"/>
          <w:divBdr>
            <w:top w:val="none" w:sz="0" w:space="0" w:color="auto"/>
            <w:left w:val="none" w:sz="0" w:space="0" w:color="auto"/>
            <w:bottom w:val="none" w:sz="0" w:space="0" w:color="auto"/>
            <w:right w:val="none" w:sz="0" w:space="0" w:color="auto"/>
          </w:divBdr>
        </w:div>
      </w:divsChild>
    </w:div>
    <w:div w:id="1725988639">
      <w:bodyDiv w:val="1"/>
      <w:marLeft w:val="0"/>
      <w:marRight w:val="0"/>
      <w:marTop w:val="0"/>
      <w:marBottom w:val="0"/>
      <w:divBdr>
        <w:top w:val="none" w:sz="0" w:space="0" w:color="auto"/>
        <w:left w:val="none" w:sz="0" w:space="0" w:color="auto"/>
        <w:bottom w:val="none" w:sz="0" w:space="0" w:color="auto"/>
        <w:right w:val="none" w:sz="0" w:space="0" w:color="auto"/>
      </w:divBdr>
    </w:div>
    <w:div w:id="1771468648">
      <w:bodyDiv w:val="1"/>
      <w:marLeft w:val="0"/>
      <w:marRight w:val="0"/>
      <w:marTop w:val="0"/>
      <w:marBottom w:val="0"/>
      <w:divBdr>
        <w:top w:val="none" w:sz="0" w:space="0" w:color="auto"/>
        <w:left w:val="none" w:sz="0" w:space="0" w:color="auto"/>
        <w:bottom w:val="none" w:sz="0" w:space="0" w:color="auto"/>
        <w:right w:val="none" w:sz="0" w:space="0" w:color="auto"/>
      </w:divBdr>
    </w:div>
    <w:div w:id="1847281880">
      <w:bodyDiv w:val="1"/>
      <w:marLeft w:val="0"/>
      <w:marRight w:val="0"/>
      <w:marTop w:val="0"/>
      <w:marBottom w:val="0"/>
      <w:divBdr>
        <w:top w:val="none" w:sz="0" w:space="0" w:color="auto"/>
        <w:left w:val="none" w:sz="0" w:space="0" w:color="auto"/>
        <w:bottom w:val="none" w:sz="0" w:space="0" w:color="auto"/>
        <w:right w:val="none" w:sz="0" w:space="0" w:color="auto"/>
      </w:divBdr>
    </w:div>
    <w:div w:id="1854369097">
      <w:bodyDiv w:val="1"/>
      <w:marLeft w:val="0"/>
      <w:marRight w:val="0"/>
      <w:marTop w:val="0"/>
      <w:marBottom w:val="0"/>
      <w:divBdr>
        <w:top w:val="none" w:sz="0" w:space="0" w:color="auto"/>
        <w:left w:val="none" w:sz="0" w:space="0" w:color="auto"/>
        <w:bottom w:val="none" w:sz="0" w:space="0" w:color="auto"/>
        <w:right w:val="none" w:sz="0" w:space="0" w:color="auto"/>
      </w:divBdr>
    </w:div>
    <w:div w:id="1955361388">
      <w:bodyDiv w:val="1"/>
      <w:marLeft w:val="0"/>
      <w:marRight w:val="0"/>
      <w:marTop w:val="0"/>
      <w:marBottom w:val="0"/>
      <w:divBdr>
        <w:top w:val="none" w:sz="0" w:space="0" w:color="auto"/>
        <w:left w:val="none" w:sz="0" w:space="0" w:color="auto"/>
        <w:bottom w:val="none" w:sz="0" w:space="0" w:color="auto"/>
        <w:right w:val="none" w:sz="0" w:space="0" w:color="auto"/>
      </w:divBdr>
    </w:div>
    <w:div w:id="1989086158">
      <w:bodyDiv w:val="1"/>
      <w:marLeft w:val="0"/>
      <w:marRight w:val="0"/>
      <w:marTop w:val="0"/>
      <w:marBottom w:val="0"/>
      <w:divBdr>
        <w:top w:val="none" w:sz="0" w:space="0" w:color="auto"/>
        <w:left w:val="none" w:sz="0" w:space="0" w:color="auto"/>
        <w:bottom w:val="none" w:sz="0" w:space="0" w:color="auto"/>
        <w:right w:val="none" w:sz="0" w:space="0" w:color="auto"/>
      </w:divBdr>
    </w:div>
    <w:div w:id="2030377540">
      <w:bodyDiv w:val="1"/>
      <w:marLeft w:val="0"/>
      <w:marRight w:val="0"/>
      <w:marTop w:val="0"/>
      <w:marBottom w:val="0"/>
      <w:divBdr>
        <w:top w:val="none" w:sz="0" w:space="0" w:color="auto"/>
        <w:left w:val="none" w:sz="0" w:space="0" w:color="auto"/>
        <w:bottom w:val="none" w:sz="0" w:space="0" w:color="auto"/>
        <w:right w:val="none" w:sz="0" w:space="0" w:color="auto"/>
      </w:divBdr>
    </w:div>
    <w:div w:id="2124612211">
      <w:bodyDiv w:val="1"/>
      <w:marLeft w:val="0"/>
      <w:marRight w:val="0"/>
      <w:marTop w:val="0"/>
      <w:marBottom w:val="0"/>
      <w:divBdr>
        <w:top w:val="none" w:sz="0" w:space="0" w:color="auto"/>
        <w:left w:val="none" w:sz="0" w:space="0" w:color="auto"/>
        <w:bottom w:val="none" w:sz="0" w:space="0" w:color="auto"/>
        <w:right w:val="none" w:sz="0" w:space="0" w:color="auto"/>
      </w:divBdr>
    </w:div>
    <w:div w:id="2145196476">
      <w:bodyDiv w:val="1"/>
      <w:marLeft w:val="0"/>
      <w:marRight w:val="0"/>
      <w:marTop w:val="0"/>
      <w:marBottom w:val="0"/>
      <w:divBdr>
        <w:top w:val="none" w:sz="0" w:space="0" w:color="auto"/>
        <w:left w:val="none" w:sz="0" w:space="0" w:color="auto"/>
        <w:bottom w:val="none" w:sz="0" w:space="0" w:color="auto"/>
        <w:right w:val="none" w:sz="0" w:space="0" w:color="auto"/>
      </w:divBdr>
      <w:divsChild>
        <w:div w:id="14286978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eeplink.rechtspraak.nl/uitspraak?id=ECLI:NL:HR:1988:AD034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gn.nl/feiten-en-cijfers-de-gehandicaptenz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ck.houtzager@gmail.com" TargetMode="External"/><Relationship Id="rId5" Type="http://schemas.openxmlformats.org/officeDocument/2006/relationships/numbering" Target="numbering.xml"/><Relationship Id="rId15" Type="http://schemas.openxmlformats.org/officeDocument/2006/relationships/hyperlink" Target="http://www.rechtspraak.nl/Organisatie/Hoge-Raad/Supreme-court/Pages/default.asp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chtspraak.nl/English" TargetMode="External"/></Relationships>
</file>

<file path=word/_rels/footnotes.xml.rels><?xml version="1.0" encoding="UTF-8" standalone="yes"?>
<Relationships xmlns="http://schemas.openxmlformats.org/package/2006/relationships"><Relationship Id="rId13" Type="http://schemas.openxmlformats.org/officeDocument/2006/relationships/hyperlink" Target="https://dutchwaterauthorities.com/wp-content/uploads/2019/02/The-Dutch-water-authority-model-2017.pdf" TargetMode="External"/><Relationship Id="rId18" Type="http://schemas.openxmlformats.org/officeDocument/2006/relationships/hyperlink" Target="https://mensenrechten.nl/nl/publicatie/5c051025c155b7037d1ec495" TargetMode="External"/><Relationship Id="rId26" Type="http://schemas.openxmlformats.org/officeDocument/2006/relationships/hyperlink" Target="https://vng.nl/rubrieken/onderwerpen/iedereen-doet-mee" TargetMode="External"/><Relationship Id="rId39" Type="http://schemas.openxmlformats.org/officeDocument/2006/relationships/hyperlink" Target="https://www.ns.nl/en/travel-information/traveling-with-a-functional-disability/assistance-while-travelling.html" TargetMode="External"/><Relationship Id="rId21" Type="http://schemas.openxmlformats.org/officeDocument/2006/relationships/hyperlink" Target="https://discriminatie.nl/files/2020-04/Discriminatiecijfers%20in%202019.pdf" TargetMode="External"/><Relationship Id="rId34" Type="http://schemas.openxmlformats.org/officeDocument/2006/relationships/hyperlink" Target="https://www.beteroud.nl/mobiliteit-ouderen" TargetMode="External"/><Relationship Id="rId42" Type="http://schemas.openxmlformats.org/officeDocument/2006/relationships/hyperlink" Target="https://mensenrechten.nl/nl/netherlands-institute-human-rights" TargetMode="External"/><Relationship Id="rId47" Type="http://schemas.openxmlformats.org/officeDocument/2006/relationships/hyperlink" Target="https://ruimtevoorlopen.nl/partners/" TargetMode="External"/><Relationship Id="rId50" Type="http://schemas.openxmlformats.org/officeDocument/2006/relationships/hyperlink" Target="https://www.wandelnet.nl/beleidsdossiers" TargetMode="External"/><Relationship Id="rId55" Type="http://schemas.openxmlformats.org/officeDocument/2006/relationships/hyperlink" Target="https://standards.globalspec.com/std/10297376/NEN-ISO%2021542" TargetMode="External"/><Relationship Id="rId63" Type="http://schemas.openxmlformats.org/officeDocument/2006/relationships/hyperlink" Target="https://digitallibrary.un.org/record/3794832" TargetMode="External"/><Relationship Id="rId68" Type="http://schemas.openxmlformats.org/officeDocument/2006/relationships/hyperlink" Target="https://www.utrecht.nl/zorg-en-onderwijs/samenleven-welzijn/utrecht-voor-iedereen/toegankelijk/" TargetMode="External"/><Relationship Id="rId76" Type="http://schemas.openxmlformats.org/officeDocument/2006/relationships/hyperlink" Target="https://www.government.nl/topics/care-and-support-at-home/social-support-act-wmo" TargetMode="External"/><Relationship Id="rId84" Type="http://schemas.openxmlformats.org/officeDocument/2006/relationships/hyperlink" Target="http://decentrale.regelgeving.overheid.nl/cvdr/xhtmloutput/Historie/Almere/CVDR256273/CVDR256273_2.html" TargetMode="External"/><Relationship Id="rId89" Type="http://schemas.openxmlformats.org/officeDocument/2006/relationships/hyperlink" Target="http://www.kijkopkennis.nl/wp/2018/04/meer-verkeersveiligheid-door-shared-space/" TargetMode="External"/><Relationship Id="rId7" Type="http://schemas.openxmlformats.org/officeDocument/2006/relationships/hyperlink" Target="https://www.government.nl/topics/environment/roles-and-responsibilities-of-provincial-government-municipal-governments-and-water-authorities" TargetMode="External"/><Relationship Id="rId71" Type="http://schemas.openxmlformats.org/officeDocument/2006/relationships/hyperlink" Target="http://www.batutrecht.nl/download/Voetpaden%20voor%20iedereen.pdf" TargetMode="External"/><Relationship Id="rId92" Type="http://schemas.openxmlformats.org/officeDocument/2006/relationships/hyperlink" Target="https://vng.nl/sites/default/files/2020-06/vng-handreiking-crowmanagement.pdf" TargetMode="External"/><Relationship Id="rId2" Type="http://schemas.openxmlformats.org/officeDocument/2006/relationships/hyperlink" Target="https://www.raadvanstate.nl/talen/artikel/" TargetMode="External"/><Relationship Id="rId16" Type="http://schemas.openxmlformats.org/officeDocument/2006/relationships/hyperlink" Target="https://dx.doi.org/10.2139/ssrn.3128896" TargetMode="External"/><Relationship Id="rId29" Type="http://schemas.openxmlformats.org/officeDocument/2006/relationships/hyperlink" Target="https://www.rivm.nl/documenten/cijferoverzicht-onbeperkt-meedoen" TargetMode="External"/><Relationship Id="rId11" Type="http://schemas.openxmlformats.org/officeDocument/2006/relationships/hyperlink" Target="https://www.cbs.nl/nl-nl/onze-diensten/methoden/classificaties/overig/gemeentelijke-indelingen-per-jaar/indeling%20per%20jaar/gemeentelijke-indeling-op-1-januari-2019" TargetMode="External"/><Relationship Id="rId24" Type="http://schemas.openxmlformats.org/officeDocument/2006/relationships/hyperlink" Target="https://www.rijksoverheid.nl/onderwerpen/rechten-van-mensen-met-een-handicap/programma-onbeperkt-meedoen" TargetMode="External"/><Relationship Id="rId32" Type="http://schemas.openxmlformats.org/officeDocument/2006/relationships/hyperlink" Target="https://www.nationaleombudsman.nl/nieuws/2018/hokjesdenken-speelt-burger-nog-altijd-parten-bij-toegang-tot-zorg-update-januari-2019" TargetMode="External"/><Relationship Id="rId37" Type="http://schemas.openxmlformats.org/officeDocument/2006/relationships/hyperlink" Target="https://www.oogvereniging.nl/leven-werken/verkeer-vervoer/weg-vinden-op-station/" TargetMode="External"/><Relationship Id="rId40" Type="http://schemas.openxmlformats.org/officeDocument/2006/relationships/hyperlink" Target="https://www.rijksoverheid.nl/onderwerpen/openbaar-vervoer/betere-verbindingen-openbaar-vervoer/ov-in-de-toekomst" TargetMode="External"/><Relationship Id="rId45" Type="http://schemas.openxmlformats.org/officeDocument/2006/relationships/hyperlink" Target="https://www.ruimtelijkeplannen.nl/" TargetMode="External"/><Relationship Id="rId53" Type="http://schemas.openxmlformats.org/officeDocument/2006/relationships/hyperlink" Target="https://www.crow.nl/english-summary" TargetMode="External"/><Relationship Id="rId58" Type="http://schemas.openxmlformats.org/officeDocument/2006/relationships/hyperlink" Target="https://www.internetconsultatie.nl/vnverdraghandicap/details" TargetMode="External"/><Relationship Id="rId66" Type="http://schemas.openxmlformats.org/officeDocument/2006/relationships/hyperlink" Target="https://vng.nl/artikelen/koplopergemeenten-iedereen-doet-mee" TargetMode="External"/><Relationship Id="rId74" Type="http://schemas.openxmlformats.org/officeDocument/2006/relationships/hyperlink" Target="https://pki.utrecht.nl/Loket/product/1baaf0d10f5a241b54fefb981df680e8" TargetMode="External"/><Relationship Id="rId79" Type="http://schemas.openxmlformats.org/officeDocument/2006/relationships/hyperlink" Target="https://discriminatie.nl/" TargetMode="External"/><Relationship Id="rId87" Type="http://schemas.openxmlformats.org/officeDocument/2006/relationships/hyperlink" Target="https://www.swov.nl/en/facts-figures/factsheet/road-deaths-netherlands" TargetMode="External"/><Relationship Id="rId5" Type="http://schemas.openxmlformats.org/officeDocument/2006/relationships/hyperlink" Target="https://libguides.bodleian.ox.ac.uk/c.php?g=423114&amp;p=2889158" TargetMode="External"/><Relationship Id="rId61" Type="http://schemas.openxmlformats.org/officeDocument/2006/relationships/hyperlink" Target="https://www.mkb.nl/over-mkb-nederland/english" TargetMode="External"/><Relationship Id="rId82" Type="http://schemas.openxmlformats.org/officeDocument/2006/relationships/hyperlink" Target="http://deeplink.rechtspraak.nl/uitspraak?id=ECLI:NL:HR:1988:AD0344" TargetMode="External"/><Relationship Id="rId90" Type="http://schemas.openxmlformats.org/officeDocument/2006/relationships/hyperlink" Target="https://www.kenniscentrumsharedspace.nl/English" TargetMode="External"/><Relationship Id="rId19" Type="http://schemas.openxmlformats.org/officeDocument/2006/relationships/hyperlink" Target="https://iederin.nl/positie-van-mensen-met-een-beperking-gaat-achteruit-ondanks-vn-verdrag-handicap/" TargetMode="External"/><Relationship Id="rId14" Type="http://schemas.openxmlformats.org/officeDocument/2006/relationships/hyperlink" Target="https://www.uvw.nl/wp-content/uploads/2018/01/Bestuurlijke-verkenning-waterschapswegen-Waar-een-wil-is-is-een-weg-2018.pdf" TargetMode="External"/><Relationship Id="rId22" Type="http://schemas.openxmlformats.org/officeDocument/2006/relationships/hyperlink" Target="https://www.om.nl/onderwerpen/discriminatie/documenten/publicaties/discriminatie/lecd/cijfers-in-beeld/cijfers-in-beeld" TargetMode="External"/><Relationship Id="rId27" Type="http://schemas.openxmlformats.org/officeDocument/2006/relationships/hyperlink" Target="https://www.mkbtoegankelijk.nl/over-mkb-toegankelijk/" TargetMode="External"/><Relationship Id="rId30" Type="http://schemas.openxmlformats.org/officeDocument/2006/relationships/hyperlink" Target="https://azwstatline.cbs.nl/" TargetMode="External"/><Relationship Id="rId35" Type="http://schemas.openxmlformats.org/officeDocument/2006/relationships/hyperlink" Target="https://www.prorail.nl/reizigers/stations/toegankelijkheid" TargetMode="External"/><Relationship Id="rId43" Type="http://schemas.openxmlformats.org/officeDocument/2006/relationships/hyperlink" Target="https://mensenrechten.nl/nl/publicatie/5de636e4b55daa48dd78be31" TargetMode="External"/><Relationship Id="rId48" Type="http://schemas.openxmlformats.org/officeDocument/2006/relationships/hyperlink" Target="https://www.crow.nl/over-crow/nieuws/2019/oktober-(1)/lancering-platform-ruimte-voor-lopen-tijdens-walk2" TargetMode="External"/><Relationship Id="rId56" Type="http://schemas.openxmlformats.org/officeDocument/2006/relationships/hyperlink" Target="https://www.denationaleomgevingsvisie.nl/publicaties/english+versions/default.aspx" TargetMode="External"/><Relationship Id="rId64" Type="http://schemas.openxmlformats.org/officeDocument/2006/relationships/hyperlink" Target="https://mensenrechten.nl/nl/publicatie/5c051025c155b7037d1ec495" TargetMode="External"/><Relationship Id="rId69" Type="http://schemas.openxmlformats.org/officeDocument/2006/relationships/hyperlink" Target="https://wheelmap.org/" TargetMode="External"/><Relationship Id="rId77" Type="http://schemas.openxmlformats.org/officeDocument/2006/relationships/hyperlink" Target="https://www.decreatievemotor.nl/partners-betrokkenen" TargetMode="External"/><Relationship Id="rId8" Type="http://schemas.openxmlformats.org/officeDocument/2006/relationships/hyperlink" Target="https://www.rijkswaterstaat.nl/wegen/wegbeheer/wegbeheer-in-nederland/index.aspx" TargetMode="External"/><Relationship Id="rId51" Type="http://schemas.openxmlformats.org/officeDocument/2006/relationships/hyperlink" Target="https://iederin.nl/onze-doelen/vervoer/" TargetMode="External"/><Relationship Id="rId72" Type="http://schemas.openxmlformats.org/officeDocument/2006/relationships/hyperlink" Target="https://www.crow.nl/english-summary" TargetMode="External"/><Relationship Id="rId80" Type="http://schemas.openxmlformats.org/officeDocument/2006/relationships/hyperlink" Target="https://www.clientearth.org/the-urgenda-climate-case-and-access-to-justice-for-environmental-ngos-in-the-netherlands/" TargetMode="External"/><Relationship Id="rId85" Type="http://schemas.openxmlformats.org/officeDocument/2006/relationships/hyperlink" Target="https://vng.nl/artikelen/about-vng" TargetMode="External"/><Relationship Id="rId3" Type="http://schemas.openxmlformats.org/officeDocument/2006/relationships/hyperlink" Target="https://uitspraken.rechtspraak.nl/inziendocument?id=ECLI:NL:HR:2019:2007" TargetMode="External"/><Relationship Id="rId12" Type="http://schemas.openxmlformats.org/officeDocument/2006/relationships/hyperlink" Target="https://www.government.nl/topics/care-and-support-at-home/social-support-act-wmo" TargetMode="External"/><Relationship Id="rId17" Type="http://schemas.openxmlformats.org/officeDocument/2006/relationships/hyperlink" Target="https://digitallibrary.un.org/record/3794832" TargetMode="External"/><Relationship Id="rId25" Type="http://schemas.openxmlformats.org/officeDocument/2006/relationships/hyperlink" Target="https://nietsoveronszonderons.nl/" TargetMode="External"/><Relationship Id="rId33" Type="http://schemas.openxmlformats.org/officeDocument/2006/relationships/hyperlink" Target="https://opendata.cbs.nl/statline/" TargetMode="External"/><Relationship Id="rId38" Type="http://schemas.openxmlformats.org/officeDocument/2006/relationships/hyperlink" Target="https://www.oogvereniging.nl/2017/06/15627/" TargetMode="External"/><Relationship Id="rId46" Type="http://schemas.openxmlformats.org/officeDocument/2006/relationships/hyperlink" Target="https://www.government.nl/topics/spatial-planning-and-infrastructure/documents/publications/2013/07/24/summary-national-policy-strategy-for-infrastructure-and-spatial-planning" TargetMode="External"/><Relationship Id="rId59" Type="http://schemas.openxmlformats.org/officeDocument/2006/relationships/hyperlink" Target="https://gewoongelijk.nl/over-deze-website/alliantie-voor-Inclusie/" TargetMode="External"/><Relationship Id="rId67" Type="http://schemas.openxmlformats.org/officeDocument/2006/relationships/hyperlink" Target="https://vng.nl/artikelen/about-vng" TargetMode="External"/><Relationship Id="rId20" Type="http://schemas.openxmlformats.org/officeDocument/2006/relationships/hyperlink" Target="https://www.sdgnederland.nl/nieuws/" TargetMode="External"/><Relationship Id="rId41" Type="http://schemas.openxmlformats.org/officeDocument/2006/relationships/hyperlink" Target="https://magazines.rijksoverheid.nl/ienw/ienw-specials/2019/07/pijler-2-drempelloos-van-deur-tot-deur" TargetMode="External"/><Relationship Id="rId54" Type="http://schemas.openxmlformats.org/officeDocument/2006/relationships/hyperlink" Target="https://www.crow.nl/publicaties/asvv-2012" TargetMode="External"/><Relationship Id="rId62" Type="http://schemas.openxmlformats.org/officeDocument/2006/relationships/hyperlink" Target="https://vng.nl/artikelen/koplopergemeenten-iedereen-doet-mee" TargetMode="External"/><Relationship Id="rId70" Type="http://schemas.openxmlformats.org/officeDocument/2006/relationships/hyperlink" Target="https://www.bezoek-utrecht.nl/toegankelijk/openbare-ruimtes" TargetMode="External"/><Relationship Id="rId75" Type="http://schemas.openxmlformats.org/officeDocument/2006/relationships/hyperlink" Target="https://www.solgu.nl/" TargetMode="External"/><Relationship Id="rId83" Type="http://schemas.openxmlformats.org/officeDocument/2006/relationships/hyperlink" Target="https://www.raadvanstate.nl/talen/artikel/" TargetMode="External"/><Relationship Id="rId88" Type="http://schemas.openxmlformats.org/officeDocument/2006/relationships/hyperlink" Target="https://www.swov.nl/en/facts-figures/factsheet/30-kmh-zones" TargetMode="External"/><Relationship Id="rId91" Type="http://schemas.openxmlformats.org/officeDocument/2006/relationships/hyperlink" Target="https://iederin.nl/maak-de-anderhalvemetersamenleving-inclusief/" TargetMode="External"/><Relationship Id="rId1" Type="http://schemas.openxmlformats.org/officeDocument/2006/relationships/hyperlink" Target="https://www.rechtspraak.nl/Organisatie-en-contact/Organisatie/Hoge-Raad-der-Nederlanden/Supreme-court-of-the-Netherlands/Paginas/The-ban-on-constitutional-review.aspx" TargetMode="External"/><Relationship Id="rId6" Type="http://schemas.openxmlformats.org/officeDocument/2006/relationships/hyperlink" Target="https://e-justice.europa.eu/content_member_state_law-6-nl-en.do" TargetMode="External"/><Relationship Id="rId15" Type="http://schemas.openxmlformats.org/officeDocument/2006/relationships/hyperlink" Target="https://ssrn.com/abstract=3128896" TargetMode="External"/><Relationship Id="rId23" Type="http://schemas.openxmlformats.org/officeDocument/2006/relationships/hyperlink" Target="https://www.discriminatie.nl/" TargetMode="External"/><Relationship Id="rId28" Type="http://schemas.openxmlformats.org/officeDocument/2006/relationships/hyperlink" Target="https://magazines.rijksoverheid.nl/vws/onbeperktmeedoen/2019/01/index" TargetMode="External"/><Relationship Id="rId36" Type="http://schemas.openxmlformats.org/officeDocument/2006/relationships/hyperlink" Target="https://www.oogvereniging.nl/2017/10/stations-nederland-toegankelijk-blinden-en-slechtzienden/" TargetMode="External"/><Relationship Id="rId49" Type="http://schemas.openxmlformats.org/officeDocument/2006/relationships/hyperlink" Target="https://www.swov.nl/publicatie/voetgangersveiligheid-0" TargetMode="External"/><Relationship Id="rId57" Type="http://schemas.openxmlformats.org/officeDocument/2006/relationships/hyperlink" Target="https://mensenrechten.nl/nl/publicatie/18564" TargetMode="External"/><Relationship Id="rId10" Type="http://schemas.openxmlformats.org/officeDocument/2006/relationships/hyperlink" Target="https://en.wikipedia.org/wiki/Provinces_of_the_Netherlands" TargetMode="External"/><Relationship Id="rId31" Type="http://schemas.openxmlformats.org/officeDocument/2006/relationships/hyperlink" Target="https://www.nationaleombudsman.nl/nieuws/onderzoeken/2018030-zorgen-voor-burgers-onderzoek-naar-knelpunten-bij-de-toegang-tot-zorg" TargetMode="External"/><Relationship Id="rId44" Type="http://schemas.openxmlformats.org/officeDocument/2006/relationships/hyperlink" Target="https://www.government.nl/topics/spatial-planning-and-infrastructure/spatial-planning-in-the-netherlands" TargetMode="External"/><Relationship Id="rId52" Type="http://schemas.openxmlformats.org/officeDocument/2006/relationships/hyperlink" Target="https://ruimtevoorlopen.nl/agenda-lopen/" TargetMode="External"/><Relationship Id="rId60" Type="http://schemas.openxmlformats.org/officeDocument/2006/relationships/hyperlink" Target="https://www.vno-ncw.nl/over-vno-ncw/english" TargetMode="External"/><Relationship Id="rId65" Type="http://schemas.openxmlformats.org/officeDocument/2006/relationships/hyperlink" Target="https://ris2.ibabs.eu/Reports/ViewListEntry/Utrecht/b3ccc49b-0ca1-4a25-950e-7d3c990db135" TargetMode="External"/><Relationship Id="rId73" Type="http://schemas.openxmlformats.org/officeDocument/2006/relationships/hyperlink" Target="https://www.nen.nl/Home_EN.htm" TargetMode="External"/><Relationship Id="rId78" Type="http://schemas.openxmlformats.org/officeDocument/2006/relationships/hyperlink" Target="https://disabilitystudies.nl/project/realisatie-inclusie-agenda-almere" TargetMode="External"/><Relationship Id="rId81" Type="http://schemas.openxmlformats.org/officeDocument/2006/relationships/hyperlink" Target="https://www.rechtsbijstand.nl/over-mediation-en-rechtsbijstand/hoeveel-moet-ik-zelf-betalen/inkomensnormen" TargetMode="External"/><Relationship Id="rId86" Type="http://schemas.openxmlformats.org/officeDocument/2006/relationships/hyperlink" Target="https://vng.nl/brieven/wijziging-model-apv-zomer-2019" TargetMode="External"/><Relationship Id="rId4" Type="http://schemas.openxmlformats.org/officeDocument/2006/relationships/hyperlink" Target="https://leidenlawblog.nl/articles/the-urgenda-decision-the-landmark-dutch-climate-change-case" TargetMode="External"/><Relationship Id="rId9" Type="http://schemas.openxmlformats.org/officeDocument/2006/relationships/hyperlink" Target="https://www.government.nl/topics/environment/roles-and-responsibilities-of-provincial-government-municipal-governments-and-water-author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FA6A0-3F7F-465A-B3EF-11E26E3EA784}">
  <ds:schemaRefs>
    <ds:schemaRef ds:uri="http://schemas.microsoft.com/sharepoint/v3/contenttype/forms"/>
  </ds:schemaRefs>
</ds:datastoreItem>
</file>

<file path=customXml/itemProps2.xml><?xml version="1.0" encoding="utf-8"?>
<ds:datastoreItem xmlns:ds="http://schemas.openxmlformats.org/officeDocument/2006/customXml" ds:itemID="{ABD88FA9-5033-4A8F-8972-521170128D4A}"/>
</file>

<file path=customXml/itemProps3.xml><?xml version="1.0" encoding="utf-8"?>
<ds:datastoreItem xmlns:ds="http://schemas.openxmlformats.org/officeDocument/2006/customXml" ds:itemID="{A4FB8EDD-1B32-41DE-B797-BBEA28361DEC}">
  <ds:schemaRefs>
    <ds:schemaRef ds:uri="http://schemas.microsoft.com/office/2006/metadata/properties"/>
    <ds:schemaRef ds:uri="bb362acf-c937-4b56-80a9-693b1877545a"/>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 ds:uri="http://purl.org/dc/elements/1.1/"/>
  </ds:schemaRefs>
</ds:datastoreItem>
</file>

<file path=customXml/itemProps4.xml><?xml version="1.0" encoding="utf-8"?>
<ds:datastoreItem xmlns:ds="http://schemas.openxmlformats.org/officeDocument/2006/customXml" ds:itemID="{99FA8679-E7C6-4CA4-A11D-7B0E9A8C4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86</Pages>
  <Words>23064</Words>
  <Characters>131468</Characters>
  <Application>Microsoft Office Word</Application>
  <DocSecurity>0</DocSecurity>
  <Lines>1095</Lines>
  <Paragraphs>308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Maria Orchard</cp:lastModifiedBy>
  <cp:revision>4</cp:revision>
  <dcterms:created xsi:type="dcterms:W3CDTF">2022-01-19T13:55:00Z</dcterms:created>
  <dcterms:modified xsi:type="dcterms:W3CDTF">2024-09-25T11:10:00Z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ies>
</file>