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915" w:rsidP="00B14915" w:rsidRDefault="00B14915" w14:paraId="1BA3A65B" w14:textId="77777777">
      <w:r>
        <w:t>1. ABOUT THE DATASET</w:t>
      </w:r>
    </w:p>
    <w:p w:rsidR="00B14915" w:rsidP="00B14915" w:rsidRDefault="00B14915" w14:paraId="3AD57534" w14:textId="121E9910">
      <w:r w:rsidR="00B14915">
        <w:rPr/>
        <w:t>--------------------</w:t>
      </w:r>
    </w:p>
    <w:p w:rsidR="11702154" w:rsidRDefault="11702154" w14:paraId="11E371D9" w14:textId="19E02CE7"/>
    <w:p w:rsidR="00B14915" w:rsidP="00B14915" w:rsidRDefault="00B14915" w14:paraId="0A215258" w14:textId="5AD0E2E3">
      <w:r w:rsidR="00B14915">
        <w:rPr/>
        <w:t>Title:</w:t>
      </w:r>
      <w:r w:rsidR="003732FA">
        <w:rPr/>
        <w:t xml:space="preserve"> </w:t>
      </w:r>
    </w:p>
    <w:p w:rsidR="00B14915" w:rsidP="00B14915" w:rsidRDefault="00B14915" w14:paraId="29FE1027" w14:textId="21850C2D">
      <w:r w:rsidR="003732FA">
        <w:rPr/>
        <w:t>Structural and Thermodynamic Classification of Amyloid Polymorphs</w:t>
      </w:r>
    </w:p>
    <w:p w:rsidR="00B14915" w:rsidP="00B14915" w:rsidRDefault="00B14915" w14:paraId="12BE6DDB" w14:textId="77777777"/>
    <w:p w:rsidR="00B14915" w:rsidP="00D07E62" w:rsidRDefault="00B14915" w14:paraId="7F6DAA5B" w14:textId="3E86E71A">
      <w:pPr>
        <w:spacing w:after="0" w:line="360" w:lineRule="auto"/>
      </w:pPr>
      <w:r w:rsidR="00B14915">
        <w:rPr/>
        <w:t xml:space="preserve">Creator(s): </w:t>
      </w:r>
    </w:p>
    <w:p w:rsidR="00B14915" w:rsidP="00D07E62" w:rsidRDefault="00B14915" w14:paraId="2E891B30" w14:textId="4D1BFA8A">
      <w:pPr>
        <w:spacing w:after="0" w:line="360" w:lineRule="auto"/>
      </w:pPr>
      <w:r w:rsidR="00D07E62">
        <w:rPr/>
        <w:t>Jack P. Connor</w:t>
      </w:r>
      <w:r w:rsidRPr="11702154" w:rsidR="00D07E62">
        <w:rPr>
          <w:vertAlign w:val="superscript"/>
        </w:rPr>
        <w:t>1</w:t>
      </w:r>
      <w:r w:rsidR="00D07E62">
        <w:rPr/>
        <w:t>, Sheena E. R</w:t>
      </w:r>
      <w:r w:rsidRPr="11702154" w:rsidR="00D07E62">
        <w:rPr>
          <w:color w:val="auto"/>
        </w:rPr>
        <w:t>adford</w:t>
      </w:r>
      <w:r w:rsidRPr="11702154" w:rsidR="00D07E62">
        <w:rPr>
          <w:color w:val="auto"/>
          <w:vertAlign w:val="superscript"/>
        </w:rPr>
        <w:t>1*</w:t>
      </w:r>
      <w:r w:rsidRPr="11702154" w:rsidR="00D07E62">
        <w:rPr>
          <w:color w:val="auto"/>
        </w:rPr>
        <w:t>, and David J. Brockwell</w:t>
      </w:r>
      <w:r w:rsidRPr="11702154" w:rsidR="00D07E62">
        <w:rPr>
          <w:color w:val="auto"/>
          <w:vertAlign w:val="superscript"/>
        </w:rPr>
        <w:t>1,</w:t>
      </w:r>
      <w:r w:rsidRPr="11702154" w:rsidR="00D07E62">
        <w:rPr>
          <w:color w:val="auto"/>
          <w:vertAlign w:val="superscript"/>
        </w:rPr>
        <w:t>2</w:t>
      </w:r>
      <w:r w:rsidRPr="11702154" w:rsidR="00D07E62">
        <w:rPr>
          <w:color w:val="auto"/>
          <w:vertAlign w:val="superscript"/>
        </w:rPr>
        <w:t>*</w:t>
      </w:r>
    </w:p>
    <w:p w:rsidR="00B14915" w:rsidP="00B14915" w:rsidRDefault="00B14915" w14:paraId="5CE4D5DB" w14:textId="77777777"/>
    <w:p w:rsidR="00B14915" w:rsidP="00B14915" w:rsidRDefault="00B14915" w14:paraId="51ED0F18" w14:textId="583E4775">
      <w:r>
        <w:t xml:space="preserve">Organisation(s): </w:t>
      </w:r>
    </w:p>
    <w:p w:rsidRPr="00A40FFF" w:rsidR="00D07E62" w:rsidP="00D07E62" w:rsidRDefault="00D07E62" w14:paraId="7A4CF752" w14:textId="77777777">
      <w:pPr>
        <w:spacing w:after="0" w:line="360" w:lineRule="auto"/>
        <w:rPr>
          <w:sz w:val="22"/>
          <w:szCs w:val="22"/>
        </w:rPr>
      </w:pPr>
      <w:r w:rsidRPr="33B68738">
        <w:rPr>
          <w:sz w:val="22"/>
          <w:szCs w:val="22"/>
          <w:vertAlign w:val="superscript"/>
        </w:rPr>
        <w:t>1</w:t>
      </w:r>
      <w:r w:rsidRPr="33B68738">
        <w:rPr>
          <w:sz w:val="22"/>
          <w:szCs w:val="22"/>
        </w:rPr>
        <w:t>Astbury Centre for Structural Molecular Biology, School of Molecular and Cellular Biology, Faculty of Biological Sciences, University of Leeds, Leeds, UK</w:t>
      </w:r>
    </w:p>
    <w:p w:rsidR="00D07E62" w:rsidP="00D07E62" w:rsidRDefault="00D07E62" w14:paraId="75B9006B" w14:textId="77777777">
      <w:pPr>
        <w:spacing w:after="0" w:line="360" w:lineRule="auto"/>
        <w:rPr>
          <w:sz w:val="22"/>
          <w:szCs w:val="22"/>
        </w:rPr>
      </w:pPr>
      <w:r w:rsidRPr="33B68738">
        <w:rPr>
          <w:sz w:val="22"/>
          <w:szCs w:val="22"/>
          <w:vertAlign w:val="superscript"/>
        </w:rPr>
        <w:t>2</w:t>
      </w:r>
      <w:r w:rsidRPr="33B68738">
        <w:rPr>
          <w:sz w:val="22"/>
          <w:szCs w:val="22"/>
        </w:rPr>
        <w:t>Lead contact</w:t>
      </w:r>
    </w:p>
    <w:p w:rsidR="00B14915" w:rsidP="00B14915" w:rsidRDefault="00B14915" w14:paraId="0E68F213" w14:textId="77777777"/>
    <w:p w:rsidR="00B14915" w:rsidP="00B14915" w:rsidRDefault="00B14915" w14:paraId="604A617F" w14:textId="394B0528">
      <w:r w:rsidR="00B14915">
        <w:rPr/>
        <w:t>Ri</w:t>
      </w:r>
      <w:r w:rsidR="00B14915">
        <w:rPr/>
        <w:t>ght</w:t>
      </w:r>
      <w:r w:rsidR="00B14915">
        <w:rPr/>
        <w:t>s-holder(s</w:t>
      </w:r>
      <w:r w:rsidR="00B14915">
        <w:rPr/>
        <w:t>):</w:t>
      </w:r>
    </w:p>
    <w:p w:rsidR="00B14915" w:rsidP="00B14915" w:rsidRDefault="00B14915" w14:paraId="6B1B7B05" w14:textId="4D230E6A">
      <w:r w:rsidR="00B14915">
        <w:rPr/>
        <w:t>Unless</w:t>
      </w:r>
      <w:r w:rsidR="00B14915">
        <w:rPr/>
        <w:t xml:space="preserve"> otherwise stated, Copyright 2025 University of Leeds</w:t>
      </w:r>
    </w:p>
    <w:p w:rsidR="00B14915" w:rsidP="00B14915" w:rsidRDefault="00B14915" w14:paraId="184B70E5" w14:textId="77777777"/>
    <w:p w:rsidR="00B14915" w:rsidP="00B14915" w:rsidRDefault="00B14915" w14:paraId="53F185AB" w14:textId="1C8017E9">
      <w:r w:rsidR="00B14915">
        <w:rPr/>
        <w:t xml:space="preserve">Publication Year: </w:t>
      </w:r>
    </w:p>
    <w:p w:rsidR="00B14915" w:rsidP="00B14915" w:rsidRDefault="00B14915" w14:paraId="2136C142" w14:textId="3B339495">
      <w:r w:rsidR="00B14915">
        <w:rPr/>
        <w:t>2025</w:t>
      </w:r>
    </w:p>
    <w:p w:rsidR="00B14915" w:rsidP="00B14915" w:rsidRDefault="00B14915" w14:paraId="4CA0C011" w14:textId="77777777"/>
    <w:p w:rsidR="00384B5A" w:rsidP="00B14915" w:rsidRDefault="00B14915" w14:paraId="35B6B221" w14:textId="4E0308EB">
      <w:r w:rsidR="00B14915">
        <w:rPr/>
        <w:t>De</w:t>
      </w:r>
      <w:r w:rsidR="00B14915">
        <w:rPr/>
        <w:t>scr</w:t>
      </w:r>
      <w:r w:rsidR="00B14915">
        <w:rPr/>
        <w:t>ipti</w:t>
      </w:r>
      <w:r w:rsidR="00B14915">
        <w:rPr/>
        <w:t xml:space="preserve">on: </w:t>
      </w:r>
    </w:p>
    <w:p w:rsidR="00384B5A" w:rsidP="00B14915" w:rsidRDefault="00B14915" w14:paraId="254F1B14" w14:textId="0E1AFBB4">
      <w:r w:rsidR="00384B5A">
        <w:rPr/>
        <w:t>A high</w:t>
      </w:r>
      <w:r w:rsidR="00384B5A">
        <w:rPr/>
        <w:t xml:space="preserve">-throughput analysis pipeline was developed to compare </w:t>
      </w:r>
      <w:r w:rsidR="00384B5A">
        <w:rPr/>
        <w:t>publis</w:t>
      </w:r>
      <w:r w:rsidR="00384B5A">
        <w:rPr/>
        <w:t xml:space="preserve">hed structures of a given protein of interest. This dataset contains data for α-synuclein and 3R or 3R+4R Tau. Amyloid fold similarities are determined by RMSD analysis followed by hierarchical clustering. </w:t>
      </w:r>
      <w:r w:rsidR="00384B5A">
        <w:rPr/>
        <w:t>FoldX</w:t>
      </w:r>
      <w:r w:rsidR="00384B5A">
        <w:rPr/>
        <w:t xml:space="preserve"> is then used for thermodynamic characterisation of amyloid fibrils. From this we </w:t>
      </w:r>
      <w:r w:rsidR="00384B5A">
        <w:rPr/>
        <w:t>identify</w:t>
      </w:r>
      <w:r w:rsidR="00384B5A">
        <w:rPr/>
        <w:t xml:space="preserve"> stabilising regions which pair differently giving rise to distinct polymorphs.</w:t>
      </w:r>
    </w:p>
    <w:p w:rsidR="00B14915" w:rsidP="00B14915" w:rsidRDefault="00B14915" w14:paraId="5069FD01" w14:textId="77777777"/>
    <w:p w:rsidR="00B14915" w:rsidP="00B14915" w:rsidRDefault="00B14915" w14:paraId="405E3469" w14:textId="1C3A7CBC">
      <w:r w:rsidR="00B14915">
        <w:rPr/>
        <w:t xml:space="preserve">Cite as: </w:t>
      </w:r>
    </w:p>
    <w:p w:rsidR="00B14915" w:rsidP="00B14915" w:rsidRDefault="00B14915" w14:paraId="0404B399" w14:textId="69D47AB2">
      <w:r w:rsidR="00E87C7B">
        <w:rPr/>
        <w:t>Connor, Radford, Brockwell (2025) Dataset for ‘</w:t>
      </w:r>
      <w:r w:rsidR="00E87C7B">
        <w:rPr/>
        <w:t>Structural and Thermodynamic Classification of Amyloid Polymorphs</w:t>
      </w:r>
      <w:r w:rsidR="00E87C7B">
        <w:rPr/>
        <w:t xml:space="preserve">’. </w:t>
      </w:r>
      <w:r w:rsidR="00E87C7B">
        <w:rPr/>
        <w:t xml:space="preserve">University of Leeds. [Dataset] </w:t>
      </w:r>
      <w:r w:rsidR="00E87C7B">
        <w:rPr/>
        <w:t>https://doi.org/10.5518/1659</w:t>
      </w:r>
      <w:r w:rsidR="00D6056C">
        <w:rPr/>
        <w:t>.</w:t>
      </w:r>
    </w:p>
    <w:p w:rsidR="00B14915" w:rsidP="00B14915" w:rsidRDefault="00B14915" w14:paraId="436AB6E5" w14:textId="269B028F">
      <w:r w:rsidR="00B14915">
        <w:rPr/>
        <w:t>Related publication:</w:t>
      </w:r>
    </w:p>
    <w:p w:rsidR="00B14915" w:rsidP="00B14915" w:rsidRDefault="00B14915" w14:paraId="051745BE" w14:textId="37B06493">
      <w:r w:rsidR="0053C349">
        <w:rPr/>
        <w:t>Jack P. Connor, Sheena E. Radford, and David J. Brockwell - Structural and Thermodynamic Classification of Amyloid Polymorphs – Structure – 2025 – Accepted</w:t>
      </w:r>
    </w:p>
    <w:p w:rsidR="00B14915" w:rsidP="11702154" w:rsidRDefault="00B14915" w14:paraId="2279816E" w14:textId="47106893">
      <w:pPr>
        <w:pStyle w:val="Normal"/>
      </w:pPr>
    </w:p>
    <w:p w:rsidR="00B14915" w:rsidP="11702154" w:rsidRDefault="00B14915" w14:paraId="25CEFEF4" w14:textId="05D6279A">
      <w:pPr>
        <w:pStyle w:val="Normal"/>
      </w:pPr>
      <w:r w:rsidR="00B14915">
        <w:rPr/>
        <w:t xml:space="preserve">Contact: </w:t>
      </w:r>
      <w:r w:rsidR="00E87C7B">
        <w:rPr/>
        <w:t xml:space="preserve">s.e.radford@leeds.ac.uk; </w:t>
      </w:r>
      <w:hyperlink r:id="R34acaeab64eb4a13">
        <w:r w:rsidRPr="11702154" w:rsidR="00E87C7B">
          <w:rPr>
            <w:rStyle w:val="Hyperlink"/>
          </w:rPr>
          <w:t>d.j.brockwell@leeds.ac.uk</w:t>
        </w:r>
      </w:hyperlink>
    </w:p>
    <w:p w:rsidR="11702154" w:rsidP="11702154" w:rsidRDefault="11702154" w14:paraId="42C384C3" w14:textId="305A4144">
      <w:pPr>
        <w:pStyle w:val="Normal"/>
      </w:pPr>
    </w:p>
    <w:p w:rsidR="00B14915" w:rsidP="00B14915" w:rsidRDefault="00B14915" w14:paraId="11179822" w14:textId="77777777">
      <w:r>
        <w:t>2. TERMS OF USE</w:t>
      </w:r>
    </w:p>
    <w:p w:rsidR="00B14915" w:rsidP="00B14915" w:rsidRDefault="00B14915" w14:paraId="5133FA63" w14:textId="77777777">
      <w:r>
        <w:t>---------------</w:t>
      </w:r>
    </w:p>
    <w:p w:rsidR="00B14915" w:rsidP="00B14915" w:rsidRDefault="00B14915" w14:paraId="075B7532" w14:textId="2BABD4BF">
      <w:r>
        <w:t xml:space="preserve">Copyright </w:t>
      </w:r>
      <w:r w:rsidR="00E90D91">
        <w:t>2025</w:t>
      </w:r>
      <w:r>
        <w:t xml:space="preserve"> University of Leeds. Unless otherwise stated, this dataset is licensed under a Creative Commons Attribution 4.0 International Licence: https://creativecommons.org/licenses/by/4.0/.</w:t>
      </w:r>
    </w:p>
    <w:p w:rsidR="00B14915" w:rsidP="00B14915" w:rsidRDefault="00B14915" w14:paraId="5AABBA48" w14:textId="77777777"/>
    <w:p w:rsidR="00B14915" w:rsidP="00B14915" w:rsidRDefault="00B14915" w14:paraId="09164210" w14:textId="77777777">
      <w:r>
        <w:t>3. PROJECT AND FUNDING INFORMATION</w:t>
      </w:r>
    </w:p>
    <w:p w:rsidR="00B14915" w:rsidP="00B14915" w:rsidRDefault="00B14915" w14:paraId="35F1147D" w14:textId="77777777">
      <w:r>
        <w:t>----------------------------------</w:t>
      </w:r>
    </w:p>
    <w:p w:rsidR="00B14915" w:rsidP="00B14915" w:rsidRDefault="00B14915" w14:paraId="7CABCD7B" w14:textId="77777777"/>
    <w:p w:rsidR="00B14915" w:rsidP="00B14915" w:rsidRDefault="00B14915" w14:paraId="65F6F239" w14:textId="1F0F0A6D">
      <w:r w:rsidR="00B14915">
        <w:rPr/>
        <w:t xml:space="preserve">Title: </w:t>
      </w:r>
      <w:r w:rsidR="71C68330">
        <w:rPr/>
        <w:t>Investigating the sequence specificity α-synuclein and its implications in Parkinson’s Disease</w:t>
      </w:r>
    </w:p>
    <w:p w:rsidR="00B14915" w:rsidP="00B14915" w:rsidRDefault="00B14915" w14:paraId="4DB76F5D" w14:textId="77777777"/>
    <w:p w:rsidR="00B14915" w:rsidP="00B14915" w:rsidRDefault="00B14915" w14:paraId="113829E4" w14:textId="3CCCEDEC">
      <w:r w:rsidR="00B14915">
        <w:rPr/>
        <w:t xml:space="preserve">Dates: </w:t>
      </w:r>
      <w:r w:rsidR="7F5BA9D9">
        <w:rPr/>
        <w:t>01/10/2022 – 30/09/2026</w:t>
      </w:r>
    </w:p>
    <w:p w:rsidR="00B14915" w:rsidP="00B14915" w:rsidRDefault="00B14915" w14:paraId="32ABC0E8" w14:textId="77777777"/>
    <w:p w:rsidR="00B14915" w:rsidP="00B14915" w:rsidRDefault="00B14915" w14:paraId="02145D26" w14:textId="4AFB1BA1">
      <w:r w:rsidR="00B14915">
        <w:rPr/>
        <w:t xml:space="preserve">Funding organisation: </w:t>
      </w:r>
      <w:r w:rsidRPr="57141E4F" w:rsidR="4E8C99F9">
        <w:rPr>
          <w:sz w:val="22"/>
          <w:szCs w:val="22"/>
        </w:rPr>
        <w:t>BBSRC</w:t>
      </w:r>
    </w:p>
    <w:p w:rsidR="00B14915" w:rsidP="00B14915" w:rsidRDefault="00B14915" w14:paraId="62463E9D" w14:textId="77777777"/>
    <w:p w:rsidR="00B14915" w:rsidP="00B14915" w:rsidRDefault="00B14915" w14:paraId="26C84E93" w14:textId="4B511622">
      <w:r w:rsidR="00B14915">
        <w:rPr/>
        <w:t>Grant no.:</w:t>
      </w:r>
      <w:r w:rsidR="7D9468BA">
        <w:rPr/>
        <w:t xml:space="preserve"> </w:t>
      </w:r>
      <w:r w:rsidRPr="57141E4F" w:rsidR="7D9468BA">
        <w:rPr>
          <w:sz w:val="22"/>
          <w:szCs w:val="22"/>
        </w:rPr>
        <w:t>BB/T007222/1</w:t>
      </w:r>
    </w:p>
    <w:p w:rsidR="00B14915" w:rsidP="00B14915" w:rsidRDefault="00B14915" w14:paraId="3ADAD584" w14:textId="77777777"/>
    <w:p w:rsidR="00B14915" w:rsidP="00B14915" w:rsidRDefault="00B14915" w14:paraId="783DF53A" w14:textId="77777777">
      <w:r>
        <w:t>4. CONTENTS</w:t>
      </w:r>
    </w:p>
    <w:p w:rsidR="00B14915" w:rsidP="00B14915" w:rsidRDefault="00B14915" w14:paraId="43854767" w14:textId="6B31465B">
      <w:r>
        <w:t>-----------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254"/>
        <w:gridCol w:w="4262"/>
        <w:gridCol w:w="2268"/>
      </w:tblGrid>
      <w:tr w:rsidR="007D422E" w:rsidTr="007D422E" w14:paraId="64AB274A" w14:textId="77777777">
        <w:tc>
          <w:tcPr>
            <w:tcW w:w="2254" w:type="dxa"/>
          </w:tcPr>
          <w:p w:rsidRPr="007D422E" w:rsidR="007D422E" w:rsidP="007D422E" w:rsidRDefault="007D422E" w14:paraId="7368D3E9" w14:textId="106DF2E6">
            <w:pPr>
              <w:rPr>
                <w:b/>
                <w:bCs/>
              </w:rPr>
            </w:pPr>
            <w:r w:rsidRPr="007D42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Title</w:t>
            </w:r>
          </w:p>
        </w:tc>
        <w:tc>
          <w:tcPr>
            <w:tcW w:w="4262" w:type="dxa"/>
          </w:tcPr>
          <w:p w:rsidRPr="007D422E" w:rsidR="007D422E" w:rsidP="007D422E" w:rsidRDefault="007D422E" w14:paraId="17967826" w14:textId="298390F4">
            <w:pPr>
              <w:rPr>
                <w:b/>
                <w:bCs/>
              </w:rPr>
            </w:pPr>
            <w:r w:rsidRPr="007D42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Description </w:t>
            </w:r>
          </w:p>
        </w:tc>
        <w:tc>
          <w:tcPr>
            <w:tcW w:w="2268" w:type="dxa"/>
          </w:tcPr>
          <w:p w:rsidRPr="007D422E" w:rsidR="007D422E" w:rsidP="007D422E" w:rsidRDefault="007D422E" w14:paraId="524964C1" w14:textId="5BE74985">
            <w:pPr>
              <w:rPr>
                <w:b/>
                <w:bCs/>
              </w:rPr>
            </w:pPr>
            <w:r w:rsidRPr="007D42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Filename</w:t>
            </w:r>
          </w:p>
        </w:tc>
      </w:tr>
      <w:tr w:rsidR="007D422E" w:rsidTr="007D422E" w14:paraId="0B2411C4" w14:textId="77777777">
        <w:tc>
          <w:tcPr>
            <w:tcW w:w="2254" w:type="dxa"/>
            <w:vAlign w:val="bottom"/>
          </w:tcPr>
          <w:p w:rsidRPr="007D422E" w:rsidR="007D422E" w:rsidP="007D422E" w:rsidRDefault="007D422E" w14:paraId="0A32FBA0" w14:textId="603A5B0F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A-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syn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Pairwise RMSD Comparisons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60EBF0FB" w14:textId="39C43CD2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 matrix containing the RMSD values for pairwise RMSD comparisons across all published alpha-synuclein structures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5498F60C" w14:textId="0B2A2705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2.csv</w:t>
            </w:r>
          </w:p>
        </w:tc>
      </w:tr>
      <w:tr w:rsidR="007D422E" w:rsidTr="007D422E" w14:paraId="22331296" w14:textId="77777777">
        <w:tc>
          <w:tcPr>
            <w:tcW w:w="2254" w:type="dxa"/>
            <w:vAlign w:val="bottom"/>
          </w:tcPr>
          <w:p w:rsidRPr="007D422E" w:rsidR="007D422E" w:rsidP="007D422E" w:rsidRDefault="007D422E" w14:paraId="01CA32CC" w14:textId="6B27AC9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A-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syn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Residue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450B5E20" w14:textId="6C157C37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This contains the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FoldX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calculated average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residue for each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asyn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structure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4E049E20" w14:textId="5361A1BD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3A.csv</w:t>
            </w:r>
          </w:p>
        </w:tc>
      </w:tr>
      <w:tr w:rsidR="007D422E" w:rsidTr="007D422E" w14:paraId="62DDCA48" w14:textId="77777777">
        <w:tc>
          <w:tcPr>
            <w:tcW w:w="2254" w:type="dxa"/>
            <w:vAlign w:val="bottom"/>
          </w:tcPr>
          <w:p w:rsidRPr="007D422E" w:rsidR="007D422E" w:rsidP="007D422E" w:rsidRDefault="007D422E" w14:paraId="1C5CB99E" w14:textId="6386B02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A-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syn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Residue Type and Stability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2C49B3EC" w14:textId="412139A9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Counts for the number of times a given residue is found to be either stabilising or destabilising. The counts are then normalised by the total number of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occurences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of the given residue.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5DAD77E7" w14:textId="56426D25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3B-C.csv</w:t>
            </w:r>
          </w:p>
        </w:tc>
      </w:tr>
      <w:tr w:rsidR="007D422E" w:rsidTr="007D422E" w14:paraId="31716545" w14:textId="77777777">
        <w:tc>
          <w:tcPr>
            <w:tcW w:w="2254" w:type="dxa"/>
            <w:vAlign w:val="bottom"/>
          </w:tcPr>
          <w:p w:rsidRPr="007D422E" w:rsidR="007D422E" w:rsidP="007D422E" w:rsidRDefault="007D422E" w14:paraId="71A6258A" w14:textId="4D62100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A-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syn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Stable Region Contacts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0DFB02DE" w14:textId="460E232E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Distance measurements between the stabilising regions for a given structure. region denotes the number of the stabilising region and group denotes the RMSD cluster group the PDB belongs to. The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which_fibril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column is used informs on inter- or intra-molecular contacts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14CA56D2" w14:textId="6ABDB30F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3D.csv</w:t>
            </w:r>
          </w:p>
        </w:tc>
      </w:tr>
      <w:tr w:rsidR="007D422E" w:rsidTr="007D422E" w14:paraId="1C472126" w14:textId="77777777">
        <w:tc>
          <w:tcPr>
            <w:tcW w:w="2254" w:type="dxa"/>
            <w:vAlign w:val="bottom"/>
          </w:tcPr>
          <w:p w:rsidRPr="007D422E" w:rsidR="007D422E" w:rsidP="007D422E" w:rsidRDefault="007D422E" w14:paraId="6646DDA2" w14:textId="0A8B41EF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A-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syn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Q-scores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47B17A53" w14:textId="1B6D2E7D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Q-scores for each PDB taken from the electron microscopy database. 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0C470994" w14:textId="19F55817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3A-C.csv</w:t>
            </w:r>
          </w:p>
        </w:tc>
      </w:tr>
      <w:tr w:rsidR="007D422E" w:rsidTr="007D422E" w14:paraId="3A9088A8" w14:textId="77777777">
        <w:tc>
          <w:tcPr>
            <w:tcW w:w="2254" w:type="dxa"/>
            <w:vAlign w:val="bottom"/>
          </w:tcPr>
          <w:p w:rsidRPr="007D422E" w:rsidR="007D422E" w:rsidP="007D422E" w:rsidRDefault="007D422E" w14:paraId="6FCF72FD" w14:textId="74412DC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A-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syn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Ordered Residues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047B38FE" w14:textId="03868A82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The residues ordered in the fibril core. Taken from the Amyloid Atlas.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4AD72418" w14:textId="4BD1D3D2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S3D.csv</w:t>
            </w:r>
          </w:p>
        </w:tc>
      </w:tr>
      <w:tr w:rsidR="007D422E" w:rsidTr="007D422E" w14:paraId="675ADCC5" w14:textId="77777777">
        <w:tc>
          <w:tcPr>
            <w:tcW w:w="2254" w:type="dxa"/>
            <w:vAlign w:val="bottom"/>
          </w:tcPr>
          <w:p w:rsidRPr="007D422E" w:rsidR="007D422E" w:rsidP="007D422E" w:rsidRDefault="007D422E" w14:paraId="55D76A00" w14:textId="4BB7F814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Tau Q-scores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440A5B17" w14:textId="6BB4FA78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Q-scores for each PDB taken from the electron microscopy database. 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516D40C6" w14:textId="3F6D7E7B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S4A-C.csv</w:t>
            </w:r>
          </w:p>
        </w:tc>
      </w:tr>
      <w:tr w:rsidR="007D422E" w:rsidTr="007D422E" w14:paraId="7929F4CF" w14:textId="77777777">
        <w:tc>
          <w:tcPr>
            <w:tcW w:w="2254" w:type="dxa"/>
            <w:vAlign w:val="bottom"/>
          </w:tcPr>
          <w:p w:rsidRPr="007D422E" w:rsidR="007D422E" w:rsidP="007D422E" w:rsidRDefault="007D422E" w14:paraId="23D4608A" w14:textId="669A1258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Tau Ordered Residues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258841FC" w14:textId="3FBE95C2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The residues ordered in the fibril core. Taken from the Amyloid Atlas.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0D044DD1" w14:textId="1B2E2E90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S4D.csv</w:t>
            </w:r>
          </w:p>
        </w:tc>
      </w:tr>
      <w:tr w:rsidR="007D422E" w:rsidTr="007D422E" w14:paraId="44894ABE" w14:textId="77777777">
        <w:tc>
          <w:tcPr>
            <w:tcW w:w="2254" w:type="dxa"/>
            <w:vAlign w:val="bottom"/>
          </w:tcPr>
          <w:p w:rsidRPr="007D422E" w:rsidR="007D422E" w:rsidP="007D422E" w:rsidRDefault="007D422E" w14:paraId="59A197A4" w14:textId="55BCFBE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A-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syn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FoldX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vs Eisenberg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274364E4" w14:textId="4E19234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The average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FoldX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or Eisenberg solvation energy for each residue position across all solved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structrues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25799657" w14:textId="7C2E2B79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S5.csv</w:t>
            </w:r>
          </w:p>
        </w:tc>
      </w:tr>
      <w:tr w:rsidR="007D422E" w:rsidTr="007D422E" w14:paraId="309092C4" w14:textId="77777777">
        <w:tc>
          <w:tcPr>
            <w:tcW w:w="2254" w:type="dxa"/>
            <w:vAlign w:val="bottom"/>
          </w:tcPr>
          <w:p w:rsidRPr="007D422E" w:rsidR="007D422E" w:rsidP="007D422E" w:rsidRDefault="007D422E" w14:paraId="62052B45" w14:textId="1246BE64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Tau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FoldX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vs Eisenberg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7B59E482" w14:textId="3F02B880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The average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FoldX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or Eisenberg solvation energy for each residue position across all solved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structrues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1992D20A" w14:textId="7BC745AD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S6.csv</w:t>
            </w:r>
          </w:p>
        </w:tc>
      </w:tr>
      <w:tr w:rsidR="007D422E" w:rsidTr="007D422E" w14:paraId="4F79DFE3" w14:textId="77777777">
        <w:tc>
          <w:tcPr>
            <w:tcW w:w="2254" w:type="dxa"/>
            <w:vAlign w:val="bottom"/>
          </w:tcPr>
          <w:p w:rsidRPr="007D422E" w:rsidR="007D422E" w:rsidP="007D422E" w:rsidRDefault="007D422E" w14:paraId="355B2778" w14:textId="26C8FFED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A-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syn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Intra-PDB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Rg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Differences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0505FE44" w14:textId="080EE72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The maximum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Rg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diffrerence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observed between protofilaments within a PDB file.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35B3D833" w14:textId="71BF2EEC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S7A.csv</w:t>
            </w:r>
          </w:p>
        </w:tc>
      </w:tr>
      <w:tr w:rsidR="007D422E" w:rsidTr="007D422E" w14:paraId="7C3FAA18" w14:textId="77777777">
        <w:tc>
          <w:tcPr>
            <w:tcW w:w="2254" w:type="dxa"/>
            <w:vAlign w:val="bottom"/>
          </w:tcPr>
          <w:p w:rsidRPr="007D422E" w:rsidR="007D422E" w:rsidP="007D422E" w:rsidRDefault="007D422E" w14:paraId="118EEC9F" w14:textId="4E77FA89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Tau Intra-PDB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Rg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Differences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33184B7B" w14:textId="6BD33BB3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The maximum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Rg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diffrerence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observed between protofilaments within a PDB file.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1B49E0BE" w14:textId="7EDAEAB2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S7B.csv</w:t>
            </w:r>
          </w:p>
        </w:tc>
      </w:tr>
      <w:tr w:rsidR="007D422E" w:rsidTr="007D422E" w14:paraId="477493C0" w14:textId="77777777">
        <w:tc>
          <w:tcPr>
            <w:tcW w:w="2254" w:type="dxa"/>
            <w:vAlign w:val="bottom"/>
          </w:tcPr>
          <w:p w:rsidRPr="007D422E" w:rsidR="007D422E" w:rsidP="007D422E" w:rsidRDefault="007D422E" w14:paraId="316D4917" w14:textId="2F6AB34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A-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syn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Scree Plot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4899C043" w14:textId="2B6CE4D7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used for scree plot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1A303BD8" w14:textId="43FD65AE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S10A.csv</w:t>
            </w:r>
          </w:p>
        </w:tc>
      </w:tr>
      <w:tr w:rsidR="007D422E" w:rsidTr="007D422E" w14:paraId="25A8B210" w14:textId="77777777">
        <w:tc>
          <w:tcPr>
            <w:tcW w:w="2254" w:type="dxa"/>
            <w:vAlign w:val="bottom"/>
          </w:tcPr>
          <w:p w:rsidRPr="007D422E" w:rsidR="007D422E" w:rsidP="007D422E" w:rsidRDefault="007D422E" w14:paraId="5E551520" w14:textId="6B32A71D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Tau Scree Plot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01184771" w14:textId="1141FAC0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used for scree plot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1D461BE4" w14:textId="69704242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S10B.csv</w:t>
            </w:r>
          </w:p>
        </w:tc>
      </w:tr>
      <w:tr w:rsidR="007D422E" w:rsidTr="007D422E" w14:paraId="5F4E7BB8" w14:textId="77777777">
        <w:tc>
          <w:tcPr>
            <w:tcW w:w="2254" w:type="dxa"/>
            <w:vAlign w:val="bottom"/>
          </w:tcPr>
          <w:p w:rsidRPr="007D422E" w:rsidR="007D422E" w:rsidP="007D422E" w:rsidRDefault="007D422E" w14:paraId="53C3E2CB" w14:textId="12AAC7D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Tau Pairwise RMSD Comparisons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1CE0792D" w14:textId="3CC1C2EC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 matrix containing the RMSD values for pairwise RMSD comparisons across all published 3R and 3R+4R Tau structures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026B0940" w14:textId="222C2614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S11A.csv</w:t>
            </w:r>
          </w:p>
        </w:tc>
      </w:tr>
      <w:tr w:rsidR="007D422E" w:rsidTr="007D422E" w14:paraId="26EC026E" w14:textId="77777777">
        <w:tc>
          <w:tcPr>
            <w:tcW w:w="2254" w:type="dxa"/>
            <w:vAlign w:val="bottom"/>
          </w:tcPr>
          <w:p w:rsidRPr="007D422E" w:rsidR="007D422E" w:rsidP="007D422E" w:rsidRDefault="007D422E" w14:paraId="60ED26C6" w14:textId="12BD8072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Tau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Residue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04F55E1D" w14:textId="0AF54B37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This contains the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FoldX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calculated average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residue for each tau structure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243BD877" w14:textId="37DDEE80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S11B.csv</w:t>
            </w:r>
          </w:p>
        </w:tc>
      </w:tr>
      <w:tr w:rsidR="007D422E" w:rsidTr="007D422E" w14:paraId="27938B6C" w14:textId="77777777">
        <w:tc>
          <w:tcPr>
            <w:tcW w:w="2254" w:type="dxa"/>
            <w:vAlign w:val="bottom"/>
          </w:tcPr>
          <w:p w:rsidRPr="007D422E" w:rsidR="007D422E" w:rsidP="007D422E" w:rsidRDefault="007D422E" w14:paraId="47260E73" w14:textId="58137E56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Tau Residue Type and Stability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1A053F7A" w14:textId="7EE2A146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Counts for the number of times a given residue is found to be either stabilising or destabilising. The counts are then normalised by the total number of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occurences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of the given residue.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5CDD0EF4" w14:textId="7EF7AB5F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S11C-D.csv</w:t>
            </w:r>
          </w:p>
        </w:tc>
      </w:tr>
      <w:tr w:rsidR="007D422E" w:rsidTr="007D422E" w14:paraId="2C3622F5" w14:textId="77777777">
        <w:tc>
          <w:tcPr>
            <w:tcW w:w="2254" w:type="dxa"/>
            <w:vAlign w:val="bottom"/>
          </w:tcPr>
          <w:p w:rsidRPr="007D422E" w:rsidR="007D422E" w:rsidP="007D422E" w:rsidRDefault="007D422E" w14:paraId="62586D79" w14:textId="7E765498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Tau Stable Region Contacts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756CA07B" w14:textId="1C983971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Distance measurements between the stabilising regions for a given structure. region denotes the number of the stabilising region and group denotes the RMSD cluster group the PDB belongs to. The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which_fibril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column is used informs on inter- or intra-molecular contacts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650C8423" w14:textId="38AA1AC8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S11E.csv</w:t>
            </w:r>
          </w:p>
        </w:tc>
      </w:tr>
      <w:tr w:rsidR="007D422E" w:rsidTr="007D422E" w14:paraId="2292017E" w14:textId="77777777">
        <w:tc>
          <w:tcPr>
            <w:tcW w:w="2254" w:type="dxa"/>
            <w:vAlign w:val="bottom"/>
          </w:tcPr>
          <w:p w:rsidRPr="007D422E" w:rsidR="007D422E" w:rsidP="007D422E" w:rsidRDefault="007D422E" w14:paraId="33E7EE97" w14:textId="70D24DEF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Peason Correlation for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FoldX</w:t>
            </w:r>
            <w:proofErr w:type="spellEnd"/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63B8EBAC" w14:textId="4F04BD83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Pairwise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pearson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correlations on the calculated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residue profiles for each structure. This file contains data for both a-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syn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tau.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5E1D3BF5" w14:textId="580843A1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S12.csv</w:t>
            </w:r>
          </w:p>
        </w:tc>
      </w:tr>
      <w:tr w:rsidR="007D422E" w:rsidTr="007D422E" w14:paraId="0C022FEB" w14:textId="77777777">
        <w:tc>
          <w:tcPr>
            <w:tcW w:w="2254" w:type="dxa"/>
            <w:vAlign w:val="bottom"/>
          </w:tcPr>
          <w:p w:rsidRPr="007D422E" w:rsidR="007D422E" w:rsidP="007D422E" w:rsidRDefault="007D422E" w14:paraId="5650104B" w14:textId="501753E0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A-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syn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Stable Regions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588DFF10" w14:textId="29F990CB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Defined stable regions used to generate the </w:t>
            </w:r>
            <w:proofErr w:type="gram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vertical coloured</w:t>
            </w:r>
            <w:proofErr w:type="gram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bars. The thermodynamic profiles can be found in Data for Figure 3A.csv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50489829" w14:textId="068A1923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S13A.csv</w:t>
            </w:r>
          </w:p>
        </w:tc>
      </w:tr>
      <w:tr w:rsidR="007D422E" w:rsidTr="007D422E" w14:paraId="4F08E891" w14:textId="77777777">
        <w:tc>
          <w:tcPr>
            <w:tcW w:w="2254" w:type="dxa"/>
            <w:vAlign w:val="bottom"/>
          </w:tcPr>
          <w:p w:rsidRPr="007D422E" w:rsidR="007D422E" w:rsidP="007D422E" w:rsidRDefault="007D422E" w14:paraId="4AF507BD" w14:textId="7AF31AD2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Tau Stable Regions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3536AE6F" w14:textId="5B58D297">
            <w:pPr>
              <w:rPr>
                <w:sz w:val="16"/>
                <w:szCs w:val="16"/>
              </w:rPr>
            </w:pPr>
            <w:r w:rsidRPr="007D422E">
              <w:rPr>
                <w:rFonts w:ascii="Aptos Narrow" w:hAnsi="Aptos Narrow" w:cs="Arial"/>
                <w:color w:val="242424"/>
                <w:sz w:val="16"/>
                <w:szCs w:val="16"/>
              </w:rPr>
              <w:t xml:space="preserve">Defined stable regions used to generate the </w:t>
            </w:r>
            <w:proofErr w:type="gramStart"/>
            <w:r w:rsidRPr="007D422E">
              <w:rPr>
                <w:rFonts w:ascii="Aptos Narrow" w:hAnsi="Aptos Narrow" w:cs="Arial"/>
                <w:color w:val="242424"/>
                <w:sz w:val="16"/>
                <w:szCs w:val="16"/>
              </w:rPr>
              <w:t>vertical coloured</w:t>
            </w:r>
            <w:proofErr w:type="gramEnd"/>
            <w:r w:rsidRPr="007D422E">
              <w:rPr>
                <w:rFonts w:ascii="Aptos Narrow" w:hAnsi="Aptos Narrow" w:cs="Arial"/>
                <w:color w:val="242424"/>
                <w:sz w:val="16"/>
                <w:szCs w:val="16"/>
              </w:rPr>
              <w:t xml:space="preserve"> bars. The thermodynamic profiles can be found in Data for Figure 3A.csv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4C7C139A" w14:textId="3407BCAF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S13B.csv</w:t>
            </w:r>
          </w:p>
        </w:tc>
      </w:tr>
      <w:tr w:rsidR="007D422E" w:rsidTr="007D422E" w14:paraId="57DF8E76" w14:textId="77777777">
        <w:tc>
          <w:tcPr>
            <w:tcW w:w="2254" w:type="dxa"/>
            <w:vAlign w:val="bottom"/>
          </w:tcPr>
          <w:p w:rsidRPr="007D422E" w:rsidR="007D422E" w:rsidP="007D422E" w:rsidRDefault="007D422E" w14:paraId="23CED28D" w14:textId="27DE4F88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Comparing stability and β-strand propensity for α-synuclein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507036D3" w14:textId="169DD299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Sliding window averaged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residue and B-sheet propensity for each residue position. Window size of 3.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5FA4FF35" w14:textId="393B7DAF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S14A.csv</w:t>
            </w:r>
          </w:p>
        </w:tc>
      </w:tr>
      <w:tr w:rsidR="007D422E" w:rsidTr="007D422E" w14:paraId="64EF68CE" w14:textId="77777777">
        <w:tc>
          <w:tcPr>
            <w:tcW w:w="2254" w:type="dxa"/>
            <w:vAlign w:val="bottom"/>
          </w:tcPr>
          <w:p w:rsidRPr="007D422E" w:rsidR="007D422E" w:rsidP="007D422E" w:rsidRDefault="007D422E" w14:paraId="36692886" w14:textId="3A518003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Comparing stability and β-strand propensity for Tau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7B44667B" w14:textId="63A8B9F8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Sliding window averaged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residue and B-sheet propensity for each residue position. Window size of 3.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017447B4" w14:textId="44A48367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S14B.csv</w:t>
            </w:r>
          </w:p>
        </w:tc>
      </w:tr>
      <w:tr w:rsidR="007D422E" w:rsidTr="007D422E" w14:paraId="224A5C5C" w14:textId="77777777">
        <w:tc>
          <w:tcPr>
            <w:tcW w:w="2254" w:type="dxa"/>
            <w:vAlign w:val="bottom"/>
          </w:tcPr>
          <w:p w:rsidRPr="007D422E" w:rsidR="007D422E" w:rsidP="007D422E" w:rsidRDefault="007D422E" w14:paraId="4F948B51" w14:textId="7651E8F2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All-residue contact maps of different α-synuclein amyloid polymorphs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10B1779F" w14:textId="3F6286A6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Distance measurements between all residues for a given structure. Group denotes the RMSD cluster group the PDB belongs to. The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which_fibril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column is used informs on inter- or intra-molecular contacts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4F9BAD0B" w14:textId="09FA4428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S16.csv</w:t>
            </w:r>
          </w:p>
        </w:tc>
      </w:tr>
      <w:tr w:rsidR="007D422E" w:rsidTr="007D422E" w14:paraId="2A89EA02" w14:textId="77777777">
        <w:tc>
          <w:tcPr>
            <w:tcW w:w="2254" w:type="dxa"/>
            <w:vAlign w:val="bottom"/>
          </w:tcPr>
          <w:p w:rsidRPr="007D422E" w:rsidR="007D422E" w:rsidP="007D422E" w:rsidRDefault="007D422E" w14:paraId="19C60C57" w14:textId="61155D2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All-residue contact maps of different tau amyloid polymorphs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5DD4340E" w14:textId="0BA3FBA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Distance measurements between all residues for a given structure. Group denotes the RMSD cluster group the PDB belongs to. The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which_fibril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column is used informs on inter- or intra-molecular contacts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4A90A800" w14:textId="19C2D1B7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S17.csv</w:t>
            </w:r>
          </w:p>
        </w:tc>
      </w:tr>
      <w:tr w:rsidR="007D422E" w:rsidTr="007D422E" w14:paraId="6B8869DA" w14:textId="77777777">
        <w:tc>
          <w:tcPr>
            <w:tcW w:w="2254" w:type="dxa"/>
            <w:vAlign w:val="bottom"/>
          </w:tcPr>
          <w:p w:rsidRPr="007D422E" w:rsidR="007D422E" w:rsidP="007D422E" w:rsidRDefault="007D422E" w14:paraId="07E318AF" w14:textId="61F41EC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Thermodynamic stability of α-synuclein amyloid fibrils </w:t>
            </w: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formed under different conditions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2E36AFC4" w14:textId="6D4E05E5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The total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PDB calculated by summing the average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residue. Condition gives information on the fibril formation conditions.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759EE371" w14:textId="24F274B8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S18A.csv</w:t>
            </w:r>
          </w:p>
        </w:tc>
      </w:tr>
      <w:tr w:rsidR="007D422E" w:rsidTr="007D422E" w14:paraId="0E89E711" w14:textId="77777777">
        <w:tc>
          <w:tcPr>
            <w:tcW w:w="2254" w:type="dxa"/>
            <w:vAlign w:val="bottom"/>
          </w:tcPr>
          <w:p w:rsidRPr="007D422E" w:rsidR="007D422E" w:rsidP="007D422E" w:rsidRDefault="007D422E" w14:paraId="6B51AE14" w14:textId="04748F6A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Thermodynamic stability of different α-synuclein amyloid polymorphs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37902609" w14:textId="06AE7D73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The total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PDB calculated by summing the average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residue. Group denotes the RMSD cluster group the PDB belongs to.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6D69CA7C" w14:textId="39A87392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S18B.csv</w:t>
            </w:r>
          </w:p>
        </w:tc>
      </w:tr>
      <w:tr w:rsidR="007D422E" w:rsidTr="007D422E" w14:paraId="62813ED5" w14:textId="77777777">
        <w:tc>
          <w:tcPr>
            <w:tcW w:w="2254" w:type="dxa"/>
            <w:vAlign w:val="bottom"/>
          </w:tcPr>
          <w:p w:rsidRPr="007D422E" w:rsidR="007D422E" w:rsidP="007D422E" w:rsidRDefault="007D422E" w14:paraId="5B723FEE" w14:textId="0E668960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Thermodynamic stability of tau amyloid fibrils formed under different conditions</w:t>
            </w:r>
          </w:p>
        </w:tc>
        <w:tc>
          <w:tcPr>
            <w:tcW w:w="4262" w:type="dxa"/>
            <w:vAlign w:val="bottom"/>
          </w:tcPr>
          <w:p w:rsidRPr="007D422E" w:rsidR="007D422E" w:rsidP="007D422E" w:rsidRDefault="007D422E" w14:paraId="490B759C" w14:textId="0EB0D97B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The total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PDB calculated by summing the average </w:t>
            </w:r>
            <w:proofErr w:type="spellStart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DeltaG</w:t>
            </w:r>
            <w:proofErr w:type="spellEnd"/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residue. Condition gives information on the fibril formation conditions.</w:t>
            </w:r>
          </w:p>
        </w:tc>
        <w:tc>
          <w:tcPr>
            <w:tcW w:w="2268" w:type="dxa"/>
            <w:vAlign w:val="bottom"/>
          </w:tcPr>
          <w:p w:rsidRPr="007D422E" w:rsidR="007D422E" w:rsidP="007D422E" w:rsidRDefault="007D422E" w14:paraId="75088272" w14:textId="15E7E146">
            <w:pPr>
              <w:rPr>
                <w:sz w:val="16"/>
                <w:szCs w:val="16"/>
              </w:rPr>
            </w:pPr>
            <w:r w:rsidRPr="007D422E">
              <w:rPr>
                <w:rFonts w:ascii="Arial" w:hAnsi="Arial" w:cs="Arial"/>
                <w:color w:val="000000"/>
                <w:sz w:val="16"/>
                <w:szCs w:val="16"/>
              </w:rPr>
              <w:t>Data for Figure S18C.csv</w:t>
            </w:r>
          </w:p>
        </w:tc>
      </w:tr>
    </w:tbl>
    <w:p w:rsidR="00B14915" w:rsidP="00B14915" w:rsidRDefault="00B14915" w14:paraId="6036C47D" w14:textId="77777777"/>
    <w:p w:rsidR="11702154" w:rsidRDefault="11702154" w14:paraId="243BE41A" w14:textId="7396C511"/>
    <w:p w:rsidR="00B14915" w:rsidP="00B14915" w:rsidRDefault="00B14915" w14:paraId="301CDFE1" w14:textId="77777777">
      <w:r w:rsidR="00B14915">
        <w:rPr/>
        <w:t>5. METHODS</w:t>
      </w:r>
    </w:p>
    <w:p w:rsidR="76FE4928" w:rsidP="11702154" w:rsidRDefault="76FE4928" w14:paraId="04BDEACA" w14:textId="0DD4800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76FE4928">
        <w:rPr/>
        <w:t>See associated publication.</w:t>
      </w:r>
    </w:p>
    <w:p w:rsidR="00B14915" w:rsidP="00B14915" w:rsidRDefault="00B14915" w14:paraId="5EC586DD" w14:textId="77777777">
      <w:r>
        <w:t>----------</w:t>
      </w:r>
    </w:p>
    <w:p w:rsidR="00B14915" w:rsidP="00B14915" w:rsidRDefault="00B14915" w14:paraId="5AD3BB1A" w14:textId="77777777"/>
    <w:p w:rsidR="11702154" w:rsidP="11702154" w:rsidRDefault="11702154" w14:paraId="7DBC9B64" w14:textId="2E5B69B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</w:p>
    <w:sectPr w:rsidR="00B21C3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36"/>
    <w:rsid w:val="001648DE"/>
    <w:rsid w:val="001C1482"/>
    <w:rsid w:val="003732FA"/>
    <w:rsid w:val="00384B5A"/>
    <w:rsid w:val="0053C349"/>
    <w:rsid w:val="00586BB6"/>
    <w:rsid w:val="007D422E"/>
    <w:rsid w:val="00B14915"/>
    <w:rsid w:val="00B21C36"/>
    <w:rsid w:val="00D07E62"/>
    <w:rsid w:val="00D6056C"/>
    <w:rsid w:val="00E87C7B"/>
    <w:rsid w:val="00E90D91"/>
    <w:rsid w:val="06D4AACE"/>
    <w:rsid w:val="11702154"/>
    <w:rsid w:val="18E128A3"/>
    <w:rsid w:val="23636DBA"/>
    <w:rsid w:val="2AF07439"/>
    <w:rsid w:val="32F3232B"/>
    <w:rsid w:val="3D501F84"/>
    <w:rsid w:val="40CE2434"/>
    <w:rsid w:val="4E8C99F9"/>
    <w:rsid w:val="57141E4F"/>
    <w:rsid w:val="58E25C05"/>
    <w:rsid w:val="5F608B4B"/>
    <w:rsid w:val="71C68330"/>
    <w:rsid w:val="7287CBBE"/>
    <w:rsid w:val="74329709"/>
    <w:rsid w:val="76FE4928"/>
    <w:rsid w:val="7D9468BA"/>
    <w:rsid w:val="7F5BA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2863"/>
  <w15:chartTrackingRefBased/>
  <w15:docId w15:val="{437E7880-C356-4B5D-A51F-101B4518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C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C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21C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21C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21C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21C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21C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21C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21C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21C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21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C3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21C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21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C3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21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C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21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7C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C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D42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d.j.brockwell@leeds.ac.uk" TargetMode="External" Id="R34acaeab64eb4a1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EB3905992E54BBAD901A47ED1CA8C" ma:contentTypeVersion="18" ma:contentTypeDescription="Create a new document." ma:contentTypeScope="" ma:versionID="855d489124c00489e273ad516665d482">
  <xsd:schema xmlns:xsd="http://www.w3.org/2001/XMLSchema" xmlns:xs="http://www.w3.org/2001/XMLSchema" xmlns:p="http://schemas.microsoft.com/office/2006/metadata/properties" xmlns:ns2="1c66cb88-db77-4d42-9dc4-fb37066edc24" xmlns:ns3="7cf861dc-a431-4ef3-8baf-d03d54e74a07" targetNamespace="http://schemas.microsoft.com/office/2006/metadata/properties" ma:root="true" ma:fieldsID="b4cc50d5a7126749e578fa96a9e405f8" ns2:_="" ns3:_="">
    <xsd:import namespace="1c66cb88-db77-4d42-9dc4-fb37066edc24"/>
    <xsd:import namespace="7cf861dc-a431-4ef3-8baf-d03d54e74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6cb88-db77-4d42-9dc4-fb37066ed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861dc-a431-4ef3-8baf-d03d54e74a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1ac723-6a7a-431d-b784-496353a11c74}" ma:internalName="TaxCatchAll" ma:showField="CatchAllData" ma:web="7cf861dc-a431-4ef3-8baf-d03d54e74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6cb88-db77-4d42-9dc4-fb37066edc24">
      <Terms xmlns="http://schemas.microsoft.com/office/infopath/2007/PartnerControls"/>
    </lcf76f155ced4ddcb4097134ff3c332f>
    <TaxCatchAll xmlns="7cf861dc-a431-4ef3-8baf-d03d54e74a07" xsi:nil="true"/>
  </documentManagement>
</p:properties>
</file>

<file path=customXml/itemProps1.xml><?xml version="1.0" encoding="utf-8"?>
<ds:datastoreItem xmlns:ds="http://schemas.openxmlformats.org/officeDocument/2006/customXml" ds:itemID="{80A01694-EB60-457F-85CF-D5D56C3FC1F6}"/>
</file>

<file path=customXml/itemProps2.xml><?xml version="1.0" encoding="utf-8"?>
<ds:datastoreItem xmlns:ds="http://schemas.openxmlformats.org/officeDocument/2006/customXml" ds:itemID="{867227A0-30BC-465D-B951-6E2F78812A36}"/>
</file>

<file path=customXml/itemProps3.xml><?xml version="1.0" encoding="utf-8"?>
<ds:datastoreItem xmlns:ds="http://schemas.openxmlformats.org/officeDocument/2006/customXml" ds:itemID="{CCF60AA6-3577-4F5B-B5D1-E21D4CE5AE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Connor</dc:creator>
  <keywords/>
  <dc:description/>
  <lastModifiedBy>Jack Connor</lastModifiedBy>
  <revision>12</revision>
  <dcterms:created xsi:type="dcterms:W3CDTF">2025-07-17T17:08:00.0000000Z</dcterms:created>
  <dcterms:modified xsi:type="dcterms:W3CDTF">2025-07-18T13:13:32.2446356Z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0x01010068AEB3905992E54BBAD901A47ED1CA8C</vt:lpwstr>
  </property>
  <property fmtid="{D5CDD505-2E9C-101B-9397-08002B2CF9AE}" pid="3" name="MediaServiceImageTags">
    <vt:lpwstr/>
  </property>
</Properties>
</file>