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8407" w14:textId="77777777" w:rsidR="007E7FFE" w:rsidRPr="007E7FFE" w:rsidRDefault="007E7FFE" w:rsidP="007E7FFE">
      <w:r w:rsidRPr="007E7FFE">
        <w:t>1. ABOUT THE DATASET</w:t>
      </w:r>
    </w:p>
    <w:p w14:paraId="2BF9D5D0" w14:textId="77777777" w:rsidR="007E7FFE" w:rsidRPr="007E7FFE" w:rsidRDefault="007E7FFE" w:rsidP="007E7FFE">
      <w:r w:rsidRPr="007E7FFE">
        <w:t>--------------------</w:t>
      </w:r>
    </w:p>
    <w:p w14:paraId="2A8C5B2A" w14:textId="77777777" w:rsidR="007E7FFE" w:rsidRPr="007E7FFE" w:rsidRDefault="007E7FFE" w:rsidP="007E7FFE"/>
    <w:p w14:paraId="6592227D" w14:textId="242015AD" w:rsidR="007E7FFE" w:rsidRPr="007E7FFE" w:rsidRDefault="00ED22C1" w:rsidP="007E7FFE">
      <w:r w:rsidRPr="00ED22C1">
        <w:t>Employing Deep Mutational Scanning in the E. coli Periplasm to Decode the Thermodynamic Landscape For Amyloid Formation</w:t>
      </w:r>
    </w:p>
    <w:p w14:paraId="3241F326" w14:textId="77777777" w:rsidR="007E7FFE" w:rsidRPr="007E7FFE" w:rsidRDefault="007E7FFE" w:rsidP="007E7FFE"/>
    <w:p w14:paraId="55132D57" w14:textId="76227CF1" w:rsidR="00E472AC" w:rsidRPr="000A0E03" w:rsidRDefault="00E472AC" w:rsidP="00E472AC">
      <w:pPr>
        <w:jc w:val="both"/>
        <w:rPr>
          <w:sz w:val="20"/>
          <w:szCs w:val="20"/>
        </w:rPr>
      </w:pPr>
      <w:r w:rsidRPr="000A0E03">
        <w:rPr>
          <w:sz w:val="20"/>
          <w:szCs w:val="20"/>
        </w:rPr>
        <w:t>Conor E.</w:t>
      </w:r>
      <w:r>
        <w:rPr>
          <w:sz w:val="20"/>
          <w:szCs w:val="20"/>
        </w:rPr>
        <w:t xml:space="preserve"> McKay</w:t>
      </w:r>
      <w:r w:rsidRPr="000A0E03">
        <w:rPr>
          <w:sz w:val="20"/>
          <w:szCs w:val="20"/>
          <w:vertAlign w:val="superscript"/>
        </w:rPr>
        <w:t>1 ,2</w:t>
      </w:r>
      <w:r w:rsidRPr="000A0E03">
        <w:rPr>
          <w:sz w:val="20"/>
          <w:szCs w:val="20"/>
        </w:rPr>
        <w:t xml:space="preserve">, </w:t>
      </w:r>
      <w:r>
        <w:rPr>
          <w:sz w:val="20"/>
          <w:szCs w:val="20"/>
        </w:rPr>
        <w:t>Miles. Deans</w:t>
      </w:r>
      <w:r w:rsidRPr="000A0E03">
        <w:rPr>
          <w:sz w:val="20"/>
          <w:szCs w:val="20"/>
          <w:vertAlign w:val="superscript"/>
        </w:rPr>
        <w:t xml:space="preserve">, </w:t>
      </w:r>
      <w:r>
        <w:rPr>
          <w:sz w:val="20"/>
          <w:szCs w:val="20"/>
          <w:vertAlign w:val="superscript"/>
        </w:rPr>
        <w:t>1,</w:t>
      </w:r>
      <w:r w:rsidRPr="000A0E03">
        <w:rPr>
          <w:sz w:val="20"/>
          <w:szCs w:val="20"/>
          <w:vertAlign w:val="superscript"/>
        </w:rPr>
        <w:t>2</w:t>
      </w:r>
      <w:r w:rsidRPr="000A0E03">
        <w:rPr>
          <w:sz w:val="20"/>
          <w:szCs w:val="20"/>
        </w:rPr>
        <w:t xml:space="preserve">, </w:t>
      </w:r>
      <w:r>
        <w:rPr>
          <w:sz w:val="20"/>
          <w:szCs w:val="20"/>
        </w:rPr>
        <w:t>Jack. Connor,</w:t>
      </w:r>
      <w:r w:rsidRPr="000A0E03">
        <w:rPr>
          <w:sz w:val="20"/>
          <w:szCs w:val="20"/>
          <w:vertAlign w:val="superscript"/>
        </w:rPr>
        <w:t xml:space="preserve">1,2 </w:t>
      </w:r>
      <w:r>
        <w:rPr>
          <w:sz w:val="20"/>
          <w:szCs w:val="20"/>
        </w:rPr>
        <w:t>Janet C. Saunders</w:t>
      </w:r>
      <w:r w:rsidRPr="000A0E03">
        <w:rPr>
          <w:sz w:val="20"/>
          <w:szCs w:val="20"/>
          <w:vertAlign w:val="superscript"/>
        </w:rPr>
        <w:t xml:space="preserve"> 3,4</w:t>
      </w:r>
      <w:r w:rsidRPr="000A0E03">
        <w:rPr>
          <w:sz w:val="20"/>
          <w:szCs w:val="20"/>
        </w:rPr>
        <w:t>.</w:t>
      </w:r>
      <w:r w:rsidRPr="000A0E03">
        <w:rPr>
          <w:sz w:val="20"/>
          <w:szCs w:val="20"/>
          <w:vertAlign w:val="superscript"/>
        </w:rPr>
        <w:t xml:space="preserve"> </w:t>
      </w:r>
      <w:r w:rsidRPr="000A0E03">
        <w:rPr>
          <w:sz w:val="20"/>
          <w:szCs w:val="20"/>
        </w:rPr>
        <w:t xml:space="preserve"> Christopher</w:t>
      </w:r>
      <w:r>
        <w:rPr>
          <w:sz w:val="20"/>
          <w:szCs w:val="20"/>
        </w:rPr>
        <w:t>. Lloyd</w:t>
      </w:r>
      <w:r w:rsidRPr="000A0E03">
        <w:rPr>
          <w:sz w:val="20"/>
          <w:szCs w:val="20"/>
          <w:vertAlign w:val="superscript"/>
        </w:rPr>
        <w:t>3</w:t>
      </w:r>
      <w:r w:rsidRPr="000A0E03">
        <w:rPr>
          <w:sz w:val="20"/>
          <w:szCs w:val="20"/>
        </w:rPr>
        <w:t xml:space="preserve">, </w:t>
      </w:r>
      <w:r>
        <w:rPr>
          <w:sz w:val="20"/>
          <w:szCs w:val="20"/>
        </w:rPr>
        <w:t>Sheena E. Radford,</w:t>
      </w:r>
      <w:r w:rsidRPr="000A0E03">
        <w:rPr>
          <w:sz w:val="20"/>
          <w:szCs w:val="20"/>
          <w:vertAlign w:val="superscript"/>
        </w:rPr>
        <w:t xml:space="preserve"> 1,2</w:t>
      </w:r>
      <w:r w:rsidRPr="000A0E03">
        <w:rPr>
          <w:sz w:val="20"/>
          <w:szCs w:val="20"/>
        </w:rPr>
        <w:t xml:space="preserve"> and David J.</w:t>
      </w:r>
      <w:r>
        <w:rPr>
          <w:sz w:val="20"/>
          <w:szCs w:val="20"/>
        </w:rPr>
        <w:t xml:space="preserve"> Brockwell</w:t>
      </w:r>
      <w:r w:rsidRPr="000A0E03">
        <w:rPr>
          <w:sz w:val="20"/>
          <w:szCs w:val="20"/>
          <w:vertAlign w:val="superscript"/>
        </w:rPr>
        <w:t xml:space="preserve"> 1,2*</w:t>
      </w:r>
      <w:r w:rsidRPr="000A0E03">
        <w:rPr>
          <w:sz w:val="20"/>
          <w:szCs w:val="20"/>
        </w:rPr>
        <w:t xml:space="preserve">. </w:t>
      </w:r>
    </w:p>
    <w:p w14:paraId="5BBF5698" w14:textId="77777777" w:rsidR="00E472AC" w:rsidRPr="000A0E03" w:rsidRDefault="00E472AC" w:rsidP="00E472AC">
      <w:pPr>
        <w:pBdr>
          <w:bottom w:val="single" w:sz="6" w:space="1" w:color="000000"/>
        </w:pBdr>
        <w:spacing w:after="0"/>
        <w:jc w:val="both"/>
        <w:textAlignment w:val="baseline"/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0A0E03">
        <w:rPr>
          <w:rFonts w:eastAsia="Times New Roman" w:cstheme="minorHAnsi"/>
          <w:bCs/>
          <w:sz w:val="20"/>
          <w:szCs w:val="20"/>
          <w:vertAlign w:val="superscript"/>
          <w:lang w:eastAsia="en-GB"/>
        </w:rPr>
        <w:t>1</w:t>
      </w:r>
      <w:r w:rsidRPr="000A0E03">
        <w:rPr>
          <w:rFonts w:eastAsia="Times New Roman" w:cstheme="minorHAnsi"/>
          <w:bCs/>
          <w:sz w:val="20"/>
          <w:szCs w:val="20"/>
          <w:lang w:eastAsia="en-GB"/>
        </w:rPr>
        <w:t xml:space="preserve"> Astbury Centre for Structural and Molecular Biology, University of Leeds;</w:t>
      </w:r>
      <w:r w:rsidRPr="000A0E03">
        <w:rPr>
          <w:rFonts w:eastAsia="Times New Roman" w:cstheme="minorHAnsi"/>
          <w:bCs/>
          <w:sz w:val="20"/>
          <w:szCs w:val="20"/>
          <w:vertAlign w:val="superscript"/>
          <w:lang w:eastAsia="en-GB"/>
        </w:rPr>
        <w:t>2</w:t>
      </w:r>
      <w:r w:rsidRPr="000A0E03">
        <w:rPr>
          <w:rFonts w:eastAsia="Times New Roman" w:cstheme="minorHAnsi"/>
          <w:bCs/>
          <w:sz w:val="20"/>
          <w:szCs w:val="20"/>
          <w:lang w:eastAsia="en-GB"/>
        </w:rPr>
        <w:t xml:space="preserve"> School of Molecular and Cellular Biology, Faculty of Biological Sciences, University of Leeds, Leeds, LS2 9JT, UK</w:t>
      </w:r>
      <w:r w:rsidRPr="000A0E03">
        <w:rPr>
          <w:rFonts w:eastAsia="Times New Roman" w:cstheme="minorHAnsi"/>
          <w:bCs/>
          <w:sz w:val="20"/>
          <w:szCs w:val="20"/>
          <w:vertAlign w:val="superscript"/>
          <w:lang w:eastAsia="en-GB"/>
        </w:rPr>
        <w:t>3</w:t>
      </w:r>
      <w:r w:rsidRPr="000A0E0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The Discovery Centre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r w:rsidRPr="000A0E0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AstraZeneca PLC, Cambridge CB2 0AA, U.K.;</w:t>
      </w:r>
      <w:r w:rsidRPr="000A0E0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</w:rPr>
        <w:t>4</w:t>
      </w:r>
      <w:r w:rsidRPr="000A0E0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Present address</w:t>
      </w:r>
      <w:r w:rsidRPr="00805D46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805D46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Immunocore</w:t>
      </w:r>
      <w:proofErr w:type="spellEnd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r w:rsidRPr="00805D4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92 Park Dr, Milton, Abingdon OX14 4RY</w:t>
      </w:r>
    </w:p>
    <w:p w14:paraId="5669E5F3" w14:textId="77777777" w:rsidR="00E472AC" w:rsidRPr="000A0E03" w:rsidRDefault="00E472AC" w:rsidP="00E472AC">
      <w:pPr>
        <w:pBdr>
          <w:bottom w:val="single" w:sz="6" w:space="1" w:color="000000"/>
        </w:pBdr>
        <w:spacing w:after="0"/>
        <w:jc w:val="both"/>
        <w:textAlignment w:val="baseline"/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37A78839" w14:textId="77777777" w:rsidR="00E472AC" w:rsidRDefault="00E472AC" w:rsidP="00E472AC">
      <w:pPr>
        <w:pBdr>
          <w:bottom w:val="single" w:sz="6" w:space="1" w:color="000000"/>
        </w:pBdr>
        <w:spacing w:after="0"/>
        <w:jc w:val="both"/>
        <w:textAlignment w:val="baseline"/>
        <w:rPr>
          <w:rStyle w:val="Hyperlink"/>
          <w:rFonts w:ascii="Calibri" w:hAnsi="Calibri" w:cs="Calibri"/>
          <w:sz w:val="20"/>
          <w:szCs w:val="20"/>
          <w:shd w:val="clear" w:color="auto" w:fill="FFFFFF"/>
        </w:rPr>
      </w:pPr>
      <w:r w:rsidRPr="000A0E0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*Corresponding author: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hyperlink r:id="rId8" w:history="1">
        <w:r w:rsidRPr="00A15B35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s.e.radford@leeds.ac.uk</w:t>
        </w:r>
      </w:hyperlink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Pr="000A0E03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hyperlink r:id="rId9" w:history="1">
        <w:r w:rsidRPr="000A0E03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d.j.brockwell@leeds.ac.uk</w:t>
        </w:r>
      </w:hyperlink>
    </w:p>
    <w:p w14:paraId="20492871" w14:textId="3121D098" w:rsidR="007E7FFE" w:rsidRPr="007E7FFE" w:rsidRDefault="007E7FFE" w:rsidP="007E7FFE"/>
    <w:p w14:paraId="10172124" w14:textId="77777777" w:rsidR="007E7FFE" w:rsidRPr="007E7FFE" w:rsidRDefault="007E7FFE" w:rsidP="007E7FFE"/>
    <w:p w14:paraId="625F0A63" w14:textId="77777777" w:rsidR="007E7FFE" w:rsidRPr="007E7FFE" w:rsidRDefault="007E7FFE" w:rsidP="007E7FFE">
      <w:r w:rsidRPr="007E7FFE">
        <w:t>Rights-holder(s):Unless otherwise stated, Copyright 2025 University of Leeds</w:t>
      </w:r>
    </w:p>
    <w:p w14:paraId="731E6D86" w14:textId="77777777" w:rsidR="007E7FFE" w:rsidRPr="007E7FFE" w:rsidRDefault="007E7FFE" w:rsidP="007E7FFE"/>
    <w:p w14:paraId="715CADA8" w14:textId="77777777" w:rsidR="007E7FFE" w:rsidRPr="007E7FFE" w:rsidRDefault="007E7FFE" w:rsidP="007E7FFE">
      <w:r w:rsidRPr="007E7FFE">
        <w:t>Publication Year: 2025</w:t>
      </w:r>
    </w:p>
    <w:p w14:paraId="0B7EE92A" w14:textId="77777777" w:rsidR="007E7FFE" w:rsidRPr="007E7FFE" w:rsidRDefault="007E7FFE" w:rsidP="007E7FFE"/>
    <w:p w14:paraId="6CA75136" w14:textId="77777777" w:rsidR="00B37E40" w:rsidRDefault="007E7FFE" w:rsidP="00B37E40">
      <w:r w:rsidRPr="007E7FFE">
        <w:t xml:space="preserve">Description: </w:t>
      </w:r>
    </w:p>
    <w:p w14:paraId="68BA56B3" w14:textId="3FD127C0" w:rsidR="001422E4" w:rsidRDefault="00B37E40" w:rsidP="00B37E40">
      <w:r>
        <w:t>This dataset comprises the quantitative outputs and supporting measurements generated in our study of amyloid formation using a high-throughput deep mutational scan (DMS) in the E. coli periplasm</w:t>
      </w:r>
      <w:r w:rsidR="001422E4">
        <w:t xml:space="preserve"> using the tripartite β-lactamase assay</w:t>
      </w:r>
      <w:r>
        <w:t>. It includes:</w:t>
      </w:r>
    </w:p>
    <w:p w14:paraId="5C430AB4" w14:textId="77777777" w:rsidR="001422E4" w:rsidRDefault="00B37E40" w:rsidP="00B37E40">
      <w:pPr>
        <w:pStyle w:val="ListParagraph"/>
        <w:numPr>
          <w:ilvl w:val="0"/>
          <w:numId w:val="2"/>
        </w:numPr>
      </w:pPr>
      <w:r>
        <w:t>Variant fitness scores for Aβ₄₂: log₂</w:t>
      </w:r>
      <w:r w:rsidRPr="001422E4">
        <w:rPr>
          <w:rFonts w:ascii="Cambria Math" w:hAnsi="Cambria Math" w:cs="Cambria Math"/>
        </w:rPr>
        <w:t>‐</w:t>
      </w:r>
      <w:r>
        <w:t>normalized deep sequencing read counts across ~750 of the 798 possible single</w:t>
      </w:r>
      <w:r w:rsidRPr="001422E4">
        <w:rPr>
          <w:rFonts w:ascii="Cambria Math" w:hAnsi="Cambria Math" w:cs="Cambria Math"/>
        </w:rPr>
        <w:t>‐</w:t>
      </w:r>
      <w:r>
        <w:t>amino</w:t>
      </w:r>
      <w:r w:rsidRPr="001422E4">
        <w:rPr>
          <w:rFonts w:ascii="Cambria Math" w:hAnsi="Cambria Math" w:cs="Cambria Math"/>
        </w:rPr>
        <w:t>‐</w:t>
      </w:r>
      <w:r>
        <w:t>acid substitutions, measured under incrementally increasing ampicillin selection.</w:t>
      </w:r>
    </w:p>
    <w:p w14:paraId="4F4085E4" w14:textId="7A9743C7" w:rsidR="001422E4" w:rsidRDefault="00B37E40" w:rsidP="00B37E40">
      <w:pPr>
        <w:pStyle w:val="ListParagraph"/>
        <w:numPr>
          <w:ilvl w:val="0"/>
          <w:numId w:val="2"/>
        </w:numPr>
      </w:pPr>
      <w:r>
        <w:t>Biological replicates: three independent DMS experiments for Aβ₄₂</w:t>
      </w:r>
      <w:r w:rsidR="001422E4">
        <w:t>.</w:t>
      </w:r>
    </w:p>
    <w:p w14:paraId="6B53B5FF" w14:textId="77777777" w:rsidR="001422E4" w:rsidRDefault="00B37E40" w:rsidP="00B37E40">
      <w:pPr>
        <w:pStyle w:val="ListParagraph"/>
        <w:numPr>
          <w:ilvl w:val="0"/>
          <w:numId w:val="2"/>
        </w:numPr>
      </w:pPr>
      <w:r>
        <w:t>Aggregation</w:t>
      </w:r>
      <w:r w:rsidRPr="001422E4">
        <w:rPr>
          <w:rFonts w:ascii="Cambria Math" w:hAnsi="Cambria Math" w:cs="Cambria Math"/>
        </w:rPr>
        <w:t>‐</w:t>
      </w:r>
      <w:r>
        <w:t>propensity profiles: per</w:t>
      </w:r>
      <w:r w:rsidRPr="001422E4">
        <w:rPr>
          <w:rFonts w:ascii="Cambria Math" w:hAnsi="Cambria Math" w:cs="Cambria Math"/>
        </w:rPr>
        <w:t>‐</w:t>
      </w:r>
      <w:r>
        <w:t>residue scores from four established algorithms (</w:t>
      </w:r>
      <w:proofErr w:type="spellStart"/>
      <w:r>
        <w:t>Camsol</w:t>
      </w:r>
      <w:proofErr w:type="spellEnd"/>
      <w:r>
        <w:t xml:space="preserve">, TANGO, </w:t>
      </w:r>
      <w:proofErr w:type="spellStart"/>
      <w:r>
        <w:t>AmyloGram</w:t>
      </w:r>
      <w:proofErr w:type="spellEnd"/>
      <w:r>
        <w:t>, AGGRESCAN) for comparison with the DMS data.</w:t>
      </w:r>
    </w:p>
    <w:p w14:paraId="58D19710" w14:textId="77777777" w:rsidR="001422E4" w:rsidRDefault="00B37E40" w:rsidP="00B37E40">
      <w:pPr>
        <w:pStyle w:val="ListParagraph"/>
        <w:numPr>
          <w:ilvl w:val="0"/>
          <w:numId w:val="2"/>
        </w:numPr>
      </w:pPr>
      <w:proofErr w:type="spellStart"/>
      <w:r>
        <w:t>Proteostat</w:t>
      </w:r>
      <w:proofErr w:type="spellEnd"/>
      <w:r>
        <w:t xml:space="preserve"> fluorescence and confocal images: per</w:t>
      </w:r>
      <w:r w:rsidRPr="001422E4">
        <w:rPr>
          <w:rFonts w:ascii="Cambria Math" w:hAnsi="Cambria Math" w:cs="Cambria Math"/>
        </w:rPr>
        <w:t>‐</w:t>
      </w:r>
      <w:r>
        <w:t xml:space="preserve">cell fluorescence intensities confirming amyloid deposition in bacteria expressing </w:t>
      </w:r>
      <w:r w:rsidRPr="001422E4">
        <w:rPr>
          <w:rFonts w:ascii="Aptos" w:hAnsi="Aptos" w:cs="Aptos"/>
        </w:rPr>
        <w:t>β</w:t>
      </w:r>
      <w:r w:rsidRPr="001422E4">
        <w:rPr>
          <w:rFonts w:ascii="Cambria Math" w:hAnsi="Cambria Math" w:cs="Cambria Math"/>
        </w:rPr>
        <w:t>‐</w:t>
      </w:r>
      <w:r>
        <w:t>lactamase</w:t>
      </w:r>
      <w:r w:rsidRPr="001422E4">
        <w:rPr>
          <w:rFonts w:ascii="Aptos" w:hAnsi="Aptos" w:cs="Aptos"/>
        </w:rPr>
        <w:t>–</w:t>
      </w:r>
      <w:r>
        <w:t>A</w:t>
      </w:r>
      <w:r w:rsidRPr="001422E4">
        <w:rPr>
          <w:rFonts w:ascii="Aptos" w:hAnsi="Aptos" w:cs="Aptos"/>
        </w:rPr>
        <w:t>β₄₂</w:t>
      </w:r>
      <w:r>
        <w:t xml:space="preserve"> versus controls.</w:t>
      </w:r>
    </w:p>
    <w:p w14:paraId="1224DA9B" w14:textId="77777777" w:rsidR="001422E4" w:rsidRDefault="00B37E40" w:rsidP="00B37E40">
      <w:pPr>
        <w:pStyle w:val="ListParagraph"/>
        <w:numPr>
          <w:ilvl w:val="0"/>
          <w:numId w:val="2"/>
        </w:numPr>
      </w:pPr>
      <w:proofErr w:type="spellStart"/>
      <w:r>
        <w:t>FoldX</w:t>
      </w:r>
      <w:proofErr w:type="spellEnd"/>
      <w:r w:rsidRPr="001422E4">
        <w:rPr>
          <w:rFonts w:ascii="Cambria Math" w:hAnsi="Cambria Math" w:cs="Cambria Math"/>
        </w:rPr>
        <w:t>‐</w:t>
      </w:r>
      <w:r>
        <w:t xml:space="preserve">derived </w:t>
      </w:r>
      <w:r w:rsidRPr="001422E4">
        <w:rPr>
          <w:rFonts w:ascii="Aptos" w:hAnsi="Aptos" w:cs="Aptos"/>
        </w:rPr>
        <w:t>Δ</w:t>
      </w:r>
      <w:r>
        <w:t>G contributions: per</w:t>
      </w:r>
      <w:r w:rsidRPr="001422E4">
        <w:rPr>
          <w:rFonts w:ascii="Cambria Math" w:hAnsi="Cambria Math" w:cs="Cambria Math"/>
        </w:rPr>
        <w:t>‐</w:t>
      </w:r>
      <w:r>
        <w:t>residue thermodynamic stability calculations for A</w:t>
      </w:r>
      <w:r w:rsidRPr="001422E4">
        <w:rPr>
          <w:rFonts w:ascii="Aptos" w:hAnsi="Aptos" w:cs="Aptos"/>
        </w:rPr>
        <w:t>β₄₂</w:t>
      </w:r>
      <w:r>
        <w:t>/A</w:t>
      </w:r>
      <w:r w:rsidRPr="001422E4">
        <w:rPr>
          <w:rFonts w:ascii="Aptos" w:hAnsi="Aptos" w:cs="Aptos"/>
        </w:rPr>
        <w:t>β₄₀</w:t>
      </w:r>
      <w:r>
        <w:t xml:space="preserve"> fibril structures, averaged over a five</w:t>
      </w:r>
      <w:r w:rsidRPr="001422E4">
        <w:rPr>
          <w:rFonts w:ascii="Cambria Math" w:hAnsi="Cambria Math" w:cs="Cambria Math"/>
        </w:rPr>
        <w:t>‐</w:t>
      </w:r>
      <w:r>
        <w:t>residue window.</w:t>
      </w:r>
    </w:p>
    <w:p w14:paraId="61382234" w14:textId="77777777" w:rsidR="007D664C" w:rsidRDefault="00B37E40" w:rsidP="00B37E40">
      <w:pPr>
        <w:pStyle w:val="ListParagraph"/>
        <w:numPr>
          <w:ilvl w:val="0"/>
          <w:numId w:val="2"/>
        </w:numPr>
      </w:pPr>
      <w:r>
        <w:t xml:space="preserve">Critical concentration measurements: </w:t>
      </w:r>
      <w:r w:rsidRPr="001422E4">
        <w:rPr>
          <w:i/>
          <w:iCs/>
        </w:rPr>
        <w:t>in vitro</w:t>
      </w:r>
      <w:r>
        <w:t xml:space="preserve"> Thioflavin T endpoint fluorescence assays for a panel of A</w:t>
      </w:r>
      <w:r w:rsidRPr="001422E4">
        <w:rPr>
          <w:rFonts w:ascii="Aptos" w:hAnsi="Aptos" w:cs="Aptos"/>
        </w:rPr>
        <w:t>β₄₂</w:t>
      </w:r>
      <w:r>
        <w:t xml:space="preserve"> variants, with extrapolated monomer concentrations required for fibril formation.</w:t>
      </w:r>
    </w:p>
    <w:p w14:paraId="1EC3AFB9" w14:textId="535E3C32" w:rsidR="007E7FFE" w:rsidRPr="007E7FFE" w:rsidRDefault="00B37E40" w:rsidP="00B37E40">
      <w:pPr>
        <w:pStyle w:val="ListParagraph"/>
        <w:numPr>
          <w:ilvl w:val="0"/>
          <w:numId w:val="2"/>
        </w:numPr>
      </w:pPr>
      <w:r>
        <w:t>Machine</w:t>
      </w:r>
      <w:r w:rsidRPr="007D664C">
        <w:rPr>
          <w:rFonts w:ascii="Cambria Math" w:hAnsi="Cambria Math" w:cs="Cambria Math"/>
        </w:rPr>
        <w:t>‐</w:t>
      </w:r>
      <w:r>
        <w:t>learning feature set: explicit sequence descriptors (</w:t>
      </w:r>
      <w:r w:rsidRPr="007D664C">
        <w:rPr>
          <w:rFonts w:ascii="Aptos" w:hAnsi="Aptos" w:cs="Aptos"/>
        </w:rPr>
        <w:t>β</w:t>
      </w:r>
      <w:r>
        <w:t>-sheet propensity, polarity, side-chain bulkiness, etc.) and model SHAP values, together with pre</w:t>
      </w:r>
      <w:r w:rsidRPr="007D664C">
        <w:rPr>
          <w:rFonts w:ascii="Cambria Math" w:hAnsi="Cambria Math" w:cs="Cambria Math"/>
        </w:rPr>
        <w:t>‐</w:t>
      </w:r>
      <w:r>
        <w:t>trained DMS</w:t>
      </w:r>
      <w:r w:rsidRPr="007D664C">
        <w:rPr>
          <w:rFonts w:ascii="Cambria Math" w:hAnsi="Cambria Math" w:cs="Cambria Math"/>
        </w:rPr>
        <w:t>‐</w:t>
      </w:r>
      <w:r>
        <w:t>based random</w:t>
      </w:r>
      <w:r w:rsidRPr="007D664C">
        <w:rPr>
          <w:rFonts w:ascii="Cambria Math" w:hAnsi="Cambria Math" w:cs="Cambria Math"/>
        </w:rPr>
        <w:t>‐</w:t>
      </w:r>
      <w:r>
        <w:t>forest predictions of variant fitness for A</w:t>
      </w:r>
      <w:r w:rsidRPr="007D664C">
        <w:rPr>
          <w:rFonts w:ascii="Aptos" w:hAnsi="Aptos" w:cs="Aptos"/>
        </w:rPr>
        <w:t>β₄₂</w:t>
      </w:r>
      <w:r>
        <w:t xml:space="preserve"> and three additional amyloidogenic intrinsically disordered proteins (</w:t>
      </w:r>
      <w:r w:rsidRPr="007D664C">
        <w:rPr>
          <w:rFonts w:ascii="Aptos" w:hAnsi="Aptos" w:cs="Aptos"/>
        </w:rPr>
        <w:t>α</w:t>
      </w:r>
      <w:r>
        <w:t xml:space="preserve">-synuclein, </w:t>
      </w:r>
      <w:proofErr w:type="spellStart"/>
      <w:r>
        <w:t>hIAPP</w:t>
      </w:r>
      <w:proofErr w:type="spellEnd"/>
      <w:r>
        <w:t>, TDP-43).</w:t>
      </w:r>
    </w:p>
    <w:p w14:paraId="54392047" w14:textId="77777777" w:rsidR="007E7FFE" w:rsidRPr="007E7FFE" w:rsidRDefault="007E7FFE" w:rsidP="007E7FFE"/>
    <w:p w14:paraId="3356C4F1" w14:textId="5115B1BA" w:rsidR="009B6480" w:rsidRPr="007E7FFE" w:rsidRDefault="007E7FFE" w:rsidP="007E7FFE">
      <w:r w:rsidRPr="007E7FFE">
        <w:t xml:space="preserve">Cite as: </w:t>
      </w:r>
      <w:r w:rsidR="009B6480" w:rsidRPr="009B6480">
        <w:t xml:space="preserve">McKay, C. E., Deans, M., Connor, J., Saunders, J. C., Lloyd, C., Radford, S. E., &amp; Brockwell, D. J. (2025): Dataset </w:t>
      </w:r>
      <w:r w:rsidR="00884E76">
        <w:t xml:space="preserve"> </w:t>
      </w:r>
      <w:r w:rsidR="0095399C" w:rsidRPr="0095399C">
        <w:t> </w:t>
      </w:r>
      <w:hyperlink r:id="rId10" w:tgtFrame="_blank" w:tooltip="Original URL: https://doi.org/10.5518/1653. Click or tap if you trust this link." w:history="1">
        <w:r w:rsidR="0095399C" w:rsidRPr="0095399C">
          <w:rPr>
            <w:rStyle w:val="Hyperlink"/>
          </w:rPr>
          <w:t>https://doi.org/10.5518/1653</w:t>
        </w:r>
      </w:hyperlink>
      <w:r w:rsidR="0095399C" w:rsidRPr="0095399C">
        <w:t xml:space="preserve"> </w:t>
      </w:r>
      <w:r w:rsidR="0095399C">
        <w:t xml:space="preserve"> </w:t>
      </w:r>
      <w:r w:rsidR="009B6480" w:rsidRPr="009B6480">
        <w:t xml:space="preserve">Employing Deep Mutational Scanning in the </w:t>
      </w:r>
      <w:r w:rsidR="009B6480" w:rsidRPr="009B6480">
        <w:rPr>
          <w:i/>
          <w:iCs/>
        </w:rPr>
        <w:t>E. coli</w:t>
      </w:r>
      <w:r w:rsidR="009B6480" w:rsidRPr="009B6480">
        <w:t xml:space="preserve"> Periplasm to Decode the Thermodynamic Landscape for Amyloid Formation. University of Leeds. Dataset</w:t>
      </w:r>
    </w:p>
    <w:p w14:paraId="1B906EB8" w14:textId="77777777" w:rsidR="007E7FFE" w:rsidRPr="007E7FFE" w:rsidRDefault="007E7FFE" w:rsidP="007E7FFE"/>
    <w:p w14:paraId="0EF43A3A" w14:textId="5B855DD7" w:rsidR="007E7FFE" w:rsidRPr="007E7FFE" w:rsidRDefault="007E7FFE" w:rsidP="007E7FFE">
      <w:r w:rsidRPr="007E7FFE">
        <w:t xml:space="preserve">Related publication: </w:t>
      </w:r>
      <w:r w:rsidR="006A2FC1" w:rsidRPr="006A2FC1">
        <w:t xml:space="preserve">McKay, C. E., Deans, M., Connor, J., Saunders, J. C., Lloyd, C., Radford, S. E. &amp; Brockwell, D. J. Employing Deep Mutational Scanning in the </w:t>
      </w:r>
      <w:r w:rsidR="006A2FC1" w:rsidRPr="006A2FC1">
        <w:rPr>
          <w:i/>
          <w:iCs/>
        </w:rPr>
        <w:t>E. coli</w:t>
      </w:r>
      <w:r w:rsidR="006A2FC1" w:rsidRPr="006A2FC1">
        <w:t xml:space="preserve"> Periplasm to Decode the Thermodynamic Landscape for Amyloid Formation. </w:t>
      </w:r>
      <w:r w:rsidR="006A2FC1" w:rsidRPr="006A2FC1">
        <w:rPr>
          <w:i/>
          <w:iCs/>
        </w:rPr>
        <w:t>Proceedings of the National Academy of Sciences</w:t>
      </w:r>
      <w:r w:rsidR="006A2FC1" w:rsidRPr="006A2FC1">
        <w:t xml:space="preserve"> (</w:t>
      </w:r>
      <w:r w:rsidR="006A2FC1">
        <w:t>in preparation</w:t>
      </w:r>
      <w:r w:rsidR="006A2FC1" w:rsidRPr="006A2FC1">
        <w:t>, 2025).</w:t>
      </w:r>
    </w:p>
    <w:p w14:paraId="4A6A6B15" w14:textId="77777777" w:rsidR="007E7FFE" w:rsidRPr="007E7FFE" w:rsidRDefault="007E7FFE" w:rsidP="007E7FFE"/>
    <w:p w14:paraId="6F9ADE51" w14:textId="4E49F097" w:rsidR="007E7FFE" w:rsidRPr="007E7FFE" w:rsidRDefault="007E7FFE" w:rsidP="007E7FFE">
      <w:r w:rsidRPr="007E7FFE">
        <w:t xml:space="preserve">Contact: </w:t>
      </w:r>
      <w:r w:rsidR="00F4167C">
        <w:t>Conor McKay (</w:t>
      </w:r>
      <w:hyperlink r:id="rId11" w:history="1">
        <w:r w:rsidR="00F4167C" w:rsidRPr="00A15B35">
          <w:rPr>
            <w:rStyle w:val="Hyperlink"/>
          </w:rPr>
          <w:t>conor_mckay98@aol.com</w:t>
        </w:r>
      </w:hyperlink>
      <w:r w:rsidR="00F4167C">
        <w:t>), David Brockwell (</w:t>
      </w:r>
      <w:hyperlink r:id="rId12" w:history="1">
        <w:r w:rsidR="00EA44E8" w:rsidRPr="000A0E03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d.j.brockwell@leeds.ac.uk</w:t>
        </w:r>
      </w:hyperlink>
      <w:r w:rsidR="00EA44E8">
        <w:rPr>
          <w:rStyle w:val="Hyperlink"/>
          <w:rFonts w:ascii="Calibri" w:hAnsi="Calibri" w:cs="Calibri"/>
          <w:sz w:val="20"/>
          <w:szCs w:val="20"/>
          <w:shd w:val="clear" w:color="auto" w:fill="FFFFFF"/>
        </w:rPr>
        <w:t>)</w:t>
      </w:r>
    </w:p>
    <w:p w14:paraId="234FB387" w14:textId="77777777" w:rsidR="007E7FFE" w:rsidRPr="007E7FFE" w:rsidRDefault="007E7FFE" w:rsidP="007E7FFE"/>
    <w:p w14:paraId="43A6FD50" w14:textId="77777777" w:rsidR="007E7FFE" w:rsidRPr="007E7FFE" w:rsidRDefault="007E7FFE" w:rsidP="007E7FFE"/>
    <w:p w14:paraId="7850B389" w14:textId="77777777" w:rsidR="007E7FFE" w:rsidRPr="007E7FFE" w:rsidRDefault="007E7FFE" w:rsidP="007E7FFE">
      <w:r w:rsidRPr="007E7FFE">
        <w:t>2. TERMS OF USE</w:t>
      </w:r>
    </w:p>
    <w:p w14:paraId="4B0487EE" w14:textId="77777777" w:rsidR="007E7FFE" w:rsidRPr="007E7FFE" w:rsidRDefault="007E7FFE" w:rsidP="007E7FFE">
      <w:r w:rsidRPr="007E7FFE">
        <w:t>---------------</w:t>
      </w:r>
    </w:p>
    <w:p w14:paraId="07DF845D" w14:textId="77777777" w:rsidR="007E7FFE" w:rsidRPr="007E7FFE" w:rsidRDefault="007E7FFE" w:rsidP="007E7FFE"/>
    <w:p w14:paraId="24E5A187" w14:textId="0E77DF03" w:rsidR="007E7FFE" w:rsidRPr="007E7FFE" w:rsidRDefault="007E7FFE" w:rsidP="007E7FFE">
      <w:r w:rsidRPr="007E7FFE">
        <w:t>Unless otherwise stated, this dataset is licensed under a Creative Commons Attribution 4.0 International Licence: https://creativecommons.org/licenses/by/4.0/.]</w:t>
      </w:r>
    </w:p>
    <w:p w14:paraId="1872854C" w14:textId="77777777" w:rsidR="007E7FFE" w:rsidRPr="007E7FFE" w:rsidRDefault="007E7FFE" w:rsidP="007E7FFE"/>
    <w:p w14:paraId="7C70727F" w14:textId="77777777" w:rsidR="007E7FFE" w:rsidRPr="007E7FFE" w:rsidRDefault="007E7FFE" w:rsidP="007E7FFE"/>
    <w:p w14:paraId="00E573B1" w14:textId="77777777" w:rsidR="007E7FFE" w:rsidRPr="007E7FFE" w:rsidRDefault="007E7FFE" w:rsidP="007E7FFE">
      <w:r w:rsidRPr="007E7FFE">
        <w:t>3. PROJECT AND FUNDING INFORMATION</w:t>
      </w:r>
    </w:p>
    <w:p w14:paraId="7D940305" w14:textId="77777777" w:rsidR="007E7FFE" w:rsidRPr="007E7FFE" w:rsidRDefault="007E7FFE" w:rsidP="007E7FFE">
      <w:r w:rsidRPr="007E7FFE">
        <w:t>----------------------------------</w:t>
      </w:r>
    </w:p>
    <w:p w14:paraId="3244E016" w14:textId="77777777" w:rsidR="007E7FFE" w:rsidRPr="007E7FFE" w:rsidRDefault="007E7FFE" w:rsidP="007E7FFE"/>
    <w:p w14:paraId="17558862" w14:textId="16AEBD98" w:rsidR="007E7FFE" w:rsidRPr="007E7FFE" w:rsidRDefault="007E7FFE" w:rsidP="007E7FFE">
      <w:r w:rsidRPr="007E7FFE">
        <w:t xml:space="preserve">Title: </w:t>
      </w:r>
      <w:r w:rsidR="003F665B" w:rsidRPr="003F665B">
        <w:t>Employing Deep Mutational Scanning in the E. coli Periplasm to Decode the Thermodynamic Landscape For Amyloid Formation</w:t>
      </w:r>
    </w:p>
    <w:p w14:paraId="475DC9A7" w14:textId="77777777" w:rsidR="007E7FFE" w:rsidRPr="007E7FFE" w:rsidRDefault="007E7FFE" w:rsidP="007E7FFE"/>
    <w:p w14:paraId="740DF264" w14:textId="538BF561" w:rsidR="007E7FFE" w:rsidRPr="007E7FFE" w:rsidRDefault="007E7FFE" w:rsidP="007E7FFE">
      <w:r w:rsidRPr="007E7FFE">
        <w:t xml:space="preserve">Dates: </w:t>
      </w:r>
      <w:r w:rsidR="003F665B">
        <w:t>01/10/2021-01/10/2025</w:t>
      </w:r>
    </w:p>
    <w:p w14:paraId="5618E7A7" w14:textId="77777777" w:rsidR="007E7FFE" w:rsidRPr="007E7FFE" w:rsidRDefault="007E7FFE" w:rsidP="007E7FFE"/>
    <w:p w14:paraId="147BDF4B" w14:textId="2858FC68" w:rsidR="007E7FFE" w:rsidRPr="007E7FFE" w:rsidRDefault="007E7FFE" w:rsidP="007E7FFE">
      <w:r w:rsidRPr="007E7FFE">
        <w:t xml:space="preserve">Funding organisation: </w:t>
      </w:r>
      <w:r w:rsidR="003F665B">
        <w:t>BBSRC/AstraZeneca</w:t>
      </w:r>
    </w:p>
    <w:p w14:paraId="6F31E9C1" w14:textId="77777777" w:rsidR="007E7FFE" w:rsidRPr="007E7FFE" w:rsidRDefault="007E7FFE" w:rsidP="007E7FFE"/>
    <w:p w14:paraId="68E18314" w14:textId="15D9F56B" w:rsidR="007E7FFE" w:rsidRPr="007E7FFE" w:rsidRDefault="007E7FFE" w:rsidP="007E7FFE">
      <w:r w:rsidRPr="007E7FFE">
        <w:t>Grant no.:</w:t>
      </w:r>
      <w:r w:rsidR="00C14F41">
        <w:t xml:space="preserve"> 95519991</w:t>
      </w:r>
    </w:p>
    <w:p w14:paraId="2E6E7ABF" w14:textId="77777777" w:rsidR="007E7FFE" w:rsidRPr="007E7FFE" w:rsidRDefault="007E7FFE" w:rsidP="007E7FFE"/>
    <w:p w14:paraId="29823D8D" w14:textId="77777777" w:rsidR="007E7FFE" w:rsidRPr="007E7FFE" w:rsidRDefault="007E7FFE" w:rsidP="007E7FFE"/>
    <w:p w14:paraId="048000ED" w14:textId="77777777" w:rsidR="007E7FFE" w:rsidRPr="007E7FFE" w:rsidRDefault="007E7FFE" w:rsidP="007E7FFE"/>
    <w:p w14:paraId="3DB02823" w14:textId="77777777" w:rsidR="007E7FFE" w:rsidRPr="007E7FFE" w:rsidRDefault="007E7FFE" w:rsidP="007E7FFE">
      <w:pPr>
        <w:pBdr>
          <w:bottom w:val="single" w:sz="6" w:space="1" w:color="auto"/>
        </w:pBdr>
      </w:pPr>
      <w:r w:rsidRPr="007E7FFE">
        <w:t>4. CONTENTS</w:t>
      </w:r>
    </w:p>
    <w:p w14:paraId="19464E18" w14:textId="77777777" w:rsidR="00DA2A15" w:rsidRPr="007E7FFE" w:rsidRDefault="00DA2A15" w:rsidP="00DA2A15">
      <w:r w:rsidRPr="007E7FFE">
        <w:t>[List by file or folder name and provide brief descriptions of file or folder contents. If files are numerous, provide a key to the dataset structure/relationship between files, and the file naming convention. Files of the same type should be consistently named using a standard syntax where possible.</w:t>
      </w:r>
    </w:p>
    <w:p w14:paraId="392EA651" w14:textId="77777777" w:rsidR="00DA2A15" w:rsidRPr="007E7FFE" w:rsidRDefault="00DA2A15" w:rsidP="00DA2A15"/>
    <w:p w14:paraId="4DAF42B9" w14:textId="77777777" w:rsidR="00DA2A15" w:rsidRPr="007E7FFE" w:rsidRDefault="00DA2A15" w:rsidP="00DA2A15">
      <w:r w:rsidRPr="007E7FFE">
        <w:t>Include information about specialised data file formats, and software used to generate/required to render data files (including version and links where relevant).</w:t>
      </w:r>
    </w:p>
    <w:p w14:paraId="579F901E" w14:textId="77777777" w:rsidR="00DA2A15" w:rsidRPr="007E7FFE" w:rsidRDefault="00DA2A15" w:rsidP="00DA2A15"/>
    <w:p w14:paraId="1F68B1BB" w14:textId="77777777" w:rsidR="00DA2A15" w:rsidRPr="007E7FFE" w:rsidRDefault="00DA2A15" w:rsidP="00DA2A15">
      <w:r w:rsidRPr="007E7FFE">
        <w:t>If relevant, include here any codebook or data dictionary for the dataset or constituent files, providing the following information as required:</w:t>
      </w:r>
    </w:p>
    <w:p w14:paraId="0E771CD1" w14:textId="77777777" w:rsidR="00DA2A15" w:rsidRPr="007E7FFE" w:rsidRDefault="00DA2A15" w:rsidP="00DA2A15"/>
    <w:p w14:paraId="0A993527" w14:textId="77777777" w:rsidR="00DA2A15" w:rsidRPr="007E7FFE" w:rsidRDefault="00DA2A15" w:rsidP="00DA2A15">
      <w:r w:rsidRPr="007E7FFE">
        <w:t xml:space="preserve">- Number of variables </w:t>
      </w:r>
    </w:p>
    <w:p w14:paraId="3298C7A0" w14:textId="77777777" w:rsidR="00DA2A15" w:rsidRPr="007E7FFE" w:rsidRDefault="00DA2A15" w:rsidP="00DA2A15">
      <w:r w:rsidRPr="007E7FFE">
        <w:t xml:space="preserve">- Number of cases/rows </w:t>
      </w:r>
    </w:p>
    <w:p w14:paraId="2A2F1048" w14:textId="77777777" w:rsidR="00DA2A15" w:rsidRPr="007E7FFE" w:rsidRDefault="00DA2A15" w:rsidP="00DA2A15">
      <w:r w:rsidRPr="007E7FFE">
        <w:t>- List of variables, containing variable name(s), description(s), unit(s)and value labels as appropriate for each</w:t>
      </w:r>
    </w:p>
    <w:p w14:paraId="6A9054BF" w14:textId="77777777" w:rsidR="00DA2A15" w:rsidRPr="007E7FFE" w:rsidRDefault="00DA2A15" w:rsidP="00DA2A15">
      <w:r w:rsidRPr="007E7FFE">
        <w:t>- Missing data codes, listing code and definition</w:t>
      </w:r>
    </w:p>
    <w:p w14:paraId="3E10253D" w14:textId="77777777" w:rsidR="00DA2A15" w:rsidRPr="007E7FFE" w:rsidRDefault="00DA2A15" w:rsidP="00DA2A15">
      <w:r w:rsidRPr="007E7FFE">
        <w:t xml:space="preserve">- Specialized formats or other abbreviations used.] </w:t>
      </w:r>
    </w:p>
    <w:p w14:paraId="1401B901" w14:textId="77777777" w:rsidR="00DA2A15" w:rsidRPr="007E7FFE" w:rsidRDefault="00DA2A15" w:rsidP="007E7FFE"/>
    <w:p w14:paraId="773B80D0" w14:textId="22CDF91A" w:rsidR="007E7FFE" w:rsidRDefault="007E7FFE" w:rsidP="007E7FFE">
      <w:r w:rsidRPr="007E7FFE">
        <w:t>File listing</w:t>
      </w:r>
      <w:r w:rsidR="00AA328A">
        <w:t>:</w:t>
      </w:r>
    </w:p>
    <w:p w14:paraId="1ADCBD20" w14:textId="35931962" w:rsidR="0051796D" w:rsidRPr="0051796D" w:rsidRDefault="0051796D" w:rsidP="0051796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Main Text</w:t>
      </w:r>
    </w:p>
    <w:p w14:paraId="3235EF2F" w14:textId="4584C8BB" w:rsidR="009D6F5B" w:rsidRPr="00AA328A" w:rsidRDefault="00662301" w:rsidP="009E76C7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proofErr w:type="spellStart"/>
      <w:r w:rsidRPr="00AA328A">
        <w:rPr>
          <w:b/>
          <w:bCs/>
        </w:rPr>
        <w:t>Main</w:t>
      </w:r>
      <w:r w:rsidR="00626169">
        <w:rPr>
          <w:b/>
          <w:bCs/>
        </w:rPr>
        <w:t>_</w:t>
      </w:r>
      <w:r w:rsidRPr="00AA328A">
        <w:rPr>
          <w:b/>
          <w:bCs/>
        </w:rPr>
        <w:t>Figures</w:t>
      </w:r>
      <w:proofErr w:type="spellEnd"/>
      <w:r w:rsidR="00706C7A" w:rsidRPr="00AA328A">
        <w:rPr>
          <w:b/>
          <w:bCs/>
        </w:rPr>
        <w:t>/Figure_1/Example</w:t>
      </w:r>
      <w:r w:rsidR="009D6F5B" w:rsidRPr="00AA328A">
        <w:rPr>
          <w:b/>
          <w:bCs/>
        </w:rPr>
        <w:t>_scoring.xlsx:</w:t>
      </w:r>
    </w:p>
    <w:p w14:paraId="7432BBFF" w14:textId="62EAE112" w:rsidR="009D6F5B" w:rsidRDefault="009D6F5B" w:rsidP="00DA2A15">
      <w:pPr>
        <w:pStyle w:val="ListParagraph"/>
        <w:numPr>
          <w:ilvl w:val="1"/>
          <w:numId w:val="3"/>
        </w:numPr>
      </w:pPr>
      <w:r>
        <w:t>Contains ana</w:t>
      </w:r>
      <w:r w:rsidR="00681EDD">
        <w:t>lysed enrichment score for variants F19P, wild-type and D23F</w:t>
      </w:r>
      <w:r w:rsidR="009D546D">
        <w:t xml:space="preserve"> on [ampicillin] 0,5,10,15,20,40,60,80,100μg/mL </w:t>
      </w:r>
      <w:r w:rsidR="00C4226C">
        <w:t>ampicillin. For repeats 1-3 (tab R1-R3).</w:t>
      </w:r>
    </w:p>
    <w:p w14:paraId="29FE8533" w14:textId="77777777" w:rsidR="00E21C47" w:rsidRPr="003223D0" w:rsidRDefault="00E21C47" w:rsidP="00E21C47">
      <w:pPr>
        <w:pStyle w:val="ListParagraph"/>
        <w:numPr>
          <w:ilvl w:val="0"/>
          <w:numId w:val="3"/>
        </w:numPr>
      </w:pPr>
      <w:r w:rsidRPr="00AA328A">
        <w:rPr>
          <w:b/>
          <w:bCs/>
        </w:rPr>
        <w:t>/</w:t>
      </w:r>
      <w:proofErr w:type="spellStart"/>
      <w:r w:rsidRPr="00AA328A">
        <w:rPr>
          <w:b/>
          <w:bCs/>
        </w:rPr>
        <w:t>Main</w:t>
      </w:r>
      <w:r>
        <w:rPr>
          <w:b/>
          <w:bCs/>
        </w:rPr>
        <w:t>_</w:t>
      </w:r>
      <w:r w:rsidRPr="00AA328A">
        <w:rPr>
          <w:b/>
          <w:bCs/>
        </w:rPr>
        <w:t>Figures</w:t>
      </w:r>
      <w:proofErr w:type="spellEnd"/>
      <w:r w:rsidRPr="00AA328A">
        <w:rPr>
          <w:b/>
          <w:bCs/>
        </w:rPr>
        <w:t>/Figure_1/</w:t>
      </w:r>
      <w:r>
        <w:rPr>
          <w:b/>
          <w:bCs/>
        </w:rPr>
        <w:t>First_gen_vs_Third_Gen</w:t>
      </w:r>
      <w:r w:rsidRPr="00AA328A">
        <w:rPr>
          <w:b/>
          <w:bCs/>
        </w:rPr>
        <w:t>.xlsx:</w:t>
      </w:r>
    </w:p>
    <w:p w14:paraId="2448CF38" w14:textId="1A195DA6" w:rsidR="00E21C47" w:rsidRPr="001B2AC8" w:rsidRDefault="00E21C47" w:rsidP="00E21C47">
      <w:pPr>
        <w:pStyle w:val="ListParagraph"/>
        <w:numPr>
          <w:ilvl w:val="1"/>
          <w:numId w:val="3"/>
        </w:numPr>
      </w:pPr>
      <w:r w:rsidRPr="003223D0">
        <w:rPr>
          <w:sz w:val="20"/>
          <w:szCs w:val="20"/>
          <w:shd w:val="clear" w:color="auto" w:fill="FFFFFF"/>
        </w:rPr>
        <w:t>TPBLA using the 48-well format (log</w:t>
      </w:r>
      <w:r w:rsidRPr="003223D0">
        <w:rPr>
          <w:sz w:val="20"/>
          <w:szCs w:val="20"/>
          <w:shd w:val="clear" w:color="auto" w:fill="FFFFFF"/>
          <w:vertAlign w:val="subscript"/>
        </w:rPr>
        <w:t>2</w:t>
      </w:r>
      <w:r w:rsidRPr="003223D0">
        <w:rPr>
          <w:sz w:val="20"/>
          <w:szCs w:val="20"/>
          <w:shd w:val="clear" w:color="auto" w:fill="FFFFFF"/>
        </w:rPr>
        <w:t>(</w:t>
      </w:r>
      <w:proofErr w:type="spellStart"/>
      <w:r w:rsidRPr="003223D0">
        <w:rPr>
          <w:sz w:val="20"/>
          <w:szCs w:val="20"/>
          <w:shd w:val="clear" w:color="auto" w:fill="FFFFFF"/>
        </w:rPr>
        <w:t>AUC</w:t>
      </w:r>
      <w:r w:rsidRPr="003223D0">
        <w:rPr>
          <w:sz w:val="20"/>
          <w:szCs w:val="20"/>
          <w:shd w:val="clear" w:color="auto" w:fill="FFFFFF"/>
          <w:vertAlign w:val="subscript"/>
        </w:rPr>
        <w:t>Variant</w:t>
      </w:r>
      <w:proofErr w:type="spellEnd"/>
      <w:r w:rsidRPr="003223D0">
        <w:rPr>
          <w:sz w:val="20"/>
          <w:szCs w:val="20"/>
          <w:shd w:val="clear" w:color="auto" w:fill="FFFFFF"/>
        </w:rPr>
        <w:t>)/(AUC</w:t>
      </w:r>
      <w:r w:rsidRPr="003223D0">
        <w:rPr>
          <w:sz w:val="20"/>
          <w:szCs w:val="20"/>
          <w:shd w:val="clear" w:color="auto" w:fill="FFFFFF"/>
          <w:vertAlign w:val="subscript"/>
        </w:rPr>
        <w:t>WT</w:t>
      </w:r>
      <w:r w:rsidRPr="003223D0">
        <w:rPr>
          <w:sz w:val="20"/>
          <w:szCs w:val="20"/>
          <w:shd w:val="clear" w:color="auto" w:fill="FFFFFF"/>
        </w:rPr>
        <w:t xml:space="preserve">)) and the results obtained using the assay in deep mutational scanning format (Methods) using 18 variants of </w:t>
      </w:r>
      <w:r w:rsidRPr="003223D0">
        <w:rPr>
          <w:color w:val="000000" w:themeColor="text1"/>
          <w:sz w:val="20"/>
          <w:szCs w:val="20"/>
        </w:rPr>
        <w:t>A</w:t>
      </w:r>
      <w:r w:rsidRPr="003223D0">
        <w:rPr>
          <w:rFonts w:ascii="Symbol" w:hAnsi="Symbol"/>
          <w:color w:val="000000" w:themeColor="text1"/>
          <w:sz w:val="20"/>
          <w:szCs w:val="20"/>
        </w:rPr>
        <w:t></w:t>
      </w:r>
      <w:r w:rsidRPr="003223D0">
        <w:rPr>
          <w:color w:val="000000" w:themeColor="text1"/>
          <w:sz w:val="20"/>
          <w:szCs w:val="20"/>
          <w:vertAlign w:val="subscript"/>
        </w:rPr>
        <w:t>42</w:t>
      </w:r>
      <w:r w:rsidRPr="003223D0">
        <w:rPr>
          <w:sz w:val="20"/>
          <w:szCs w:val="20"/>
          <w:shd w:val="clear" w:color="auto" w:fill="FFFFFF"/>
        </w:rPr>
        <w:t xml:space="preserve"> which span a broad range of the variant fitness score observed in the deep mutational scan</w:t>
      </w:r>
      <w:r w:rsidR="001B2AC8">
        <w:rPr>
          <w:sz w:val="20"/>
          <w:szCs w:val="20"/>
          <w:shd w:val="clear" w:color="auto" w:fill="FFFFFF"/>
        </w:rPr>
        <w:t>.</w:t>
      </w:r>
    </w:p>
    <w:p w14:paraId="2556006B" w14:textId="722A3C93" w:rsidR="001B2AC8" w:rsidRPr="0066050C" w:rsidRDefault="001B2AC8" w:rsidP="001B2AC8">
      <w:pPr>
        <w:pStyle w:val="ListParagraph"/>
        <w:numPr>
          <w:ilvl w:val="0"/>
          <w:numId w:val="3"/>
        </w:numPr>
      </w:pPr>
      <w:proofErr w:type="spellStart"/>
      <w:r w:rsidRPr="00AA328A">
        <w:rPr>
          <w:b/>
          <w:bCs/>
        </w:rPr>
        <w:t>Main</w:t>
      </w:r>
      <w:r>
        <w:rPr>
          <w:b/>
          <w:bCs/>
        </w:rPr>
        <w:t>_</w:t>
      </w:r>
      <w:r w:rsidRPr="00AA328A">
        <w:rPr>
          <w:b/>
          <w:bCs/>
        </w:rPr>
        <w:t>Figures</w:t>
      </w:r>
      <w:proofErr w:type="spellEnd"/>
      <w:r w:rsidRPr="00AA328A">
        <w:rPr>
          <w:b/>
          <w:bCs/>
        </w:rPr>
        <w:t>/Figure_</w:t>
      </w:r>
      <w:r>
        <w:rPr>
          <w:b/>
          <w:bCs/>
        </w:rPr>
        <w:t>2</w:t>
      </w:r>
      <w:r w:rsidRPr="00AA328A">
        <w:rPr>
          <w:b/>
          <w:bCs/>
        </w:rPr>
        <w:t>/</w:t>
      </w:r>
      <w:r w:rsidR="0066050C" w:rsidRPr="0066050C">
        <w:rPr>
          <w:b/>
          <w:bCs/>
        </w:rPr>
        <w:t>Reproducibility</w:t>
      </w:r>
      <w:r w:rsidRPr="00AA328A">
        <w:rPr>
          <w:b/>
          <w:bCs/>
        </w:rPr>
        <w:t>.xlsx:</w:t>
      </w:r>
    </w:p>
    <w:p w14:paraId="6B298963" w14:textId="15D67678" w:rsidR="00872B51" w:rsidRPr="00872B51" w:rsidRDefault="00872B51" w:rsidP="00872B51">
      <w:pPr>
        <w:pStyle w:val="ListParagraph"/>
        <w:numPr>
          <w:ilvl w:val="1"/>
          <w:numId w:val="3"/>
        </w:numPr>
      </w:pPr>
      <w:r w:rsidRPr="00872B51">
        <w:t xml:space="preserve">The Excel file </w:t>
      </w:r>
      <w:r w:rsidRPr="00872B51">
        <w:rPr>
          <w:b/>
          <w:bCs/>
        </w:rPr>
        <w:t>Reproducibility.xlsx</w:t>
      </w:r>
      <w:r w:rsidRPr="00872B51">
        <w:t xml:space="preserve"> contains a table summarising replicate measurements and derived variant fitness scores for a set of Aβ₄₂ variants</w:t>
      </w:r>
      <w:r>
        <w:t xml:space="preserve"> in TPBLA</w:t>
      </w:r>
      <w:r w:rsidRPr="00872B51">
        <w:t>. Key columns include:</w:t>
      </w:r>
    </w:p>
    <w:p w14:paraId="33888CDB" w14:textId="41B4084C" w:rsidR="00872B51" w:rsidRPr="00872B51" w:rsidRDefault="00872B51" w:rsidP="00872B51">
      <w:pPr>
        <w:pStyle w:val="ListParagraph"/>
        <w:numPr>
          <w:ilvl w:val="2"/>
          <w:numId w:val="3"/>
        </w:numPr>
      </w:pPr>
      <w:r>
        <w:rPr>
          <w:b/>
          <w:bCs/>
        </w:rPr>
        <w:t>Substitution</w:t>
      </w:r>
      <w:r w:rsidRPr="00872B51">
        <w:t>: The amino-acid substitution (e.g., “F19P”).</w:t>
      </w:r>
    </w:p>
    <w:p w14:paraId="18908AFF" w14:textId="77777777" w:rsidR="00872B51" w:rsidRPr="00872B51" w:rsidRDefault="00872B51" w:rsidP="00872B51">
      <w:pPr>
        <w:pStyle w:val="ListParagraph"/>
        <w:numPr>
          <w:ilvl w:val="2"/>
          <w:numId w:val="3"/>
        </w:numPr>
      </w:pPr>
      <w:r w:rsidRPr="00872B51">
        <w:rPr>
          <w:b/>
          <w:bCs/>
        </w:rPr>
        <w:t>Repeat 1</w:t>
      </w:r>
      <w:r w:rsidRPr="00872B51">
        <w:t xml:space="preserve">, </w:t>
      </w:r>
      <w:r w:rsidRPr="00872B51">
        <w:rPr>
          <w:b/>
          <w:bCs/>
        </w:rPr>
        <w:t>Repeat 2</w:t>
      </w:r>
      <w:r w:rsidRPr="00872B51">
        <w:t xml:space="preserve">, </w:t>
      </w:r>
      <w:r w:rsidRPr="00872B51">
        <w:rPr>
          <w:b/>
          <w:bCs/>
        </w:rPr>
        <w:t>Repeat 3</w:t>
      </w:r>
      <w:r w:rsidRPr="00872B51">
        <w:t>: Fitness measurements from three independent biological replicates.</w:t>
      </w:r>
    </w:p>
    <w:p w14:paraId="7C311F84" w14:textId="77777777" w:rsidR="00872B51" w:rsidRPr="00872B51" w:rsidRDefault="00872B51" w:rsidP="00872B51">
      <w:pPr>
        <w:pStyle w:val="ListParagraph"/>
        <w:numPr>
          <w:ilvl w:val="2"/>
          <w:numId w:val="3"/>
        </w:numPr>
      </w:pPr>
      <w:r w:rsidRPr="00872B51">
        <w:rPr>
          <w:b/>
          <w:bCs/>
        </w:rPr>
        <w:t>Variant Fitness</w:t>
      </w:r>
      <w:r w:rsidRPr="00872B51">
        <w:t>: The mean fitness score calculated as the log₂ ratio of each variant’s area-under-curve (AUC) to wild</w:t>
      </w:r>
      <w:r w:rsidRPr="00872B51">
        <w:rPr>
          <w:rFonts w:ascii="Cambria Math" w:hAnsi="Cambria Math" w:cs="Cambria Math"/>
        </w:rPr>
        <w:t>‐</w:t>
      </w:r>
      <w:r w:rsidRPr="00872B51">
        <w:t>type.</w:t>
      </w:r>
    </w:p>
    <w:p w14:paraId="039304B7" w14:textId="77777777" w:rsidR="00872B51" w:rsidRDefault="00872B51" w:rsidP="00872B51">
      <w:pPr>
        <w:pStyle w:val="ListParagraph"/>
        <w:numPr>
          <w:ilvl w:val="2"/>
          <w:numId w:val="3"/>
        </w:numPr>
      </w:pPr>
      <w:r w:rsidRPr="00872B51">
        <w:rPr>
          <w:b/>
          <w:bCs/>
        </w:rPr>
        <w:lastRenderedPageBreak/>
        <w:t>Variant Fitness SEM</w:t>
      </w:r>
      <w:r w:rsidRPr="00872B51">
        <w:t>: The standard error of the mean across the three replicates.</w:t>
      </w:r>
    </w:p>
    <w:p w14:paraId="0F27C4BA" w14:textId="3E4DBC6C" w:rsidR="00F71D37" w:rsidRPr="00F71D37" w:rsidRDefault="00F71D37" w:rsidP="00F71D37">
      <w:pPr>
        <w:pStyle w:val="ListParagraph"/>
        <w:numPr>
          <w:ilvl w:val="0"/>
          <w:numId w:val="3"/>
        </w:numPr>
      </w:pPr>
      <w:proofErr w:type="spellStart"/>
      <w:r w:rsidRPr="00AA328A">
        <w:rPr>
          <w:b/>
          <w:bCs/>
        </w:rPr>
        <w:t>Main</w:t>
      </w:r>
      <w:r>
        <w:rPr>
          <w:b/>
          <w:bCs/>
        </w:rPr>
        <w:t>_</w:t>
      </w:r>
      <w:r w:rsidRPr="00AA328A">
        <w:rPr>
          <w:b/>
          <w:bCs/>
        </w:rPr>
        <w:t>Figures</w:t>
      </w:r>
      <w:proofErr w:type="spellEnd"/>
      <w:r w:rsidRPr="00AA328A">
        <w:rPr>
          <w:b/>
          <w:bCs/>
        </w:rPr>
        <w:t>/Figure_</w:t>
      </w:r>
      <w:r>
        <w:rPr>
          <w:b/>
          <w:bCs/>
        </w:rPr>
        <w:t>2</w:t>
      </w:r>
      <w:r w:rsidRPr="00AA328A">
        <w:rPr>
          <w:b/>
          <w:bCs/>
        </w:rPr>
        <w:t>/</w:t>
      </w:r>
      <w:r>
        <w:rPr>
          <w:b/>
          <w:bCs/>
        </w:rPr>
        <w:t>Algorithms_Summary.txt</w:t>
      </w:r>
      <w:r w:rsidRPr="00AA328A">
        <w:rPr>
          <w:b/>
          <w:bCs/>
        </w:rPr>
        <w:t>:</w:t>
      </w:r>
    </w:p>
    <w:p w14:paraId="02A7CAD2" w14:textId="04272EAC" w:rsidR="00D56CF2" w:rsidRDefault="00D56CF2" w:rsidP="00D56CF2">
      <w:pPr>
        <w:pStyle w:val="ListParagraph"/>
        <w:numPr>
          <w:ilvl w:val="1"/>
          <w:numId w:val="3"/>
        </w:numPr>
      </w:pPr>
      <w:r>
        <w:t>Aggregation</w:t>
      </w:r>
      <w:r>
        <w:rPr>
          <w:rFonts w:ascii="Cambria Math" w:hAnsi="Cambria Math" w:cs="Cambria Math"/>
        </w:rPr>
        <w:t>‐</w:t>
      </w:r>
      <w:r>
        <w:t>propensity predictions along the A</w:t>
      </w:r>
      <w:r>
        <w:rPr>
          <w:rFonts w:ascii="Aptos" w:hAnsi="Aptos" w:cs="Aptos"/>
        </w:rPr>
        <w:t>β₄₂</w:t>
      </w:r>
      <w:r>
        <w:t xml:space="preserve"> sequence, with one row per residue (positions 1</w:t>
      </w:r>
      <w:r>
        <w:rPr>
          <w:rFonts w:ascii="Aptos" w:hAnsi="Aptos" w:cs="Aptos"/>
        </w:rPr>
        <w:t>–</w:t>
      </w:r>
      <w:r>
        <w:t>42). The columns are:</w:t>
      </w:r>
    </w:p>
    <w:p w14:paraId="7A1C9C86" w14:textId="77777777" w:rsidR="00D56CF2" w:rsidRDefault="00D56CF2" w:rsidP="00D56CF2">
      <w:pPr>
        <w:pStyle w:val="ListParagraph"/>
        <w:numPr>
          <w:ilvl w:val="1"/>
          <w:numId w:val="3"/>
        </w:numPr>
      </w:pPr>
      <w:r>
        <w:t>Pos: Residue number in the Aβ₄₂ sequence.</w:t>
      </w:r>
    </w:p>
    <w:p w14:paraId="36ADB067" w14:textId="77777777" w:rsidR="00D56CF2" w:rsidRDefault="00D56CF2" w:rsidP="00D56CF2">
      <w:pPr>
        <w:pStyle w:val="ListParagraph"/>
        <w:numPr>
          <w:ilvl w:val="1"/>
          <w:numId w:val="3"/>
        </w:numPr>
      </w:pPr>
      <w:r>
        <w:t>aa: The single</w:t>
      </w:r>
      <w:r>
        <w:rPr>
          <w:rFonts w:ascii="Cambria Math" w:hAnsi="Cambria Math" w:cs="Cambria Math"/>
        </w:rPr>
        <w:t>‐</w:t>
      </w:r>
      <w:r>
        <w:t>letter code of the wild-type amino acid at that position.</w:t>
      </w:r>
    </w:p>
    <w:p w14:paraId="4055233A" w14:textId="77777777" w:rsidR="00D56CF2" w:rsidRDefault="00D56CF2" w:rsidP="00D56CF2">
      <w:pPr>
        <w:pStyle w:val="ListParagraph"/>
        <w:numPr>
          <w:ilvl w:val="1"/>
          <w:numId w:val="3"/>
        </w:numPr>
      </w:pPr>
      <w:proofErr w:type="spellStart"/>
      <w:r>
        <w:t>Camsol</w:t>
      </w:r>
      <w:proofErr w:type="spellEnd"/>
      <w:r>
        <w:t xml:space="preserve">: Inverted </w:t>
      </w:r>
      <w:proofErr w:type="spellStart"/>
      <w:r>
        <w:t>CamSol</w:t>
      </w:r>
      <w:proofErr w:type="spellEnd"/>
      <w:r>
        <w:t xml:space="preserve"> solubility score (higher values correspond to lower intrinsic solubility, i.e. greater aggregation propensity).</w:t>
      </w:r>
    </w:p>
    <w:p w14:paraId="1D3550AC" w14:textId="77777777" w:rsidR="00D56CF2" w:rsidRDefault="00D56CF2" w:rsidP="00D56CF2">
      <w:pPr>
        <w:pStyle w:val="ListParagraph"/>
        <w:numPr>
          <w:ilvl w:val="1"/>
          <w:numId w:val="3"/>
        </w:numPr>
      </w:pPr>
      <w:r>
        <w:t>TANGO: TANGO β-aggregation propensity score (higher values indicate stronger β-strand aggregation prediction).</w:t>
      </w:r>
    </w:p>
    <w:p w14:paraId="21649FD7" w14:textId="77777777" w:rsidR="00D56CF2" w:rsidRDefault="00D56CF2" w:rsidP="00D56CF2">
      <w:pPr>
        <w:pStyle w:val="ListParagraph"/>
        <w:numPr>
          <w:ilvl w:val="1"/>
          <w:numId w:val="3"/>
        </w:numPr>
      </w:pPr>
      <w:r>
        <w:t>Amylogram: Probability of amyloidogenic motif presence from the Amylogram algorithm.</w:t>
      </w:r>
    </w:p>
    <w:p w14:paraId="2C54CE47" w14:textId="77777777" w:rsidR="00D56CF2" w:rsidRDefault="00D56CF2" w:rsidP="00D56CF2">
      <w:pPr>
        <w:pStyle w:val="ListParagraph"/>
        <w:numPr>
          <w:ilvl w:val="1"/>
          <w:numId w:val="3"/>
        </w:numPr>
      </w:pPr>
      <w:r>
        <w:t>AGGRESCAN: AGGRESCAN “hot</w:t>
      </w:r>
      <w:r>
        <w:rPr>
          <w:rFonts w:ascii="Cambria Math" w:hAnsi="Cambria Math" w:cs="Cambria Math"/>
        </w:rPr>
        <w:t>‐</w:t>
      </w:r>
      <w:r>
        <w:t>spot</w:t>
      </w:r>
      <w:r>
        <w:rPr>
          <w:rFonts w:ascii="Aptos" w:hAnsi="Aptos" w:cs="Aptos"/>
        </w:rPr>
        <w:t>”</w:t>
      </w:r>
      <w:r>
        <w:t xml:space="preserve"> score (higher values flag regions predicted to nucleate aggregate formation).</w:t>
      </w:r>
    </w:p>
    <w:p w14:paraId="55DDB60C" w14:textId="77777777" w:rsidR="00F71D37" w:rsidRPr="0066050C" w:rsidRDefault="00F71D37" w:rsidP="004B1655">
      <w:pPr>
        <w:pStyle w:val="ListParagraph"/>
        <w:ind w:left="1440"/>
      </w:pPr>
    </w:p>
    <w:p w14:paraId="0B5328AF" w14:textId="4CAC77B2" w:rsidR="00303AFE" w:rsidRPr="00303AFE" w:rsidRDefault="004B1655" w:rsidP="003F3D17">
      <w:pPr>
        <w:pStyle w:val="ListParagraph"/>
        <w:numPr>
          <w:ilvl w:val="0"/>
          <w:numId w:val="5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/Figure_2/</w:t>
      </w:r>
      <w:r w:rsidR="00303AFE">
        <w:rPr>
          <w:b/>
          <w:bCs/>
        </w:rPr>
        <w:t>Heatmap</w:t>
      </w:r>
      <w:r w:rsidRPr="004B1655">
        <w:rPr>
          <w:b/>
          <w:bCs/>
        </w:rPr>
        <w:t>.</w:t>
      </w:r>
      <w:r w:rsidR="00303AFE">
        <w:rPr>
          <w:b/>
          <w:bCs/>
        </w:rPr>
        <w:t>xlsx</w:t>
      </w:r>
    </w:p>
    <w:p w14:paraId="47BDB74C" w14:textId="77777777" w:rsidR="00303AFE" w:rsidRDefault="003F3D17" w:rsidP="00303AFE">
      <w:pPr>
        <w:pStyle w:val="ListParagraph"/>
        <w:numPr>
          <w:ilvl w:val="1"/>
          <w:numId w:val="5"/>
        </w:numPr>
      </w:pPr>
      <w:r w:rsidRPr="003F3D17">
        <w:t xml:space="preserve">The </w:t>
      </w:r>
      <w:r w:rsidRPr="00303AFE">
        <w:rPr>
          <w:b/>
          <w:bCs/>
        </w:rPr>
        <w:t>Heatmap.xlsx</w:t>
      </w:r>
      <w:r w:rsidRPr="003F3D17">
        <w:t xml:space="preserve"> file contains the full matrix of variant fitness scores for every single</w:t>
      </w:r>
      <w:r w:rsidRPr="00303AFE">
        <w:rPr>
          <w:rFonts w:ascii="Cambria Math" w:hAnsi="Cambria Math" w:cs="Cambria Math"/>
        </w:rPr>
        <w:t>‐</w:t>
      </w:r>
      <w:r w:rsidRPr="003F3D17">
        <w:t>residue substitution across A</w:t>
      </w:r>
      <w:r w:rsidRPr="00303AFE">
        <w:rPr>
          <w:rFonts w:ascii="Aptos" w:hAnsi="Aptos" w:cs="Aptos"/>
        </w:rPr>
        <w:t>β₄₂</w:t>
      </w:r>
      <w:r w:rsidRPr="003F3D17">
        <w:t>, organi</w:t>
      </w:r>
      <w:r w:rsidR="00303AFE">
        <w:t>s</w:t>
      </w:r>
      <w:r w:rsidRPr="003F3D17">
        <w:t>ed as follows:</w:t>
      </w:r>
    </w:p>
    <w:p w14:paraId="0FBA9814" w14:textId="77777777" w:rsidR="00303AFE" w:rsidRDefault="003F3D17" w:rsidP="00303AFE">
      <w:pPr>
        <w:pStyle w:val="ListParagraph"/>
        <w:numPr>
          <w:ilvl w:val="1"/>
          <w:numId w:val="5"/>
        </w:numPr>
      </w:pPr>
      <w:r w:rsidRPr="00303AFE">
        <w:rPr>
          <w:b/>
          <w:bCs/>
        </w:rPr>
        <w:t>Rows (</w:t>
      </w:r>
      <w:r w:rsidR="00303AFE">
        <w:rPr>
          <w:b/>
          <w:bCs/>
        </w:rPr>
        <w:t>Substitution</w:t>
      </w:r>
      <w:r w:rsidRPr="00303AFE">
        <w:rPr>
          <w:b/>
          <w:bCs/>
        </w:rPr>
        <w:t>):</w:t>
      </w:r>
      <w:r w:rsidRPr="003F3D17">
        <w:t xml:space="preserve"> Each row corresponds to one of the 20 canonical amino acids substituted at each Aβ₄₂ position.</w:t>
      </w:r>
    </w:p>
    <w:p w14:paraId="053CD684" w14:textId="77777777" w:rsidR="00ED62C3" w:rsidRDefault="003F3D17" w:rsidP="00ED62C3">
      <w:pPr>
        <w:pStyle w:val="ListParagraph"/>
        <w:numPr>
          <w:ilvl w:val="1"/>
          <w:numId w:val="5"/>
        </w:numPr>
      </w:pPr>
      <w:r w:rsidRPr="00303AFE">
        <w:rPr>
          <w:b/>
          <w:bCs/>
        </w:rPr>
        <w:t>Columns (D1, A2, E3, …, A42):</w:t>
      </w:r>
      <w:r w:rsidRPr="003F3D17">
        <w:t xml:space="preserve"> Each column header gives the wild-type residue (single letter) and its sequence position in Aβ₄₂.</w:t>
      </w:r>
    </w:p>
    <w:p w14:paraId="3267817A" w14:textId="77777777" w:rsidR="00ED62C3" w:rsidRDefault="003F3D17" w:rsidP="00ED62C3">
      <w:pPr>
        <w:pStyle w:val="ListParagraph"/>
        <w:numPr>
          <w:ilvl w:val="1"/>
          <w:numId w:val="5"/>
        </w:numPr>
      </w:pPr>
      <w:r w:rsidRPr="00ED62C3">
        <w:rPr>
          <w:b/>
          <w:bCs/>
        </w:rPr>
        <w:t>Cell values:</w:t>
      </w:r>
      <w:r w:rsidRPr="003F3D17">
        <w:t xml:space="preserve"> The fitness score for substituting that row</w:t>
      </w:r>
      <w:r w:rsidRPr="00ED62C3">
        <w:rPr>
          <w:rFonts w:ascii="Aptos" w:hAnsi="Aptos" w:cs="Aptos"/>
        </w:rPr>
        <w:t>’</w:t>
      </w:r>
      <w:r w:rsidRPr="003F3D17">
        <w:t>s amino acid at the given column</w:t>
      </w:r>
      <w:r w:rsidRPr="00ED62C3">
        <w:rPr>
          <w:rFonts w:ascii="Aptos" w:hAnsi="Aptos" w:cs="Aptos"/>
        </w:rPr>
        <w:t>’</w:t>
      </w:r>
      <w:r w:rsidRPr="003F3D17">
        <w:t>s position. Zero indicates the wild-type residue</w:t>
      </w:r>
      <w:r w:rsidRPr="00ED62C3">
        <w:rPr>
          <w:rFonts w:ascii="Aptos" w:hAnsi="Aptos" w:cs="Aptos"/>
        </w:rPr>
        <w:t>’</w:t>
      </w:r>
      <w:r w:rsidRPr="003F3D17">
        <w:t xml:space="preserve">s own identity; positive values denote substitutions that improve </w:t>
      </w:r>
      <w:r w:rsidRPr="00ED62C3">
        <w:rPr>
          <w:rFonts w:ascii="Aptos" w:hAnsi="Aptos" w:cs="Aptos"/>
        </w:rPr>
        <w:t>β</w:t>
      </w:r>
      <w:r w:rsidRPr="003F3D17">
        <w:t>-lactamase activity (i.e., decrease aggregation), whereas negative values denote substitutions that worsen activity (increase aggregation propensity).</w:t>
      </w:r>
    </w:p>
    <w:p w14:paraId="0CF36A1A" w14:textId="77777777" w:rsidR="00C86D79" w:rsidRDefault="003F3D17" w:rsidP="003F3D17">
      <w:pPr>
        <w:pStyle w:val="ListParagraph"/>
        <w:numPr>
          <w:ilvl w:val="1"/>
          <w:numId w:val="5"/>
        </w:numPr>
      </w:pPr>
      <w:proofErr w:type="spellStart"/>
      <w:r w:rsidRPr="00ED62C3">
        <w:rPr>
          <w:b/>
          <w:bCs/>
        </w:rPr>
        <w:t>NaNs</w:t>
      </w:r>
      <w:proofErr w:type="spellEnd"/>
      <w:r w:rsidRPr="00ED62C3">
        <w:rPr>
          <w:b/>
          <w:bCs/>
        </w:rPr>
        <w:t>:</w:t>
      </w:r>
      <w:r w:rsidRPr="003F3D17">
        <w:t xml:space="preserve"> Missing entries arise where data were not recovered in the library or below detection thresholds</w:t>
      </w:r>
      <w:r w:rsidR="00C86D79">
        <w:t>.</w:t>
      </w:r>
    </w:p>
    <w:p w14:paraId="04E99C19" w14:textId="5D8D333C" w:rsidR="003F3D17" w:rsidRDefault="003F3D17" w:rsidP="003F3D17">
      <w:pPr>
        <w:pStyle w:val="ListParagraph"/>
        <w:numPr>
          <w:ilvl w:val="1"/>
          <w:numId w:val="5"/>
        </w:numPr>
      </w:pPr>
      <w:r w:rsidRPr="003F3D17">
        <w:t>This matrix underpins the heatmap visualization (Figure 2A), showing the sequence positions most sensitive to mutation (aggregation</w:t>
      </w:r>
      <w:r w:rsidRPr="00C86D79">
        <w:rPr>
          <w:rFonts w:ascii="Cambria Math" w:hAnsi="Cambria Math" w:cs="Cambria Math"/>
        </w:rPr>
        <w:t>‐</w:t>
      </w:r>
      <w:r w:rsidRPr="003F3D17">
        <w:t xml:space="preserve">prone regions) and those more tolerant of substitutions. </w:t>
      </w:r>
    </w:p>
    <w:p w14:paraId="60B1DEEE" w14:textId="77777777" w:rsidR="001E6B9E" w:rsidRPr="003F3D17" w:rsidRDefault="001E6B9E" w:rsidP="001E6B9E">
      <w:pPr>
        <w:pStyle w:val="ListParagraph"/>
        <w:ind w:left="1440"/>
      </w:pPr>
    </w:p>
    <w:p w14:paraId="5A3B5CD4" w14:textId="15F8DAB4" w:rsidR="001E6B9E" w:rsidRPr="008028AB" w:rsidRDefault="001E6B9E" w:rsidP="001E6B9E">
      <w:pPr>
        <w:pStyle w:val="ListParagraph"/>
        <w:numPr>
          <w:ilvl w:val="0"/>
          <w:numId w:val="5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/Figure_2/</w:t>
      </w:r>
      <w:proofErr w:type="spellStart"/>
      <w:r w:rsidR="008028AB">
        <w:rPr>
          <w:b/>
          <w:bCs/>
        </w:rPr>
        <w:t>Raw_NGS_Files</w:t>
      </w:r>
      <w:proofErr w:type="spellEnd"/>
    </w:p>
    <w:p w14:paraId="7E79F987" w14:textId="0043A405" w:rsidR="008028AB" w:rsidRDefault="008028AB" w:rsidP="008028AB">
      <w:pPr>
        <w:pStyle w:val="ListParagraph"/>
        <w:numPr>
          <w:ilvl w:val="1"/>
          <w:numId w:val="5"/>
        </w:numPr>
      </w:pPr>
      <w:r>
        <w:t xml:space="preserve">Contains raw </w:t>
      </w:r>
      <w:proofErr w:type="spellStart"/>
      <w:r>
        <w:t>fastq</w:t>
      </w:r>
      <w:proofErr w:type="spellEnd"/>
      <w:r>
        <w:t xml:space="preserve"> files as received after </w:t>
      </w:r>
      <w:proofErr w:type="spellStart"/>
      <w:r>
        <w:t>Azenta</w:t>
      </w:r>
      <w:proofErr w:type="spellEnd"/>
      <w:r>
        <w:t xml:space="preserve"> </w:t>
      </w:r>
      <w:proofErr w:type="spellStart"/>
      <w:r>
        <w:t>ampliconEZ</w:t>
      </w:r>
      <w:proofErr w:type="spellEnd"/>
      <w:r>
        <w:t xml:space="preserve"> sequencing. Three directories are consistent with the </w:t>
      </w:r>
      <w:r w:rsidR="003B2D7B">
        <w:t>three repeats.</w:t>
      </w:r>
    </w:p>
    <w:p w14:paraId="704ACDC3" w14:textId="505C9446" w:rsidR="003B2D7B" w:rsidRDefault="003B2D7B" w:rsidP="008028AB">
      <w:pPr>
        <w:pStyle w:val="ListParagraph"/>
        <w:numPr>
          <w:ilvl w:val="1"/>
          <w:numId w:val="5"/>
        </w:numPr>
      </w:pPr>
      <w:r>
        <w:t xml:space="preserve">Files are </w:t>
      </w:r>
      <w:proofErr w:type="spellStart"/>
      <w:r>
        <w:t>preceeded</w:t>
      </w:r>
      <w:proofErr w:type="spellEnd"/>
      <w:r>
        <w:t xml:space="preserve"> by ampicillin selection they were harvested from.</w:t>
      </w:r>
    </w:p>
    <w:p w14:paraId="4A21B022" w14:textId="77777777" w:rsidR="00064581" w:rsidRDefault="00064581" w:rsidP="00064581">
      <w:pPr>
        <w:pStyle w:val="ListParagraph"/>
        <w:ind w:left="1440"/>
      </w:pPr>
    </w:p>
    <w:p w14:paraId="0C65505B" w14:textId="03368D0F" w:rsidR="00C06CED" w:rsidRDefault="00064581" w:rsidP="00C06CED">
      <w:pPr>
        <w:pStyle w:val="ListParagraph"/>
        <w:numPr>
          <w:ilvl w:val="0"/>
          <w:numId w:val="5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3</w:t>
      </w:r>
      <w:r w:rsidRPr="004B1655">
        <w:rPr>
          <w:b/>
          <w:bCs/>
        </w:rPr>
        <w:t>/</w:t>
      </w:r>
      <w:r w:rsidR="007E20A6" w:rsidRPr="007E20A6">
        <w:t xml:space="preserve"> </w:t>
      </w:r>
      <w:r w:rsidR="007E20A6" w:rsidRPr="007E20A6">
        <w:rPr>
          <w:b/>
          <w:bCs/>
        </w:rPr>
        <w:t>Proteostat_DOI</w:t>
      </w:r>
      <w:r w:rsidR="007E20A6">
        <w:rPr>
          <w:b/>
          <w:bCs/>
        </w:rPr>
        <w:t>.xlsx</w:t>
      </w:r>
    </w:p>
    <w:p w14:paraId="66C6A314" w14:textId="77777777" w:rsidR="00064581" w:rsidRPr="00064581" w:rsidRDefault="00064581" w:rsidP="00064581">
      <w:pPr>
        <w:pStyle w:val="ListParagraph"/>
        <w:ind w:left="1440"/>
      </w:pPr>
      <w:r w:rsidRPr="00064581">
        <w:t xml:space="preserve">Plate_reader_bar_chart.xlsx (sheet: </w:t>
      </w:r>
      <w:proofErr w:type="spellStart"/>
      <w:r w:rsidRPr="00064581">
        <w:t>abeta_and_linker</w:t>
      </w:r>
      <w:proofErr w:type="spellEnd"/>
      <w:r w:rsidRPr="00064581">
        <w:t>)</w:t>
      </w:r>
    </w:p>
    <w:p w14:paraId="6D6B2B60" w14:textId="77777777" w:rsidR="00064581" w:rsidRPr="00064581" w:rsidRDefault="00064581" w:rsidP="00064581">
      <w:pPr>
        <w:pStyle w:val="ListParagraph"/>
        <w:ind w:left="1440"/>
      </w:pPr>
      <w:r w:rsidRPr="00064581">
        <w:t xml:space="preserve">Columns A–D: Raw </w:t>
      </w:r>
      <w:proofErr w:type="spellStart"/>
      <w:r w:rsidRPr="00064581">
        <w:t>ProteoStat</w:t>
      </w:r>
      <w:proofErr w:type="spellEnd"/>
      <w:r w:rsidRPr="00064581">
        <w:t xml:space="preserve"> fluorescence readings after 58 min incubation with dye (before subtracting cell autofluorescence), six technical replicates per construct, laid out as four 6-well blocks:</w:t>
      </w:r>
    </w:p>
    <w:p w14:paraId="436BFE68" w14:textId="77777777" w:rsidR="00064581" w:rsidRPr="00064581" w:rsidRDefault="00064581" w:rsidP="00064581">
      <w:pPr>
        <w:pStyle w:val="ListParagraph"/>
        <w:ind w:left="1440"/>
      </w:pPr>
      <w:r w:rsidRPr="00064581">
        <w:t>A: mAβ₄₂</w:t>
      </w:r>
    </w:p>
    <w:p w14:paraId="210BB16D" w14:textId="77777777" w:rsidR="00064581" w:rsidRPr="00064581" w:rsidRDefault="00064581" w:rsidP="00064581">
      <w:pPr>
        <w:pStyle w:val="ListParagraph"/>
        <w:ind w:left="1440"/>
      </w:pPr>
      <w:r w:rsidRPr="00064581">
        <w:t>B: βLa-G/S linker</w:t>
      </w:r>
    </w:p>
    <w:p w14:paraId="58A26DAD" w14:textId="77777777" w:rsidR="00064581" w:rsidRPr="00064581" w:rsidRDefault="00064581" w:rsidP="00064581">
      <w:pPr>
        <w:pStyle w:val="ListParagraph"/>
        <w:ind w:left="1440"/>
      </w:pPr>
      <w:r w:rsidRPr="00064581">
        <w:t>C: βLa-Aβ₄₂</w:t>
      </w:r>
    </w:p>
    <w:p w14:paraId="6A565FD6" w14:textId="77777777" w:rsidR="00064581" w:rsidRPr="00064581" w:rsidRDefault="00064581" w:rsidP="00064581">
      <w:pPr>
        <w:pStyle w:val="ListParagraph"/>
        <w:ind w:left="1440"/>
      </w:pPr>
      <w:r w:rsidRPr="00064581">
        <w:t>D: Uninduced βLa-Aβ₄₂</w:t>
      </w:r>
    </w:p>
    <w:p w14:paraId="0EA7745B" w14:textId="77777777" w:rsidR="00064581" w:rsidRPr="00064581" w:rsidRDefault="00064581" w:rsidP="00064581">
      <w:pPr>
        <w:pStyle w:val="ListParagraph"/>
        <w:ind w:left="1440"/>
      </w:pPr>
      <w:r w:rsidRPr="00064581">
        <w:lastRenderedPageBreak/>
        <w:t>Columns E–F (Unnamed): Autofluorescence controls (cells without dye), and any intermediate calculations.</w:t>
      </w:r>
    </w:p>
    <w:p w14:paraId="492771D8" w14:textId="77777777" w:rsidR="00064581" w:rsidRPr="00064581" w:rsidRDefault="00064581" w:rsidP="00064581">
      <w:pPr>
        <w:pStyle w:val="ListParagraph"/>
        <w:ind w:left="1440"/>
      </w:pPr>
      <w:r w:rsidRPr="00064581">
        <w:t>Columns G–J: “Minus cells” averages for each construct (A–D minus their matched autofluorescence), which you use for plotting and stats.</w:t>
      </w:r>
    </w:p>
    <w:p w14:paraId="09473A72" w14:textId="77777777" w:rsidR="00064581" w:rsidRDefault="00064581" w:rsidP="00064581">
      <w:pPr>
        <w:pStyle w:val="ListParagraph"/>
        <w:ind w:left="1440"/>
      </w:pPr>
      <w:r w:rsidRPr="00064581">
        <w:t>Columns K–R: Pre-computed fold-change metrics and summary ratios, e.g. induced vs. uninduced, WT vs. GS-linker, mAβ₄₂ vs. WT.</w:t>
      </w:r>
    </w:p>
    <w:p w14:paraId="6E5AF1AF" w14:textId="2D9BD465" w:rsidR="00E15D09" w:rsidRPr="00CD5A58" w:rsidRDefault="00E15D09" w:rsidP="00E15D09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3</w:t>
      </w:r>
      <w:r w:rsidR="00026330">
        <w:rPr>
          <w:b/>
          <w:bCs/>
        </w:rPr>
        <w:t>/</w:t>
      </w:r>
      <w:r w:rsidR="00026330" w:rsidRPr="00026330">
        <w:rPr>
          <w:b/>
          <w:bCs/>
        </w:rPr>
        <w:t>Induced_bla_ab42_confocal</w:t>
      </w:r>
      <w:r w:rsidR="00026330">
        <w:rPr>
          <w:b/>
          <w:bCs/>
        </w:rPr>
        <w:t>.png</w:t>
      </w:r>
    </w:p>
    <w:p w14:paraId="4107B776" w14:textId="763E623D" w:rsidR="00CD5A58" w:rsidRDefault="00CD5A58" w:rsidP="00CD5A58">
      <w:pPr>
        <w:pStyle w:val="ListParagraph"/>
        <w:numPr>
          <w:ilvl w:val="1"/>
          <w:numId w:val="10"/>
        </w:numPr>
      </w:pPr>
      <w:r w:rsidRPr="00CD5A58">
        <w:t>Confocal fluorescence images of bacteria expressing βLa-Aβ42 visualised with 488 nm excitation and a 500–600 nm filter for detection (Methods)</w:t>
      </w:r>
    </w:p>
    <w:p w14:paraId="1A7CAB61" w14:textId="77ED05F6" w:rsidR="00026330" w:rsidRPr="00CD5A58" w:rsidRDefault="00026330" w:rsidP="00026330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3/Uni</w:t>
      </w:r>
      <w:r w:rsidRPr="00026330">
        <w:rPr>
          <w:b/>
          <w:bCs/>
        </w:rPr>
        <w:t>nduced_bla_ab42_confocal</w:t>
      </w:r>
      <w:r>
        <w:rPr>
          <w:b/>
          <w:bCs/>
        </w:rPr>
        <w:t>.png</w:t>
      </w:r>
    </w:p>
    <w:p w14:paraId="4E0F66E7" w14:textId="77777777" w:rsidR="007C7F5D" w:rsidRDefault="007C7F5D" w:rsidP="007C7F5D">
      <w:pPr>
        <w:pStyle w:val="ListParagraph"/>
        <w:numPr>
          <w:ilvl w:val="1"/>
          <w:numId w:val="10"/>
        </w:numPr>
      </w:pPr>
      <w:r>
        <w:t>U</w:t>
      </w:r>
      <w:r w:rsidRPr="007C7F5D">
        <w:t>ninduced βLa-Aβ42</w:t>
      </w:r>
      <w:r>
        <w:t xml:space="preserve"> </w:t>
      </w:r>
      <w:r w:rsidRPr="00CD5A58">
        <w:t>Aβ42 visualised with 488 nm excitation and a 500–600 nm filter for detection (Methods)</w:t>
      </w:r>
    </w:p>
    <w:p w14:paraId="7A694A10" w14:textId="031A8244" w:rsidR="00DD2B35" w:rsidRPr="00A97C60" w:rsidRDefault="00DD2B35" w:rsidP="00DD2B35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4/</w:t>
      </w:r>
      <w:r w:rsidR="00A97C60" w:rsidRPr="00A97C60">
        <w:t xml:space="preserve"> </w:t>
      </w:r>
      <w:r w:rsidR="00A97C60" w:rsidRPr="00A97C60">
        <w:rPr>
          <w:b/>
          <w:bCs/>
        </w:rPr>
        <w:t>Ab42_observed</w:t>
      </w:r>
      <w:r w:rsidR="00A97C60">
        <w:rPr>
          <w:b/>
          <w:bCs/>
        </w:rPr>
        <w:t>.xlsx</w:t>
      </w:r>
    </w:p>
    <w:p w14:paraId="58069C62" w14:textId="7E24CFBF" w:rsidR="00A97C60" w:rsidRDefault="00A97C60" w:rsidP="00A97C60">
      <w:pPr>
        <w:pStyle w:val="ListParagraph"/>
        <w:numPr>
          <w:ilvl w:val="1"/>
          <w:numId w:val="10"/>
        </w:numPr>
      </w:pPr>
      <w:r>
        <w:t>Contains the mean variant fitness score for each position for every sampled substitution averaged over a 5 residue sliding window multiplied by -1.</w:t>
      </w:r>
    </w:p>
    <w:p w14:paraId="2460D2AE" w14:textId="7965F35D" w:rsidR="009E218F" w:rsidRPr="00921FD4" w:rsidRDefault="009E218F" w:rsidP="009E218F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4/</w:t>
      </w:r>
      <w:r w:rsidRPr="00A97C60">
        <w:t xml:space="preserve"> </w:t>
      </w:r>
      <w:r>
        <w:rPr>
          <w:b/>
          <w:bCs/>
        </w:rPr>
        <w:t>abeta_FoldX.</w:t>
      </w:r>
      <w:r w:rsidR="0020100D">
        <w:rPr>
          <w:b/>
          <w:bCs/>
        </w:rPr>
        <w:t>xlsx</w:t>
      </w:r>
    </w:p>
    <w:p w14:paraId="6BA5939B" w14:textId="79021355" w:rsidR="00921FD4" w:rsidRPr="00921FD4" w:rsidRDefault="00921FD4" w:rsidP="00921FD4">
      <w:pPr>
        <w:pStyle w:val="ListParagraph"/>
        <w:numPr>
          <w:ilvl w:val="1"/>
          <w:numId w:val="10"/>
        </w:numPr>
      </w:pPr>
      <w:r w:rsidRPr="00921FD4">
        <w:t>The dataset "abeta_FoldX.xlsx" contains residue-level thermodynamic stability data for amyloid beta (Aβ) fibrils</w:t>
      </w:r>
      <w:r>
        <w:t xml:space="preserve"> (40 and 42)</w:t>
      </w:r>
      <w:r w:rsidRPr="00921FD4">
        <w:t xml:space="preserve">, computed using the </w:t>
      </w:r>
      <w:proofErr w:type="spellStart"/>
      <w:r w:rsidRPr="00921FD4">
        <w:t>FoldX</w:t>
      </w:r>
      <w:proofErr w:type="spellEnd"/>
      <w:r w:rsidRPr="00921FD4">
        <w:t xml:space="preserve"> algorithm. Each row corresponds to a specific residue position within different amyloid fibril structures identified by PDB IDs. The columns include:</w:t>
      </w:r>
    </w:p>
    <w:p w14:paraId="4A1C8DF4" w14:textId="77777777" w:rsidR="00921FD4" w:rsidRPr="00921FD4" w:rsidRDefault="00921FD4" w:rsidP="00921FD4">
      <w:pPr>
        <w:pStyle w:val="ListParagraph"/>
        <w:numPr>
          <w:ilvl w:val="1"/>
          <w:numId w:val="10"/>
        </w:numPr>
      </w:pPr>
      <w:proofErr w:type="spellStart"/>
      <w:r w:rsidRPr="00921FD4">
        <w:t>pdb_id</w:t>
      </w:r>
      <w:proofErr w:type="spellEnd"/>
      <w:r w:rsidRPr="00921FD4">
        <w:t>: Identifier of the fibril structure (Protein Data Bank code).</w:t>
      </w:r>
    </w:p>
    <w:p w14:paraId="447EB22A" w14:textId="77777777" w:rsidR="00921FD4" w:rsidRPr="00921FD4" w:rsidRDefault="00921FD4" w:rsidP="00921FD4">
      <w:pPr>
        <w:pStyle w:val="ListParagraph"/>
        <w:numPr>
          <w:ilvl w:val="1"/>
          <w:numId w:val="10"/>
        </w:numPr>
      </w:pPr>
      <w:r w:rsidRPr="00921FD4">
        <w:t>Pos: The residue position within the sequence.</w:t>
      </w:r>
    </w:p>
    <w:p w14:paraId="4B85DE02" w14:textId="77777777" w:rsidR="00921FD4" w:rsidRPr="00921FD4" w:rsidRDefault="00921FD4" w:rsidP="00921FD4">
      <w:pPr>
        <w:pStyle w:val="ListParagraph"/>
        <w:numPr>
          <w:ilvl w:val="1"/>
          <w:numId w:val="10"/>
        </w:numPr>
      </w:pPr>
      <w:proofErr w:type="spellStart"/>
      <w:r w:rsidRPr="00921FD4">
        <w:t>sliding_window</w:t>
      </w:r>
      <w:proofErr w:type="spellEnd"/>
      <w:r w:rsidRPr="00921FD4">
        <w:t>: The calculated per-residue ΔG⁰ contribution averaged over a 5-residue sliding window, representing the residue's energetic contribution to fibril stability.</w:t>
      </w:r>
    </w:p>
    <w:p w14:paraId="69A2CA04" w14:textId="77777777" w:rsidR="00921FD4" w:rsidRPr="00921FD4" w:rsidRDefault="00921FD4" w:rsidP="00921FD4">
      <w:pPr>
        <w:pStyle w:val="ListParagraph"/>
        <w:numPr>
          <w:ilvl w:val="1"/>
          <w:numId w:val="10"/>
        </w:numPr>
      </w:pPr>
      <w:r w:rsidRPr="00921FD4">
        <w:t>scaled: The scaled version of the stability contribution for comparative analysis.</w:t>
      </w:r>
    </w:p>
    <w:p w14:paraId="252CECBF" w14:textId="77777777" w:rsidR="00921FD4" w:rsidRDefault="00921FD4" w:rsidP="00921FD4">
      <w:pPr>
        <w:pStyle w:val="ListParagraph"/>
        <w:numPr>
          <w:ilvl w:val="1"/>
          <w:numId w:val="10"/>
        </w:numPr>
      </w:pPr>
      <w:r w:rsidRPr="00921FD4">
        <w:t>PDB: A processed identifier grouping fibril polymorphs for downstream analysis.</w:t>
      </w:r>
    </w:p>
    <w:p w14:paraId="620E3A71" w14:textId="160D3D07" w:rsidR="00CB2E38" w:rsidRPr="00A97C60" w:rsidRDefault="00CB2E38" w:rsidP="00CB2E38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4/</w:t>
      </w:r>
      <w:r w:rsidRPr="00A97C60">
        <w:t xml:space="preserve"> </w:t>
      </w:r>
      <w:r w:rsidR="00D73A77">
        <w:rPr>
          <w:b/>
          <w:bCs/>
        </w:rPr>
        <w:t>Ab42_DHFR</w:t>
      </w:r>
      <w:r>
        <w:rPr>
          <w:b/>
          <w:bCs/>
        </w:rPr>
        <w:t>.xlsx</w:t>
      </w:r>
    </w:p>
    <w:p w14:paraId="56E4DAF7" w14:textId="63153996" w:rsidR="00CB2E38" w:rsidRDefault="00CB2E38" w:rsidP="00CB2E38">
      <w:pPr>
        <w:pStyle w:val="ListParagraph"/>
        <w:numPr>
          <w:ilvl w:val="1"/>
          <w:numId w:val="10"/>
        </w:numPr>
      </w:pPr>
      <w:r>
        <w:t>Contains the mean variant fitness score for</w:t>
      </w:r>
      <w:r w:rsidR="00D73A77">
        <w:t xml:space="preserve"> </w:t>
      </w:r>
      <w:r w:rsidR="00DE349E">
        <w:t>DHFR</w:t>
      </w:r>
      <w:r w:rsidR="00D73A77">
        <w:t>-Aβ42</w:t>
      </w:r>
      <w:r w:rsidR="00DE349E">
        <w:t xml:space="preserve"> for</w:t>
      </w:r>
      <w:r>
        <w:t xml:space="preserve"> each position for every sampled substitution averaged over a 5 residue sliding window multiplied by -1.</w:t>
      </w:r>
      <w:r w:rsidR="00DE349E">
        <w:t xml:space="preserve"> Data was obtained from </w:t>
      </w:r>
      <w:r w:rsidR="00953187">
        <w:t xml:space="preserve">ref: </w:t>
      </w:r>
      <w:r w:rsidR="00953187" w:rsidRPr="00F00A81">
        <w:rPr>
          <w:rFonts w:ascii="Calibri" w:hAnsi="Calibri" w:cs="Calibri"/>
          <w:sz w:val="20"/>
        </w:rPr>
        <w:t xml:space="preserve">Gray VE, </w:t>
      </w:r>
      <w:proofErr w:type="spellStart"/>
      <w:r w:rsidR="00953187" w:rsidRPr="00F00A81">
        <w:rPr>
          <w:rFonts w:ascii="Calibri" w:hAnsi="Calibri" w:cs="Calibri"/>
          <w:sz w:val="20"/>
        </w:rPr>
        <w:t>Sitko</w:t>
      </w:r>
      <w:proofErr w:type="spellEnd"/>
      <w:r w:rsidR="00953187" w:rsidRPr="00F00A81">
        <w:rPr>
          <w:rFonts w:ascii="Calibri" w:hAnsi="Calibri" w:cs="Calibri"/>
          <w:sz w:val="20"/>
        </w:rPr>
        <w:t xml:space="preserve"> K, </w:t>
      </w:r>
      <w:proofErr w:type="spellStart"/>
      <w:r w:rsidR="00953187" w:rsidRPr="00F00A81">
        <w:rPr>
          <w:rFonts w:ascii="Calibri" w:hAnsi="Calibri" w:cs="Calibri"/>
          <w:sz w:val="20"/>
        </w:rPr>
        <w:t>Kameni</w:t>
      </w:r>
      <w:proofErr w:type="spellEnd"/>
      <w:r w:rsidR="00953187" w:rsidRPr="00F00A81">
        <w:rPr>
          <w:rFonts w:ascii="Calibri" w:hAnsi="Calibri" w:cs="Calibri"/>
          <w:sz w:val="20"/>
        </w:rPr>
        <w:t xml:space="preserve"> FZN, Williamson M, Stephany JJ, </w:t>
      </w:r>
      <w:proofErr w:type="spellStart"/>
      <w:r w:rsidR="00953187" w:rsidRPr="00F00A81">
        <w:rPr>
          <w:rFonts w:ascii="Calibri" w:hAnsi="Calibri" w:cs="Calibri"/>
          <w:sz w:val="20"/>
        </w:rPr>
        <w:t>Hasle</w:t>
      </w:r>
      <w:proofErr w:type="spellEnd"/>
      <w:r w:rsidR="00953187" w:rsidRPr="00F00A81">
        <w:rPr>
          <w:rFonts w:ascii="Calibri" w:hAnsi="Calibri" w:cs="Calibri"/>
          <w:sz w:val="20"/>
        </w:rPr>
        <w:t xml:space="preserve"> N, et al. 2019. Elucidating the molecular determinants of Aβ aggregation with deep mutational scanning. </w:t>
      </w:r>
      <w:r w:rsidR="00953187" w:rsidRPr="00F00A81">
        <w:rPr>
          <w:rFonts w:ascii="Calibri" w:hAnsi="Calibri" w:cs="Calibri"/>
          <w:i/>
          <w:iCs/>
          <w:sz w:val="20"/>
        </w:rPr>
        <w:t>G3 Genes Genomes Genet</w:t>
      </w:r>
      <w:r w:rsidR="00953187" w:rsidRPr="00F00A81">
        <w:rPr>
          <w:rFonts w:ascii="Calibri" w:hAnsi="Calibri" w:cs="Calibri"/>
          <w:sz w:val="20"/>
        </w:rPr>
        <w:t xml:space="preserve">. </w:t>
      </w:r>
      <w:r w:rsidR="00953187" w:rsidRPr="00F00A81">
        <w:rPr>
          <w:rFonts w:ascii="Calibri" w:hAnsi="Calibri" w:cs="Calibri"/>
          <w:b/>
          <w:bCs/>
          <w:sz w:val="20"/>
        </w:rPr>
        <w:t>9</w:t>
      </w:r>
      <w:r w:rsidR="00953187" w:rsidRPr="00F00A81">
        <w:rPr>
          <w:rFonts w:ascii="Calibri" w:hAnsi="Calibri" w:cs="Calibri"/>
          <w:sz w:val="20"/>
        </w:rPr>
        <w:t>:3683–9.</w:t>
      </w:r>
    </w:p>
    <w:p w14:paraId="7C46A57F" w14:textId="6D87B241" w:rsidR="002901AA" w:rsidRPr="00A97C60" w:rsidRDefault="002901AA" w:rsidP="002901AA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4/</w:t>
      </w:r>
      <w:r w:rsidRPr="00A97C60">
        <w:t xml:space="preserve"> </w:t>
      </w:r>
      <w:r>
        <w:rPr>
          <w:b/>
          <w:bCs/>
        </w:rPr>
        <w:t>Ab42_sup35p.xlsx</w:t>
      </w:r>
    </w:p>
    <w:p w14:paraId="3D47FA2A" w14:textId="5452DCE0" w:rsidR="002901AA" w:rsidRPr="00F10B42" w:rsidRDefault="002901AA" w:rsidP="00F10B42">
      <w:pPr>
        <w:pStyle w:val="Bibliography"/>
        <w:numPr>
          <w:ilvl w:val="1"/>
          <w:numId w:val="10"/>
        </w:numPr>
        <w:rPr>
          <w:rFonts w:ascii="Calibri" w:hAnsi="Calibri" w:cs="Calibri"/>
          <w:sz w:val="20"/>
        </w:rPr>
      </w:pPr>
      <w:r>
        <w:t xml:space="preserve">Contains the mean variant fitness score for sup35p-Aβ42 for each position for every sampled substitution averaged over a 5 residue sliding window. Data was obtained from ref: </w:t>
      </w:r>
      <w:r w:rsidR="00B727D0">
        <w:t xml:space="preserve"> </w:t>
      </w:r>
      <w:proofErr w:type="spellStart"/>
      <w:r w:rsidR="00B727D0" w:rsidRPr="00F00A81">
        <w:rPr>
          <w:rFonts w:ascii="Calibri" w:hAnsi="Calibri" w:cs="Calibri"/>
          <w:sz w:val="20"/>
        </w:rPr>
        <w:t>Seuma</w:t>
      </w:r>
      <w:proofErr w:type="spellEnd"/>
      <w:r w:rsidR="00B727D0" w:rsidRPr="00F00A81">
        <w:rPr>
          <w:rFonts w:ascii="Calibri" w:hAnsi="Calibri" w:cs="Calibri"/>
          <w:sz w:val="20"/>
        </w:rPr>
        <w:t xml:space="preserve"> M, Lehner B, Bolognesi B. 2022. An atlas of amyloid aggregation: the impact of substitutions, insertions, deletions and truncations on amyloid beta fibril nucleation. </w:t>
      </w:r>
      <w:r w:rsidR="00B727D0" w:rsidRPr="00F00A81">
        <w:rPr>
          <w:rFonts w:ascii="Calibri" w:hAnsi="Calibri" w:cs="Calibri"/>
          <w:i/>
          <w:iCs/>
          <w:sz w:val="20"/>
        </w:rPr>
        <w:t xml:space="preserve">Nat </w:t>
      </w:r>
      <w:proofErr w:type="spellStart"/>
      <w:r w:rsidR="00B727D0" w:rsidRPr="00F00A81">
        <w:rPr>
          <w:rFonts w:ascii="Calibri" w:hAnsi="Calibri" w:cs="Calibri"/>
          <w:i/>
          <w:iCs/>
          <w:sz w:val="20"/>
        </w:rPr>
        <w:t>Commun</w:t>
      </w:r>
      <w:proofErr w:type="spellEnd"/>
      <w:r w:rsidR="00B727D0" w:rsidRPr="00F00A81">
        <w:rPr>
          <w:rFonts w:ascii="Calibri" w:hAnsi="Calibri" w:cs="Calibri"/>
          <w:sz w:val="20"/>
        </w:rPr>
        <w:t xml:space="preserve">. </w:t>
      </w:r>
      <w:r w:rsidR="00B727D0" w:rsidRPr="00F00A81">
        <w:rPr>
          <w:rFonts w:ascii="Calibri" w:hAnsi="Calibri" w:cs="Calibri"/>
          <w:b/>
          <w:bCs/>
          <w:sz w:val="20"/>
        </w:rPr>
        <w:t>13</w:t>
      </w:r>
      <w:r w:rsidR="00B727D0" w:rsidRPr="00F00A81">
        <w:rPr>
          <w:rFonts w:ascii="Calibri" w:hAnsi="Calibri" w:cs="Calibri"/>
          <w:sz w:val="20"/>
        </w:rPr>
        <w:t>:7084.</w:t>
      </w:r>
    </w:p>
    <w:p w14:paraId="4600B666" w14:textId="455157D7" w:rsidR="00F10B42" w:rsidRPr="00A97C60" w:rsidRDefault="00F10B42" w:rsidP="00F10B42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4/</w:t>
      </w:r>
      <w:r w:rsidRPr="00A97C60">
        <w:t xml:space="preserve"> </w:t>
      </w:r>
      <w:r>
        <w:rPr>
          <w:b/>
          <w:bCs/>
        </w:rPr>
        <w:t>Endpoint_vs_Fitness.xlsx</w:t>
      </w:r>
    </w:p>
    <w:p w14:paraId="65556AEC" w14:textId="0A3EDD09" w:rsidR="004B4296" w:rsidRPr="004B4296" w:rsidRDefault="004B4296" w:rsidP="004B4296">
      <w:pPr>
        <w:pStyle w:val="ListParagraph"/>
        <w:numPr>
          <w:ilvl w:val="1"/>
          <w:numId w:val="10"/>
        </w:numPr>
      </w:pPr>
      <w:r w:rsidRPr="004B4296">
        <w:rPr>
          <w:b/>
          <w:bCs/>
        </w:rPr>
        <w:t>Endpoint_vs_Fitness.xlsx</w:t>
      </w:r>
      <w:r w:rsidRPr="004B4296">
        <w:t xml:space="preserve"> workbook </w:t>
      </w:r>
      <w:r w:rsidR="003E5A02">
        <w:t>contains</w:t>
      </w:r>
      <w:r w:rsidRPr="004B4296">
        <w:t xml:space="preserve"> data linking measured variant fitness scores</w:t>
      </w:r>
      <w:r w:rsidR="003E5A02">
        <w:t xml:space="preserve"> using β</w:t>
      </w:r>
      <w:proofErr w:type="spellStart"/>
      <w:r w:rsidR="003E5A02">
        <w:t>la-A</w:t>
      </w:r>
      <w:proofErr w:type="spellEnd"/>
      <w:r w:rsidR="003E5A02">
        <w:t>β42</w:t>
      </w:r>
      <w:r w:rsidRPr="004B4296">
        <w:t xml:space="preserve"> to </w:t>
      </w:r>
      <w:r w:rsidRPr="004B4296">
        <w:rPr>
          <w:i/>
          <w:iCs/>
        </w:rPr>
        <w:t>in vitro</w:t>
      </w:r>
      <w:r w:rsidRPr="004B4296">
        <w:t xml:space="preserve"> critical concentrations (</w:t>
      </w:r>
      <w:proofErr w:type="spellStart"/>
      <w:r w:rsidRPr="004B4296">
        <w:t>C</w:t>
      </w:r>
      <w:r w:rsidRPr="004B4296">
        <w:rPr>
          <w:rFonts w:ascii="Cambria Math" w:hAnsi="Cambria Math" w:cs="Cambria Math"/>
        </w:rPr>
        <w:t>₍</w:t>
      </w:r>
      <w:r w:rsidRPr="004B4296">
        <w:t>crit</w:t>
      </w:r>
      <w:proofErr w:type="spellEnd"/>
      <w:r w:rsidRPr="004B4296">
        <w:rPr>
          <w:rFonts w:ascii="Cambria Math" w:hAnsi="Cambria Math" w:cs="Cambria Math"/>
        </w:rPr>
        <w:t>₎</w:t>
      </w:r>
      <w:r w:rsidRPr="004B4296">
        <w:t>) of amyloid formation Specifically, each row corresponds to one A</w:t>
      </w:r>
      <w:r w:rsidRPr="004B4296">
        <w:rPr>
          <w:rFonts w:ascii="Aptos" w:hAnsi="Aptos" w:cs="Aptos"/>
        </w:rPr>
        <w:t>β₄₂</w:t>
      </w:r>
      <w:r w:rsidRPr="004B4296">
        <w:t xml:space="preserve"> variant and the columns include:</w:t>
      </w:r>
    </w:p>
    <w:p w14:paraId="18F3C14B" w14:textId="77777777" w:rsidR="004B4296" w:rsidRPr="004B4296" w:rsidRDefault="004B4296" w:rsidP="004B4296">
      <w:pPr>
        <w:pStyle w:val="ListParagraph"/>
        <w:numPr>
          <w:ilvl w:val="1"/>
          <w:numId w:val="10"/>
        </w:numPr>
      </w:pPr>
      <w:r w:rsidRPr="004B4296">
        <w:rPr>
          <w:b/>
          <w:bCs/>
        </w:rPr>
        <w:t>Label</w:t>
      </w:r>
      <w:r w:rsidRPr="004B4296">
        <w:t>: Variant identifier (e.g. D23F, V24Y, etc.)</w:t>
      </w:r>
    </w:p>
    <w:p w14:paraId="0F346309" w14:textId="289C8034" w:rsidR="004B4296" w:rsidRPr="004B4296" w:rsidRDefault="004B4296" w:rsidP="004B4296">
      <w:pPr>
        <w:pStyle w:val="ListParagraph"/>
        <w:numPr>
          <w:ilvl w:val="1"/>
          <w:numId w:val="10"/>
        </w:numPr>
      </w:pPr>
      <w:r w:rsidRPr="004B4296">
        <w:rPr>
          <w:b/>
          <w:bCs/>
        </w:rPr>
        <w:t>Variant Fitness</w:t>
      </w:r>
      <w:r w:rsidRPr="004B4296">
        <w:t xml:space="preserve">, </w:t>
      </w:r>
      <w:r w:rsidRPr="004B4296">
        <w:rPr>
          <w:b/>
          <w:bCs/>
        </w:rPr>
        <w:t>Variant Fitness SEM</w:t>
      </w:r>
      <w:r w:rsidRPr="004B4296">
        <w:t>: TPBLA-derived variant fitness score and its SEM</w:t>
      </w:r>
    </w:p>
    <w:p w14:paraId="67C7F85B" w14:textId="56DA49FE" w:rsidR="004B4296" w:rsidRPr="004B4296" w:rsidRDefault="004B4296" w:rsidP="004B4296">
      <w:pPr>
        <w:pStyle w:val="ListParagraph"/>
        <w:numPr>
          <w:ilvl w:val="1"/>
          <w:numId w:val="10"/>
        </w:numPr>
      </w:pPr>
      <w:proofErr w:type="spellStart"/>
      <w:r w:rsidRPr="004B4296">
        <w:rPr>
          <w:b/>
          <w:bCs/>
        </w:rPr>
        <w:t>Ccrit</w:t>
      </w:r>
      <w:proofErr w:type="spellEnd"/>
      <w:r w:rsidRPr="004B4296">
        <w:t xml:space="preserve">, </w:t>
      </w:r>
      <w:proofErr w:type="spellStart"/>
      <w:r w:rsidRPr="004B4296">
        <w:rPr>
          <w:b/>
          <w:bCs/>
        </w:rPr>
        <w:t>Ccrit</w:t>
      </w:r>
      <w:proofErr w:type="spellEnd"/>
      <w:r w:rsidRPr="004B4296">
        <w:rPr>
          <w:b/>
          <w:bCs/>
        </w:rPr>
        <w:t xml:space="preserve"> SEM</w:t>
      </w:r>
      <w:r w:rsidRPr="004B4296">
        <w:t xml:space="preserve">: Measured critical concentration of fibril formation (µM) from </w:t>
      </w:r>
      <w:proofErr w:type="spellStart"/>
      <w:r w:rsidRPr="004B4296">
        <w:t>ThT</w:t>
      </w:r>
      <w:proofErr w:type="spellEnd"/>
      <w:r w:rsidRPr="004B4296">
        <w:t xml:space="preserve"> endpoint assays and its SEM</w:t>
      </w:r>
    </w:p>
    <w:p w14:paraId="7D8F9BB6" w14:textId="0E2EA58D" w:rsidR="004B4296" w:rsidRPr="004B4296" w:rsidRDefault="004B4296" w:rsidP="004B4296">
      <w:pPr>
        <w:pStyle w:val="ListParagraph"/>
        <w:numPr>
          <w:ilvl w:val="1"/>
          <w:numId w:val="10"/>
        </w:numPr>
      </w:pPr>
      <w:r w:rsidRPr="004B4296">
        <w:rPr>
          <w:b/>
          <w:bCs/>
        </w:rPr>
        <w:lastRenderedPageBreak/>
        <w:t>log2(Crit)</w:t>
      </w:r>
      <w:r w:rsidRPr="004B4296">
        <w:t xml:space="preserve">, </w:t>
      </w:r>
      <w:r w:rsidRPr="004B4296">
        <w:rPr>
          <w:b/>
          <w:bCs/>
        </w:rPr>
        <w:t>log2(Crit) SEM)</w:t>
      </w:r>
      <w:r w:rsidRPr="004B4296">
        <w:t xml:space="preserve">: The base-2 logarithm of </w:t>
      </w:r>
      <w:proofErr w:type="spellStart"/>
      <w:r w:rsidRPr="004B4296">
        <w:t>Ccrit</w:t>
      </w:r>
      <w:proofErr w:type="spellEnd"/>
      <w:r w:rsidRPr="004B4296">
        <w:t xml:space="preserve"> (variant vs. wild-type) and its SEM</w:t>
      </w:r>
    </w:p>
    <w:p w14:paraId="7F028D96" w14:textId="59F42AA9" w:rsidR="00DB4583" w:rsidRPr="00892BBC" w:rsidRDefault="00DB4583" w:rsidP="00DB4583">
      <w:pPr>
        <w:pStyle w:val="ListParagraph"/>
        <w:numPr>
          <w:ilvl w:val="0"/>
          <w:numId w:val="10"/>
        </w:numPr>
      </w:pP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</w:t>
      </w:r>
      <w:r>
        <w:rPr>
          <w:b/>
          <w:bCs/>
        </w:rPr>
        <w:t>5</w:t>
      </w:r>
      <w:r w:rsidR="00F10F19">
        <w:t>/</w:t>
      </w:r>
      <w:proofErr w:type="spellStart"/>
      <w:r w:rsidR="00F10F19" w:rsidRPr="00F10F19">
        <w:rPr>
          <w:b/>
          <w:bCs/>
        </w:rPr>
        <w:t>Machine_Learning_Sequence_Features</w:t>
      </w:r>
      <w:proofErr w:type="spellEnd"/>
    </w:p>
    <w:p w14:paraId="3EC571DD" w14:textId="40A79894" w:rsidR="00CB2E38" w:rsidRDefault="00892BBC" w:rsidP="00DB4583">
      <w:pPr>
        <w:pStyle w:val="ListParagraph"/>
        <w:numPr>
          <w:ilvl w:val="1"/>
          <w:numId w:val="10"/>
        </w:numPr>
      </w:pPr>
      <w:r w:rsidRPr="00892BBC">
        <w:t xml:space="preserve">This dataset contains feature values for protein variants, including amino acid </w:t>
      </w:r>
      <w:r>
        <w:t>content</w:t>
      </w:r>
      <w:r w:rsidRPr="00892BBC">
        <w:t xml:space="preserve"> and their associated measured variant fitness scores. </w:t>
      </w:r>
      <w:r>
        <w:t xml:space="preserve">Single letters equates to amino acid content. Two letters equates to dipeptide content. </w:t>
      </w:r>
      <w:r w:rsidRPr="00892BBC">
        <w:t>Each row corresponds to a unique variant with complete sequence and physicochemical features, prepared for machine learning</w:t>
      </w:r>
      <w:r w:rsidR="008B3733">
        <w:t>.</w:t>
      </w:r>
    </w:p>
    <w:p w14:paraId="0F9F1B87" w14:textId="4C3A7A96" w:rsidR="00CE5325" w:rsidRPr="00065B9D" w:rsidRDefault="00CE5325" w:rsidP="00565471">
      <w:pPr>
        <w:pStyle w:val="ListParagraph"/>
        <w:numPr>
          <w:ilvl w:val="0"/>
          <w:numId w:val="10"/>
        </w:numPr>
      </w:pPr>
      <w:proofErr w:type="spellStart"/>
      <w:r w:rsidRPr="00CE5325">
        <w:rPr>
          <w:b/>
          <w:bCs/>
        </w:rPr>
        <w:t>Main_Figures</w:t>
      </w:r>
      <w:proofErr w:type="spellEnd"/>
      <w:r w:rsidRPr="00CE5325">
        <w:rPr>
          <w:b/>
          <w:bCs/>
        </w:rPr>
        <w:t>/Figure_5</w:t>
      </w:r>
      <w:r>
        <w:t>/</w:t>
      </w:r>
      <w:proofErr w:type="spellStart"/>
      <w:r w:rsidRPr="00CE5325">
        <w:rPr>
          <w:b/>
          <w:bCs/>
        </w:rPr>
        <w:t>ML_Predictions_and_FoldX</w:t>
      </w:r>
      <w:proofErr w:type="spellEnd"/>
    </w:p>
    <w:p w14:paraId="76B1E938" w14:textId="77777777" w:rsidR="00B5372C" w:rsidRDefault="00B5372C" w:rsidP="00B5372C">
      <w:pPr>
        <w:pStyle w:val="ListParagraph"/>
        <w:numPr>
          <w:ilvl w:val="1"/>
          <w:numId w:val="10"/>
        </w:numPr>
      </w:pPr>
      <w:r>
        <w:t>pearson_correlations.xlsx</w:t>
      </w:r>
    </w:p>
    <w:p w14:paraId="01EF808A" w14:textId="2EC02DCF" w:rsidR="00B5372C" w:rsidRDefault="00B5372C" w:rsidP="00B5372C">
      <w:pPr>
        <w:pStyle w:val="ListParagraph"/>
        <w:numPr>
          <w:ilvl w:val="1"/>
          <w:numId w:val="10"/>
        </w:numPr>
      </w:pPr>
      <w:r>
        <w:t xml:space="preserve">Contains Pearson correlation coefficients comparing </w:t>
      </w:r>
      <w:proofErr w:type="spellStart"/>
      <w:r>
        <w:t>FoldX</w:t>
      </w:r>
      <w:proofErr w:type="spellEnd"/>
      <w:r>
        <w:t xml:space="preserve">-calculated scaled per-residue ΔG⁰ values (using a 5-residue sliding window) with predicted variant fitness scores (also averaged over a 5-residue sliding window) for intrinsically disordered protein (IDP) sequences: Aβ40/Aβ42, α-synuclein, </w:t>
      </w:r>
      <w:proofErr w:type="spellStart"/>
      <w:r>
        <w:t>hIAPP</w:t>
      </w:r>
      <w:proofErr w:type="spellEnd"/>
      <w:r>
        <w:t>, and TDP-43. This dataset evaluates the agreement between computational stability estimates and machine-learning-based predictions.</w:t>
      </w:r>
    </w:p>
    <w:p w14:paraId="5C22E13C" w14:textId="3E6329E8" w:rsidR="00B5372C" w:rsidRDefault="00B5372C" w:rsidP="00B5372C">
      <w:pPr>
        <w:pStyle w:val="ListParagraph"/>
        <w:numPr>
          <w:ilvl w:val="1"/>
          <w:numId w:val="10"/>
        </w:numPr>
      </w:pPr>
      <w:r>
        <w:t>_wt_foldx_stability.csv:</w:t>
      </w:r>
    </w:p>
    <w:p w14:paraId="25CBE1E9" w14:textId="2A02898A" w:rsidR="00B5372C" w:rsidRDefault="00B5372C" w:rsidP="00B5372C">
      <w:pPr>
        <w:pStyle w:val="ListParagraph"/>
        <w:numPr>
          <w:ilvl w:val="1"/>
          <w:numId w:val="10"/>
        </w:numPr>
      </w:pPr>
      <w:r>
        <w:t xml:space="preserve">Provides raw </w:t>
      </w:r>
      <w:proofErr w:type="spellStart"/>
      <w:r>
        <w:t>FoldX</w:t>
      </w:r>
      <w:proofErr w:type="spellEnd"/>
      <w:r>
        <w:t xml:space="preserve">-calculated scaled per-residue ΔG⁰ stability values over a 5-residue sliding window for the wild-type sequences of Aβ40/Aβ42, α-synuclein, </w:t>
      </w:r>
      <w:proofErr w:type="spellStart"/>
      <w:r>
        <w:t>hIAPP</w:t>
      </w:r>
      <w:proofErr w:type="spellEnd"/>
      <w:r>
        <w:t>, and TDP-43. These values serve as the energetic baseline for amyloid fibril stability analysis.</w:t>
      </w:r>
    </w:p>
    <w:p w14:paraId="19A66AEF" w14:textId="7D4B7AA6" w:rsidR="00B5372C" w:rsidRDefault="00B5372C" w:rsidP="00B5372C">
      <w:pPr>
        <w:pStyle w:val="ListParagraph"/>
        <w:numPr>
          <w:ilvl w:val="1"/>
          <w:numId w:val="10"/>
        </w:numPr>
      </w:pPr>
      <w:r>
        <w:t>_prediction.xlsx:</w:t>
      </w:r>
    </w:p>
    <w:p w14:paraId="079292F1" w14:textId="6CE906D2" w:rsidR="0032696A" w:rsidRPr="00921FD4" w:rsidRDefault="00B5372C" w:rsidP="0051796D">
      <w:pPr>
        <w:pStyle w:val="ListParagraph"/>
        <w:numPr>
          <w:ilvl w:val="1"/>
          <w:numId w:val="10"/>
        </w:numPr>
      </w:pPr>
      <w:r>
        <w:t xml:space="preserve">Contains predicted mean per-residue variant fitness scores for the IDP sequences Aβ40/Aβ42, α-synuclein, </w:t>
      </w:r>
      <w:proofErr w:type="spellStart"/>
      <w:r>
        <w:t>hIAPP</w:t>
      </w:r>
      <w:proofErr w:type="spellEnd"/>
      <w:r>
        <w:t xml:space="preserve">, and TDP-43 derived from a random forest model trained on </w:t>
      </w:r>
      <w:r w:rsidR="0073091C">
        <w:t>β</w:t>
      </w:r>
      <w:proofErr w:type="spellStart"/>
      <w:r w:rsidR="0073091C">
        <w:t>la-A</w:t>
      </w:r>
      <w:proofErr w:type="spellEnd"/>
      <w:r w:rsidR="0073091C">
        <w:t xml:space="preserve">β42 </w:t>
      </w:r>
      <w:r>
        <w:t>deep mutational scanning data. The predictions represent inferred effects of amino acid substitutions on amyloid stability.</w:t>
      </w:r>
    </w:p>
    <w:p w14:paraId="40EEEE63" w14:textId="77777777" w:rsidR="00E15D09" w:rsidRDefault="00E15D09" w:rsidP="00026330">
      <w:pPr>
        <w:pStyle w:val="ListParagraph"/>
      </w:pPr>
    </w:p>
    <w:p w14:paraId="6D712DFF" w14:textId="77777777" w:rsidR="00E21C47" w:rsidRDefault="00E21C47" w:rsidP="0051796D"/>
    <w:p w14:paraId="7C750B81" w14:textId="22F5256E" w:rsidR="0051796D" w:rsidRPr="0051796D" w:rsidRDefault="0051796D" w:rsidP="0051796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Supplementary Figures</w:t>
      </w:r>
    </w:p>
    <w:p w14:paraId="65E27A2A" w14:textId="77777777" w:rsidR="00DA2A15" w:rsidRDefault="00DA2A15" w:rsidP="00DA2A15"/>
    <w:p w14:paraId="7518B3C7" w14:textId="24743779" w:rsidR="00DA2A15" w:rsidRPr="00AA328A" w:rsidRDefault="00DA2A15" w:rsidP="00DA2A15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r w:rsidR="00626169">
        <w:rPr>
          <w:b/>
          <w:bCs/>
        </w:rPr>
        <w:t>Supplementary_Figures</w:t>
      </w:r>
      <w:r w:rsidRPr="00AA328A">
        <w:rPr>
          <w:b/>
          <w:bCs/>
        </w:rPr>
        <w:t>/</w:t>
      </w:r>
      <w:r w:rsidR="00435D1B">
        <w:rPr>
          <w:b/>
          <w:bCs/>
        </w:rPr>
        <w:t>s</w:t>
      </w:r>
      <w:r w:rsidRPr="00AA328A">
        <w:rPr>
          <w:b/>
          <w:bCs/>
        </w:rPr>
        <w:t>Figure_1/Example_scoring</w:t>
      </w:r>
      <w:r>
        <w:rPr>
          <w:b/>
          <w:bCs/>
        </w:rPr>
        <w:t>_48_well_12</w:t>
      </w:r>
      <w:r w:rsidRPr="00AA328A">
        <w:rPr>
          <w:b/>
          <w:bCs/>
        </w:rPr>
        <w:t>.xlsx:</w:t>
      </w:r>
    </w:p>
    <w:p w14:paraId="2F781017" w14:textId="432977CE" w:rsidR="00DA2A15" w:rsidRDefault="00DA2A15" w:rsidP="00DA2A15">
      <w:pPr>
        <w:pStyle w:val="ListParagraph"/>
        <w:numPr>
          <w:ilvl w:val="1"/>
          <w:numId w:val="3"/>
        </w:numPr>
      </w:pPr>
      <w:r>
        <w:t>Contains highest observed survival for variants F19P, wild-type and D23F on [ampicillin] 0,5,10,15,20,40,60,80,100μg/mL ampicillin using first generation TPBLA. For repeats 1-3 (tab R1-R3).</w:t>
      </w:r>
    </w:p>
    <w:p w14:paraId="09489585" w14:textId="20C5CCD9" w:rsidR="00DD2B35" w:rsidRDefault="001F73A4" w:rsidP="00E30E57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3</w:t>
      </w:r>
      <w:r w:rsidRPr="00AA328A">
        <w:rPr>
          <w:b/>
          <w:bCs/>
        </w:rPr>
        <w:t>/</w:t>
      </w:r>
      <w:r w:rsidR="00E30E57">
        <w:rPr>
          <w:b/>
          <w:bCs/>
        </w:rPr>
        <w:t>F19P_example_data.xlsx</w:t>
      </w:r>
    </w:p>
    <w:p w14:paraId="2C2319CE" w14:textId="62B96342" w:rsidR="00E30E57" w:rsidRPr="00FF6C76" w:rsidRDefault="00E30E57" w:rsidP="00E30E57">
      <w:pPr>
        <w:pStyle w:val="ListParagraph"/>
        <w:numPr>
          <w:ilvl w:val="1"/>
          <w:numId w:val="3"/>
        </w:numPr>
        <w:rPr>
          <w:b/>
          <w:bCs/>
        </w:rPr>
      </w:pPr>
      <w:r>
        <w:t>Contains analysed data for variant F19P</w:t>
      </w:r>
      <w:r w:rsidR="00225EF3">
        <w:t xml:space="preserve"> </w:t>
      </w:r>
      <w:r w:rsidR="00BE1387">
        <w:t xml:space="preserve">from read counts to final variant fitness score </w:t>
      </w:r>
      <w:r w:rsidR="00225EF3">
        <w:t>to illustrate the scoring process to assign variant fitness score described in Methods.</w:t>
      </w:r>
    </w:p>
    <w:p w14:paraId="47964D59" w14:textId="0E4F2ED1" w:rsidR="00FF6C76" w:rsidRDefault="00FF6C76" w:rsidP="00FF6C76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 w:rsidR="005F36D7">
        <w:rPr>
          <w:b/>
          <w:bCs/>
        </w:rPr>
        <w:t>6</w:t>
      </w:r>
      <w:r w:rsidRPr="00AA328A">
        <w:rPr>
          <w:b/>
          <w:bCs/>
        </w:rPr>
        <w:t>/</w:t>
      </w:r>
      <w:r>
        <w:rPr>
          <w:b/>
          <w:bCs/>
        </w:rPr>
        <w:t>DHFR_ab42</w:t>
      </w:r>
      <w:r w:rsidR="00937C60">
        <w:rPr>
          <w:b/>
          <w:bCs/>
        </w:rPr>
        <w:t>.xlsx</w:t>
      </w:r>
    </w:p>
    <w:p w14:paraId="369BFA97" w14:textId="73597AFD" w:rsidR="00937C60" w:rsidRDefault="00937C60" w:rsidP="00937C60">
      <w:pPr>
        <w:pStyle w:val="ListParagraph"/>
        <w:numPr>
          <w:ilvl w:val="1"/>
          <w:numId w:val="3"/>
        </w:numPr>
      </w:pPr>
      <w:r>
        <w:t xml:space="preserve">Contains the variant fitness score for each substitution of Aβ42 analysed by  the DHFR-Aβ42 deep mutational scanning assay. Data was obtained from ref: </w:t>
      </w:r>
      <w:r w:rsidRPr="00F00A81">
        <w:rPr>
          <w:rFonts w:ascii="Calibri" w:hAnsi="Calibri" w:cs="Calibri"/>
          <w:sz w:val="20"/>
        </w:rPr>
        <w:t xml:space="preserve">Gray VE, </w:t>
      </w:r>
      <w:proofErr w:type="spellStart"/>
      <w:r w:rsidRPr="00F00A81">
        <w:rPr>
          <w:rFonts w:ascii="Calibri" w:hAnsi="Calibri" w:cs="Calibri"/>
          <w:sz w:val="20"/>
        </w:rPr>
        <w:t>Sitko</w:t>
      </w:r>
      <w:proofErr w:type="spellEnd"/>
      <w:r w:rsidRPr="00F00A81">
        <w:rPr>
          <w:rFonts w:ascii="Calibri" w:hAnsi="Calibri" w:cs="Calibri"/>
          <w:sz w:val="20"/>
        </w:rPr>
        <w:t xml:space="preserve"> K, </w:t>
      </w:r>
      <w:proofErr w:type="spellStart"/>
      <w:r w:rsidRPr="00F00A81">
        <w:rPr>
          <w:rFonts w:ascii="Calibri" w:hAnsi="Calibri" w:cs="Calibri"/>
          <w:sz w:val="20"/>
        </w:rPr>
        <w:t>Kameni</w:t>
      </w:r>
      <w:proofErr w:type="spellEnd"/>
      <w:r w:rsidRPr="00F00A81">
        <w:rPr>
          <w:rFonts w:ascii="Calibri" w:hAnsi="Calibri" w:cs="Calibri"/>
          <w:sz w:val="20"/>
        </w:rPr>
        <w:t xml:space="preserve"> FZN, Williamson M, Stephany JJ, </w:t>
      </w:r>
      <w:proofErr w:type="spellStart"/>
      <w:r w:rsidRPr="00F00A81">
        <w:rPr>
          <w:rFonts w:ascii="Calibri" w:hAnsi="Calibri" w:cs="Calibri"/>
          <w:sz w:val="20"/>
        </w:rPr>
        <w:t>Hasle</w:t>
      </w:r>
      <w:proofErr w:type="spellEnd"/>
      <w:r w:rsidRPr="00F00A81">
        <w:rPr>
          <w:rFonts w:ascii="Calibri" w:hAnsi="Calibri" w:cs="Calibri"/>
          <w:sz w:val="20"/>
        </w:rPr>
        <w:t xml:space="preserve"> N, et al. 2019. Elucidating the molecular determinants of Aβ aggregation with deep mutational scanning. </w:t>
      </w:r>
      <w:r w:rsidRPr="00F00A81">
        <w:rPr>
          <w:rFonts w:ascii="Calibri" w:hAnsi="Calibri" w:cs="Calibri"/>
          <w:i/>
          <w:iCs/>
          <w:sz w:val="20"/>
        </w:rPr>
        <w:t>G3 Genes Genomes Genet</w:t>
      </w:r>
      <w:r w:rsidRPr="00F00A81">
        <w:rPr>
          <w:rFonts w:ascii="Calibri" w:hAnsi="Calibri" w:cs="Calibri"/>
          <w:sz w:val="20"/>
        </w:rPr>
        <w:t xml:space="preserve">. </w:t>
      </w:r>
      <w:r w:rsidRPr="00F00A81">
        <w:rPr>
          <w:rFonts w:ascii="Calibri" w:hAnsi="Calibri" w:cs="Calibri"/>
          <w:b/>
          <w:bCs/>
          <w:sz w:val="20"/>
        </w:rPr>
        <w:t>9</w:t>
      </w:r>
      <w:r w:rsidRPr="00F00A81">
        <w:rPr>
          <w:rFonts w:ascii="Calibri" w:hAnsi="Calibri" w:cs="Calibri"/>
          <w:sz w:val="20"/>
        </w:rPr>
        <w:t>:3683–9.</w:t>
      </w:r>
    </w:p>
    <w:p w14:paraId="08363094" w14:textId="063B4D1F" w:rsidR="00937C60" w:rsidRDefault="00937C60" w:rsidP="00937C60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 w:rsidR="005F36D7">
        <w:rPr>
          <w:b/>
          <w:bCs/>
        </w:rPr>
        <w:t>6</w:t>
      </w:r>
      <w:r w:rsidRPr="00AA328A">
        <w:rPr>
          <w:b/>
          <w:bCs/>
        </w:rPr>
        <w:t>/</w:t>
      </w:r>
      <w:r>
        <w:rPr>
          <w:b/>
          <w:bCs/>
        </w:rPr>
        <w:t>sup35p_ab42.xlsx</w:t>
      </w:r>
    </w:p>
    <w:p w14:paraId="6C9CDE36" w14:textId="77777777" w:rsidR="00B5343A" w:rsidRPr="00F10B42" w:rsidRDefault="00937C60" w:rsidP="00B5343A">
      <w:pPr>
        <w:pStyle w:val="Bibliography"/>
        <w:numPr>
          <w:ilvl w:val="1"/>
          <w:numId w:val="10"/>
        </w:numPr>
        <w:rPr>
          <w:rFonts w:ascii="Calibri" w:hAnsi="Calibri" w:cs="Calibri"/>
          <w:sz w:val="20"/>
        </w:rPr>
      </w:pPr>
      <w:r>
        <w:lastRenderedPageBreak/>
        <w:t xml:space="preserve">Contains the variant fitness score for each substitution of Aβ42 analysed by  the sup35p-Aβ42 deep mutational scanning assay. Data was obtained from ref: </w:t>
      </w:r>
      <w:proofErr w:type="spellStart"/>
      <w:r w:rsidR="00B5343A" w:rsidRPr="00F00A81">
        <w:rPr>
          <w:rFonts w:ascii="Calibri" w:hAnsi="Calibri" w:cs="Calibri"/>
          <w:sz w:val="20"/>
        </w:rPr>
        <w:t>Seuma</w:t>
      </w:r>
      <w:proofErr w:type="spellEnd"/>
      <w:r w:rsidR="00B5343A" w:rsidRPr="00F00A81">
        <w:rPr>
          <w:rFonts w:ascii="Calibri" w:hAnsi="Calibri" w:cs="Calibri"/>
          <w:sz w:val="20"/>
        </w:rPr>
        <w:t xml:space="preserve"> M, Lehner B, Bolognesi B. 2022. An atlas of amyloid aggregation: the impact of substitutions, insertions, deletions and truncations on amyloid beta fibril nucleation. </w:t>
      </w:r>
      <w:r w:rsidR="00B5343A" w:rsidRPr="00F00A81">
        <w:rPr>
          <w:rFonts w:ascii="Calibri" w:hAnsi="Calibri" w:cs="Calibri"/>
          <w:i/>
          <w:iCs/>
          <w:sz w:val="20"/>
        </w:rPr>
        <w:t xml:space="preserve">Nat </w:t>
      </w:r>
      <w:proofErr w:type="spellStart"/>
      <w:r w:rsidR="00B5343A" w:rsidRPr="00F00A81">
        <w:rPr>
          <w:rFonts w:ascii="Calibri" w:hAnsi="Calibri" w:cs="Calibri"/>
          <w:i/>
          <w:iCs/>
          <w:sz w:val="20"/>
        </w:rPr>
        <w:t>Commun</w:t>
      </w:r>
      <w:proofErr w:type="spellEnd"/>
      <w:r w:rsidR="00B5343A" w:rsidRPr="00F00A81">
        <w:rPr>
          <w:rFonts w:ascii="Calibri" w:hAnsi="Calibri" w:cs="Calibri"/>
          <w:sz w:val="20"/>
        </w:rPr>
        <w:t xml:space="preserve">. </w:t>
      </w:r>
      <w:r w:rsidR="00B5343A" w:rsidRPr="00F00A81">
        <w:rPr>
          <w:rFonts w:ascii="Calibri" w:hAnsi="Calibri" w:cs="Calibri"/>
          <w:b/>
          <w:bCs/>
          <w:sz w:val="20"/>
        </w:rPr>
        <w:t>13</w:t>
      </w:r>
      <w:r w:rsidR="00B5343A" w:rsidRPr="00F00A81">
        <w:rPr>
          <w:rFonts w:ascii="Calibri" w:hAnsi="Calibri" w:cs="Calibri"/>
          <w:sz w:val="20"/>
        </w:rPr>
        <w:t>:7084.</w:t>
      </w:r>
    </w:p>
    <w:p w14:paraId="6276142A" w14:textId="1B8F8AB2" w:rsidR="00365FA6" w:rsidRDefault="00365FA6" w:rsidP="00365FA6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9</w:t>
      </w:r>
      <w:r w:rsidRPr="00AA328A">
        <w:rPr>
          <w:b/>
          <w:bCs/>
        </w:rPr>
        <w:t>/</w:t>
      </w:r>
      <w:r w:rsidR="000101D7" w:rsidRPr="000101D7">
        <w:t xml:space="preserve"> </w:t>
      </w:r>
      <w:r w:rsidR="000101D7" w:rsidRPr="000101D7">
        <w:rPr>
          <w:b/>
          <w:bCs/>
        </w:rPr>
        <w:t>endpoint_fluorescence_intensity_DOI</w:t>
      </w:r>
      <w:r>
        <w:rPr>
          <w:b/>
          <w:bCs/>
        </w:rPr>
        <w:t>.xlsx</w:t>
      </w:r>
    </w:p>
    <w:p w14:paraId="44B3A00F" w14:textId="3B9ED53B" w:rsidR="0099197E" w:rsidRPr="00F10B42" w:rsidRDefault="00CB740A" w:rsidP="0099197E">
      <w:pPr>
        <w:pStyle w:val="Bibliography"/>
        <w:numPr>
          <w:ilvl w:val="1"/>
          <w:numId w:val="3"/>
        </w:numPr>
        <w:rPr>
          <w:rFonts w:ascii="Calibri" w:hAnsi="Calibri" w:cs="Calibri"/>
          <w:sz w:val="20"/>
        </w:rPr>
      </w:pPr>
      <w:r>
        <w:t>E</w:t>
      </w:r>
      <w:r w:rsidRPr="00B11184">
        <w:rPr>
          <w:sz w:val="20"/>
          <w:szCs w:val="20"/>
        </w:rPr>
        <w:t xml:space="preserve">ndpoint </w:t>
      </w:r>
      <w:proofErr w:type="spellStart"/>
      <w:r w:rsidRPr="00B11184">
        <w:rPr>
          <w:sz w:val="20"/>
          <w:szCs w:val="20"/>
        </w:rPr>
        <w:t>ThioT</w:t>
      </w:r>
      <w:proofErr w:type="spellEnd"/>
      <w:r w:rsidRPr="00B11184">
        <w:rPr>
          <w:sz w:val="20"/>
          <w:szCs w:val="20"/>
        </w:rPr>
        <w:t xml:space="preserve"> fluorescence intensity over a range of initial </w:t>
      </w:r>
      <w:r w:rsidRPr="00B11184">
        <w:rPr>
          <w:bCs/>
          <w:sz w:val="20"/>
          <w:szCs w:val="20"/>
        </w:rPr>
        <w:t>A</w:t>
      </w:r>
      <w:r w:rsidRPr="00B11184">
        <w:rPr>
          <w:rFonts w:ascii="Symbol" w:hAnsi="Symbol" w:cstheme="minorHAnsi"/>
          <w:b/>
          <w:bCs/>
          <w:sz w:val="20"/>
          <w:szCs w:val="20"/>
          <w:shd w:val="clear" w:color="auto" w:fill="FFFFFF"/>
        </w:rPr>
        <w:t>b</w:t>
      </w:r>
      <w:r w:rsidRPr="00B11184">
        <w:rPr>
          <w:bCs/>
          <w:sz w:val="20"/>
          <w:szCs w:val="20"/>
          <w:vertAlign w:val="subscript"/>
        </w:rPr>
        <w:t xml:space="preserve">42 </w:t>
      </w:r>
      <w:r w:rsidRPr="00B11184">
        <w:rPr>
          <w:sz w:val="20"/>
          <w:szCs w:val="20"/>
        </w:rPr>
        <w:t xml:space="preserve">monomer concentrations for the variants </w:t>
      </w:r>
      <w:r w:rsidRPr="00B11184">
        <w:rPr>
          <w:b/>
          <w:bCs/>
          <w:sz w:val="20"/>
          <w:szCs w:val="20"/>
        </w:rPr>
        <w:t>(A)</w:t>
      </w:r>
      <w:r w:rsidRPr="00B11184">
        <w:rPr>
          <w:sz w:val="20"/>
          <w:szCs w:val="20"/>
        </w:rPr>
        <w:t xml:space="preserve"> </w:t>
      </w:r>
      <w:r w:rsidRPr="00B11184">
        <w:rPr>
          <w:sz w:val="20"/>
          <w:szCs w:val="20"/>
          <w:shd w:val="clear" w:color="auto" w:fill="FFFFFF"/>
        </w:rPr>
        <w:t>V24Y, (</w:t>
      </w:r>
      <w:r w:rsidRPr="00B11184">
        <w:rPr>
          <w:b/>
          <w:bCs/>
          <w:sz w:val="20"/>
          <w:szCs w:val="20"/>
          <w:shd w:val="clear" w:color="auto" w:fill="FFFFFF"/>
        </w:rPr>
        <w:t>B)</w:t>
      </w:r>
      <w:r w:rsidRPr="00B11184">
        <w:rPr>
          <w:sz w:val="20"/>
          <w:szCs w:val="20"/>
          <w:shd w:val="clear" w:color="auto" w:fill="FFFFFF"/>
        </w:rPr>
        <w:t xml:space="preserve"> V24F,</w:t>
      </w:r>
      <w:r w:rsidRPr="00B11184">
        <w:rPr>
          <w:b/>
          <w:bCs/>
          <w:sz w:val="20"/>
          <w:szCs w:val="20"/>
          <w:shd w:val="clear" w:color="auto" w:fill="FFFFFF"/>
        </w:rPr>
        <w:t xml:space="preserve"> (C)</w:t>
      </w:r>
      <w:r w:rsidRPr="00B11184">
        <w:rPr>
          <w:sz w:val="20"/>
          <w:szCs w:val="20"/>
          <w:shd w:val="clear" w:color="auto" w:fill="FFFFFF"/>
        </w:rPr>
        <w:t xml:space="preserve"> F19I, </w:t>
      </w:r>
      <w:r w:rsidRPr="00B11184">
        <w:rPr>
          <w:b/>
          <w:bCs/>
          <w:sz w:val="20"/>
          <w:szCs w:val="20"/>
          <w:shd w:val="clear" w:color="auto" w:fill="FFFFFF"/>
        </w:rPr>
        <w:t>(D)</w:t>
      </w:r>
      <w:r w:rsidRPr="00B11184">
        <w:rPr>
          <w:sz w:val="20"/>
          <w:szCs w:val="20"/>
          <w:shd w:val="clear" w:color="auto" w:fill="FFFFFF"/>
        </w:rPr>
        <w:t xml:space="preserve"> wild-type</w:t>
      </w:r>
      <w:r w:rsidRPr="00B11184">
        <w:rPr>
          <w:b/>
          <w:bCs/>
          <w:sz w:val="20"/>
          <w:szCs w:val="20"/>
          <w:shd w:val="clear" w:color="auto" w:fill="FFFFFF"/>
        </w:rPr>
        <w:t>, (E)</w:t>
      </w:r>
      <w:r w:rsidRPr="00B11184">
        <w:rPr>
          <w:sz w:val="20"/>
          <w:szCs w:val="20"/>
          <w:shd w:val="clear" w:color="auto" w:fill="FFFFFF"/>
        </w:rPr>
        <w:t xml:space="preserve"> F19S, </w:t>
      </w:r>
      <w:r w:rsidRPr="00B11184">
        <w:rPr>
          <w:b/>
          <w:bCs/>
          <w:sz w:val="20"/>
          <w:szCs w:val="20"/>
          <w:shd w:val="clear" w:color="auto" w:fill="FFFFFF"/>
        </w:rPr>
        <w:t>(F)</w:t>
      </w:r>
      <w:r w:rsidRPr="00B11184">
        <w:rPr>
          <w:sz w:val="20"/>
          <w:szCs w:val="20"/>
          <w:shd w:val="clear" w:color="auto" w:fill="FFFFFF"/>
        </w:rPr>
        <w:t xml:space="preserve"> L17D and </w:t>
      </w:r>
      <w:r w:rsidRPr="00B11184">
        <w:rPr>
          <w:b/>
          <w:bCs/>
          <w:sz w:val="20"/>
          <w:szCs w:val="20"/>
          <w:shd w:val="clear" w:color="auto" w:fill="FFFFFF"/>
        </w:rPr>
        <w:t>(G)</w:t>
      </w:r>
      <w:r w:rsidRPr="00B11184">
        <w:rPr>
          <w:sz w:val="20"/>
          <w:szCs w:val="20"/>
          <w:shd w:val="clear" w:color="auto" w:fill="FFFFFF"/>
        </w:rPr>
        <w:t xml:space="preserve"> F19P</w:t>
      </w:r>
      <w:r w:rsidRPr="00B11184">
        <w:rPr>
          <w:sz w:val="20"/>
          <w:szCs w:val="20"/>
        </w:rPr>
        <w:t xml:space="preserve">. </w:t>
      </w:r>
      <w:r w:rsidR="0099197E">
        <w:t>int thioflavin-T fluorescence intensity</w:t>
      </w:r>
      <w:r>
        <w:t xml:space="preserve">. </w:t>
      </w:r>
      <w:r w:rsidR="00A62713">
        <w:t>Numbers 1/2 indicate biological replicates. Letters indicate technical replicates.</w:t>
      </w:r>
    </w:p>
    <w:p w14:paraId="22816170" w14:textId="75E4979C" w:rsidR="00C21D6B" w:rsidRDefault="00C21D6B" w:rsidP="00C21D6B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9</w:t>
      </w:r>
      <w:r w:rsidRPr="00AA328A">
        <w:rPr>
          <w:b/>
          <w:bCs/>
        </w:rPr>
        <w:t>/</w:t>
      </w:r>
      <w:r w:rsidRPr="00C21D6B">
        <w:rPr>
          <w:b/>
          <w:bCs/>
        </w:rPr>
        <w:t>Ccrit_DOI</w:t>
      </w:r>
      <w:r>
        <w:rPr>
          <w:b/>
          <w:bCs/>
        </w:rPr>
        <w:t>.xlsx</w:t>
      </w:r>
    </w:p>
    <w:p w14:paraId="0303AB4E" w14:textId="0E7523A5" w:rsidR="0078573D" w:rsidRDefault="0078573D" w:rsidP="0078573D">
      <w:pPr>
        <w:pStyle w:val="Bibliography"/>
        <w:numPr>
          <w:ilvl w:val="1"/>
          <w:numId w:val="3"/>
        </w:numPr>
        <w:rPr>
          <w:sz w:val="20"/>
          <w:szCs w:val="20"/>
          <w:shd w:val="clear" w:color="auto" w:fill="FFFFFF"/>
        </w:rPr>
      </w:pPr>
      <w:r>
        <w:t>Extrapolated C-crit values for variants (</w:t>
      </w:r>
      <w:r w:rsidRPr="00B11184">
        <w:rPr>
          <w:b/>
          <w:bCs/>
          <w:sz w:val="20"/>
          <w:szCs w:val="20"/>
        </w:rPr>
        <w:t>A)</w:t>
      </w:r>
      <w:r w:rsidRPr="00B11184">
        <w:rPr>
          <w:sz w:val="20"/>
          <w:szCs w:val="20"/>
        </w:rPr>
        <w:t xml:space="preserve"> </w:t>
      </w:r>
      <w:r w:rsidRPr="00B11184">
        <w:rPr>
          <w:sz w:val="20"/>
          <w:szCs w:val="20"/>
          <w:shd w:val="clear" w:color="auto" w:fill="FFFFFF"/>
        </w:rPr>
        <w:t>V24Y, (</w:t>
      </w:r>
      <w:r w:rsidRPr="00B11184">
        <w:rPr>
          <w:b/>
          <w:bCs/>
          <w:sz w:val="20"/>
          <w:szCs w:val="20"/>
          <w:shd w:val="clear" w:color="auto" w:fill="FFFFFF"/>
        </w:rPr>
        <w:t>B)</w:t>
      </w:r>
      <w:r w:rsidRPr="00B11184">
        <w:rPr>
          <w:sz w:val="20"/>
          <w:szCs w:val="20"/>
          <w:shd w:val="clear" w:color="auto" w:fill="FFFFFF"/>
        </w:rPr>
        <w:t xml:space="preserve"> V24F,</w:t>
      </w:r>
      <w:r w:rsidRPr="00B11184">
        <w:rPr>
          <w:b/>
          <w:bCs/>
          <w:sz w:val="20"/>
          <w:szCs w:val="20"/>
          <w:shd w:val="clear" w:color="auto" w:fill="FFFFFF"/>
        </w:rPr>
        <w:t xml:space="preserve"> (C)</w:t>
      </w:r>
      <w:r w:rsidRPr="00B11184">
        <w:rPr>
          <w:sz w:val="20"/>
          <w:szCs w:val="20"/>
          <w:shd w:val="clear" w:color="auto" w:fill="FFFFFF"/>
        </w:rPr>
        <w:t xml:space="preserve"> F19I, </w:t>
      </w:r>
      <w:r w:rsidRPr="00B11184">
        <w:rPr>
          <w:b/>
          <w:bCs/>
          <w:sz w:val="20"/>
          <w:szCs w:val="20"/>
          <w:shd w:val="clear" w:color="auto" w:fill="FFFFFF"/>
        </w:rPr>
        <w:t>(D)</w:t>
      </w:r>
      <w:r w:rsidRPr="00B11184">
        <w:rPr>
          <w:sz w:val="20"/>
          <w:szCs w:val="20"/>
          <w:shd w:val="clear" w:color="auto" w:fill="FFFFFF"/>
        </w:rPr>
        <w:t xml:space="preserve"> wild-type</w:t>
      </w:r>
      <w:r w:rsidRPr="00B11184">
        <w:rPr>
          <w:b/>
          <w:bCs/>
          <w:sz w:val="20"/>
          <w:szCs w:val="20"/>
          <w:shd w:val="clear" w:color="auto" w:fill="FFFFFF"/>
        </w:rPr>
        <w:t>, (E)</w:t>
      </w:r>
      <w:r w:rsidRPr="00B11184">
        <w:rPr>
          <w:sz w:val="20"/>
          <w:szCs w:val="20"/>
          <w:shd w:val="clear" w:color="auto" w:fill="FFFFFF"/>
        </w:rPr>
        <w:t xml:space="preserve"> F19S, </w:t>
      </w:r>
      <w:r w:rsidRPr="00B11184">
        <w:rPr>
          <w:b/>
          <w:bCs/>
          <w:sz w:val="20"/>
          <w:szCs w:val="20"/>
          <w:shd w:val="clear" w:color="auto" w:fill="FFFFFF"/>
        </w:rPr>
        <w:t>(F)</w:t>
      </w:r>
      <w:r w:rsidRPr="00B11184">
        <w:rPr>
          <w:sz w:val="20"/>
          <w:szCs w:val="20"/>
          <w:shd w:val="clear" w:color="auto" w:fill="FFFFFF"/>
        </w:rPr>
        <w:t xml:space="preserve"> L17D and </w:t>
      </w:r>
      <w:r w:rsidRPr="00B11184">
        <w:rPr>
          <w:b/>
          <w:bCs/>
          <w:sz w:val="20"/>
          <w:szCs w:val="20"/>
          <w:shd w:val="clear" w:color="auto" w:fill="FFFFFF"/>
        </w:rPr>
        <w:t>(G)</w:t>
      </w:r>
      <w:r w:rsidRPr="00B11184">
        <w:rPr>
          <w:sz w:val="20"/>
          <w:szCs w:val="20"/>
          <w:shd w:val="clear" w:color="auto" w:fill="FFFFFF"/>
        </w:rPr>
        <w:t xml:space="preserve"> F19P</w:t>
      </w:r>
      <w:r>
        <w:rPr>
          <w:sz w:val="20"/>
          <w:szCs w:val="20"/>
          <w:shd w:val="clear" w:color="auto" w:fill="FFFFFF"/>
        </w:rPr>
        <w:t xml:space="preserve"> (Weighted Average). </w:t>
      </w:r>
    </w:p>
    <w:p w14:paraId="04BC153D" w14:textId="2FBAE0ED" w:rsidR="0076457C" w:rsidRDefault="0076457C" w:rsidP="0076457C">
      <w:pPr>
        <w:pStyle w:val="ListParagraph"/>
        <w:numPr>
          <w:ilvl w:val="0"/>
          <w:numId w:val="3"/>
        </w:numPr>
        <w:rPr>
          <w:b/>
          <w:bCs/>
        </w:r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9</w:t>
      </w:r>
      <w:r w:rsidRPr="00AA328A">
        <w:rPr>
          <w:b/>
          <w:bCs/>
        </w:rPr>
        <w:t>/</w:t>
      </w:r>
      <w:r>
        <w:rPr>
          <w:b/>
          <w:bCs/>
        </w:rPr>
        <w:t>Kinetics_at_8uM</w:t>
      </w:r>
      <w:r w:rsidR="00855D56">
        <w:rPr>
          <w:b/>
          <w:bCs/>
        </w:rPr>
        <w:t>/</w:t>
      </w:r>
      <w:r w:rsidR="00D40037">
        <w:rPr>
          <w:b/>
          <w:bCs/>
        </w:rPr>
        <w:t>[var]</w:t>
      </w:r>
      <w:r w:rsidR="00855D56">
        <w:rPr>
          <w:b/>
          <w:bCs/>
        </w:rPr>
        <w:t>.xlsx</w:t>
      </w:r>
    </w:p>
    <w:p w14:paraId="26B74F35" w14:textId="31ACF9BA" w:rsidR="0076457C" w:rsidRPr="00142967" w:rsidRDefault="00540030" w:rsidP="00CF37D3">
      <w:pPr>
        <w:pStyle w:val="ListParagraph"/>
        <w:numPr>
          <w:ilvl w:val="1"/>
          <w:numId w:val="3"/>
        </w:numPr>
      </w:pPr>
      <w:r w:rsidRPr="00540030">
        <w:rPr>
          <w:rFonts w:cstheme="minorHAnsi"/>
          <w:sz w:val="20"/>
          <w:szCs w:val="20"/>
        </w:rPr>
        <w:t>Amyloid formation kinetics for a panel of A</w:t>
      </w:r>
      <w:r w:rsidRPr="00540030">
        <w:rPr>
          <w:rFonts w:ascii="Symbol" w:hAnsi="Symbol" w:cstheme="minorHAnsi"/>
          <w:sz w:val="20"/>
          <w:szCs w:val="20"/>
          <w:shd w:val="clear" w:color="auto" w:fill="FFFFFF"/>
        </w:rPr>
        <w:t>b</w:t>
      </w:r>
      <w:r w:rsidRPr="00540030">
        <w:rPr>
          <w:rFonts w:cstheme="minorHAnsi"/>
          <w:sz w:val="20"/>
          <w:szCs w:val="20"/>
          <w:vertAlign w:val="subscript"/>
        </w:rPr>
        <w:t>42</w:t>
      </w:r>
      <w:r w:rsidRPr="00540030">
        <w:rPr>
          <w:rFonts w:cstheme="minorHAnsi"/>
          <w:sz w:val="20"/>
          <w:szCs w:val="20"/>
        </w:rPr>
        <w:t xml:space="preserve"> variant</w:t>
      </w:r>
      <w:r>
        <w:rPr>
          <w:rFonts w:cstheme="minorHAnsi"/>
          <w:sz w:val="20"/>
          <w:szCs w:val="20"/>
        </w:rPr>
        <w:t>s</w:t>
      </w:r>
      <w:r w:rsidRPr="00540030">
        <w:rPr>
          <w:rFonts w:cstheme="minorHAnsi"/>
          <w:b/>
          <w:bCs/>
          <w:sz w:val="20"/>
          <w:szCs w:val="20"/>
        </w:rPr>
        <w:t xml:space="preserve">. </w:t>
      </w:r>
      <w:r w:rsidRPr="00540030">
        <w:rPr>
          <w:rFonts w:cstheme="minorHAnsi"/>
          <w:sz w:val="20"/>
          <w:szCs w:val="20"/>
        </w:rPr>
        <w:t xml:space="preserve">Amyloid formation kinetics were determined for the variants </w:t>
      </w:r>
      <w:r w:rsidRPr="00540030">
        <w:rPr>
          <w:rFonts w:cstheme="minorHAnsi"/>
          <w:b/>
          <w:bCs/>
          <w:sz w:val="20"/>
          <w:szCs w:val="20"/>
        </w:rPr>
        <w:t>(A)</w:t>
      </w:r>
      <w:r w:rsidRPr="00540030">
        <w:rPr>
          <w:rFonts w:cstheme="minorHAnsi"/>
          <w:sz w:val="20"/>
          <w:szCs w:val="20"/>
        </w:rPr>
        <w:t xml:space="preserve"> </w:t>
      </w:r>
      <w:r w:rsidRPr="00540030">
        <w:rPr>
          <w:rFonts w:cstheme="minorHAnsi"/>
          <w:sz w:val="20"/>
          <w:szCs w:val="20"/>
          <w:shd w:val="clear" w:color="auto" w:fill="FFFFFF"/>
        </w:rPr>
        <w:t>V24Y, (</w:t>
      </w:r>
      <w:r w:rsidRPr="00540030">
        <w:rPr>
          <w:rFonts w:cstheme="minorHAnsi"/>
          <w:b/>
          <w:bCs/>
          <w:sz w:val="20"/>
          <w:szCs w:val="20"/>
          <w:shd w:val="clear" w:color="auto" w:fill="FFFFFF"/>
        </w:rPr>
        <w:t>B)</w:t>
      </w:r>
      <w:r w:rsidRPr="00540030">
        <w:rPr>
          <w:rFonts w:cstheme="minorHAnsi"/>
          <w:sz w:val="20"/>
          <w:szCs w:val="20"/>
          <w:shd w:val="clear" w:color="auto" w:fill="FFFFFF"/>
        </w:rPr>
        <w:t xml:space="preserve"> V24F,</w:t>
      </w:r>
      <w:r w:rsidRPr="00540030">
        <w:rPr>
          <w:rFonts w:cstheme="minorHAnsi"/>
          <w:b/>
          <w:bCs/>
          <w:sz w:val="20"/>
          <w:szCs w:val="20"/>
          <w:shd w:val="clear" w:color="auto" w:fill="FFFFFF"/>
        </w:rPr>
        <w:t xml:space="preserve"> (C)</w:t>
      </w:r>
      <w:r w:rsidRPr="00540030">
        <w:rPr>
          <w:rFonts w:cstheme="minorHAnsi"/>
          <w:sz w:val="20"/>
          <w:szCs w:val="20"/>
          <w:shd w:val="clear" w:color="auto" w:fill="FFFFFF"/>
        </w:rPr>
        <w:t xml:space="preserve"> F19I, </w:t>
      </w:r>
      <w:r w:rsidRPr="00540030">
        <w:rPr>
          <w:rFonts w:cstheme="minorHAnsi"/>
          <w:b/>
          <w:bCs/>
          <w:sz w:val="20"/>
          <w:szCs w:val="20"/>
          <w:shd w:val="clear" w:color="auto" w:fill="FFFFFF"/>
        </w:rPr>
        <w:t>(D)</w:t>
      </w:r>
      <w:r w:rsidRPr="00540030">
        <w:rPr>
          <w:rFonts w:cstheme="minorHAnsi"/>
          <w:sz w:val="20"/>
          <w:szCs w:val="20"/>
          <w:shd w:val="clear" w:color="auto" w:fill="FFFFFF"/>
        </w:rPr>
        <w:t xml:space="preserve"> wild-type</w:t>
      </w:r>
      <w:r w:rsidRPr="00540030">
        <w:rPr>
          <w:rFonts w:cstheme="minorHAnsi"/>
          <w:b/>
          <w:bCs/>
          <w:sz w:val="20"/>
          <w:szCs w:val="20"/>
          <w:shd w:val="clear" w:color="auto" w:fill="FFFFFF"/>
        </w:rPr>
        <w:t>, (E)</w:t>
      </w:r>
      <w:r w:rsidRPr="00540030">
        <w:rPr>
          <w:rFonts w:cstheme="minorHAnsi"/>
          <w:sz w:val="20"/>
          <w:szCs w:val="20"/>
          <w:shd w:val="clear" w:color="auto" w:fill="FFFFFF"/>
        </w:rPr>
        <w:t xml:space="preserve"> F19S, </w:t>
      </w:r>
      <w:r w:rsidRPr="00540030">
        <w:rPr>
          <w:rFonts w:cstheme="minorHAnsi"/>
          <w:b/>
          <w:bCs/>
          <w:sz w:val="20"/>
          <w:szCs w:val="20"/>
          <w:shd w:val="clear" w:color="auto" w:fill="FFFFFF"/>
        </w:rPr>
        <w:t>(F)</w:t>
      </w:r>
      <w:r w:rsidRPr="00540030">
        <w:rPr>
          <w:rFonts w:cstheme="minorHAnsi"/>
          <w:sz w:val="20"/>
          <w:szCs w:val="20"/>
          <w:shd w:val="clear" w:color="auto" w:fill="FFFFFF"/>
        </w:rPr>
        <w:t xml:space="preserve"> L17D and </w:t>
      </w:r>
      <w:r w:rsidRPr="00540030">
        <w:rPr>
          <w:rFonts w:cstheme="minorHAnsi"/>
          <w:b/>
          <w:bCs/>
          <w:sz w:val="20"/>
          <w:szCs w:val="20"/>
          <w:shd w:val="clear" w:color="auto" w:fill="FFFFFF"/>
        </w:rPr>
        <w:t>(G)</w:t>
      </w:r>
      <w:r w:rsidRPr="00540030">
        <w:rPr>
          <w:rFonts w:cstheme="minorHAnsi"/>
          <w:sz w:val="20"/>
          <w:szCs w:val="20"/>
          <w:shd w:val="clear" w:color="auto" w:fill="FFFFFF"/>
        </w:rPr>
        <w:t xml:space="preserve"> F19P </w:t>
      </w:r>
      <w:r w:rsidRPr="00540030">
        <w:rPr>
          <w:rFonts w:cstheme="minorHAnsi"/>
          <w:sz w:val="20"/>
          <w:szCs w:val="20"/>
        </w:rPr>
        <w:t xml:space="preserve">monitored by </w:t>
      </w:r>
      <w:proofErr w:type="spellStart"/>
      <w:r w:rsidRPr="00540030">
        <w:rPr>
          <w:rFonts w:cstheme="minorHAnsi"/>
          <w:sz w:val="20"/>
          <w:szCs w:val="20"/>
        </w:rPr>
        <w:t>ThioT</w:t>
      </w:r>
      <w:proofErr w:type="spellEnd"/>
      <w:r w:rsidRPr="00540030">
        <w:rPr>
          <w:rFonts w:cstheme="minorHAnsi"/>
          <w:sz w:val="20"/>
          <w:szCs w:val="20"/>
        </w:rPr>
        <w:t xml:space="preserve"> fluorescence using an initial monomer concentration of 8 µM. </w:t>
      </w:r>
    </w:p>
    <w:p w14:paraId="1690F5AE" w14:textId="13CAF0ED" w:rsidR="00142967" w:rsidRPr="004959BB" w:rsidRDefault="00142967" w:rsidP="00142967">
      <w:pPr>
        <w:pStyle w:val="ListParagraph"/>
        <w:numPr>
          <w:ilvl w:val="0"/>
          <w:numId w:val="3"/>
        </w:num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11_12</w:t>
      </w:r>
      <w:r w:rsidRPr="00AA328A">
        <w:rPr>
          <w:b/>
          <w:bCs/>
        </w:rPr>
        <w:t>/</w:t>
      </w:r>
      <w:r>
        <w:rPr>
          <w:b/>
          <w:bCs/>
        </w:rPr>
        <w:t xml:space="preserve"> </w:t>
      </w:r>
      <w:r w:rsidR="00D33E97">
        <w:rPr>
          <w:b/>
          <w:bCs/>
        </w:rPr>
        <w:t>R</w:t>
      </w:r>
      <w:r>
        <w:rPr>
          <w:b/>
          <w:bCs/>
        </w:rPr>
        <w:t>ates_vs_fitness</w:t>
      </w:r>
      <w:r w:rsidR="00D33E97">
        <w:rPr>
          <w:b/>
          <w:bCs/>
        </w:rPr>
        <w:t>_doi</w:t>
      </w:r>
      <w:r>
        <w:rPr>
          <w:b/>
          <w:bCs/>
        </w:rPr>
        <w:t>.xlsx</w:t>
      </w:r>
    </w:p>
    <w:p w14:paraId="7819FC0D" w14:textId="77777777" w:rsidR="006817D2" w:rsidRPr="000A7DBD" w:rsidRDefault="004959BB" w:rsidP="006817D2">
      <w:pPr>
        <w:pStyle w:val="ListParagraph"/>
        <w:numPr>
          <w:ilvl w:val="1"/>
          <w:numId w:val="3"/>
        </w:numPr>
      </w:pPr>
      <w:r>
        <w:t xml:space="preserve">Contains extracted κ/λ values for a panel of </w:t>
      </w:r>
      <w:r w:rsidRPr="00540030">
        <w:rPr>
          <w:rFonts w:cstheme="minorHAnsi"/>
          <w:sz w:val="20"/>
          <w:szCs w:val="20"/>
        </w:rPr>
        <w:t>A</w:t>
      </w:r>
      <w:r w:rsidRPr="00540030">
        <w:rPr>
          <w:rFonts w:ascii="Symbol" w:hAnsi="Symbol" w:cstheme="minorHAnsi"/>
          <w:sz w:val="20"/>
          <w:szCs w:val="20"/>
          <w:shd w:val="clear" w:color="auto" w:fill="FFFFFF"/>
        </w:rPr>
        <w:t>b</w:t>
      </w:r>
      <w:r w:rsidRPr="00540030">
        <w:rPr>
          <w:rFonts w:cstheme="minorHAnsi"/>
          <w:sz w:val="20"/>
          <w:szCs w:val="20"/>
          <w:vertAlign w:val="subscript"/>
        </w:rPr>
        <w:t>42</w:t>
      </w:r>
      <w:r w:rsidRPr="00540030">
        <w:rPr>
          <w:rFonts w:cstheme="minorHAnsi"/>
          <w:sz w:val="20"/>
          <w:szCs w:val="20"/>
        </w:rPr>
        <w:t xml:space="preserve"> variant</w:t>
      </w:r>
      <w:r>
        <w:rPr>
          <w:rFonts w:cstheme="minorHAnsi"/>
          <w:sz w:val="20"/>
          <w:szCs w:val="20"/>
        </w:rPr>
        <w:t>s</w:t>
      </w:r>
      <w:r w:rsidR="006817D2">
        <w:rPr>
          <w:rFonts w:cstheme="minorHAnsi"/>
          <w:sz w:val="20"/>
          <w:szCs w:val="20"/>
        </w:rPr>
        <w:t xml:space="preserve"> extracted from a</w:t>
      </w:r>
      <w:r w:rsidR="002B596E" w:rsidRPr="00540030">
        <w:rPr>
          <w:rFonts w:cstheme="minorHAnsi"/>
          <w:sz w:val="20"/>
          <w:szCs w:val="20"/>
        </w:rPr>
        <w:t xml:space="preserve">myloid formation kinetics determined for the variants </w:t>
      </w:r>
      <w:r w:rsidR="002B596E" w:rsidRPr="00540030">
        <w:rPr>
          <w:rFonts w:cstheme="minorHAnsi"/>
          <w:b/>
          <w:bCs/>
          <w:sz w:val="20"/>
          <w:szCs w:val="20"/>
        </w:rPr>
        <w:t>(A)</w:t>
      </w:r>
      <w:r w:rsidR="002B596E" w:rsidRPr="00540030">
        <w:rPr>
          <w:rFonts w:cstheme="minorHAnsi"/>
          <w:sz w:val="20"/>
          <w:szCs w:val="20"/>
        </w:rPr>
        <w:t xml:space="preserve"> </w:t>
      </w:r>
      <w:r w:rsidR="002B596E" w:rsidRPr="00540030">
        <w:rPr>
          <w:rFonts w:cstheme="minorHAnsi"/>
          <w:sz w:val="20"/>
          <w:szCs w:val="20"/>
          <w:shd w:val="clear" w:color="auto" w:fill="FFFFFF"/>
        </w:rPr>
        <w:t>V24Y, (</w:t>
      </w:r>
      <w:r w:rsidR="002B596E" w:rsidRPr="00540030">
        <w:rPr>
          <w:rFonts w:cstheme="minorHAnsi"/>
          <w:b/>
          <w:bCs/>
          <w:sz w:val="20"/>
          <w:szCs w:val="20"/>
          <w:shd w:val="clear" w:color="auto" w:fill="FFFFFF"/>
        </w:rPr>
        <w:t>B)</w:t>
      </w:r>
      <w:r w:rsidR="002B596E" w:rsidRPr="00540030">
        <w:rPr>
          <w:rFonts w:cstheme="minorHAnsi"/>
          <w:sz w:val="20"/>
          <w:szCs w:val="20"/>
          <w:shd w:val="clear" w:color="auto" w:fill="FFFFFF"/>
        </w:rPr>
        <w:t xml:space="preserve"> V24F,</w:t>
      </w:r>
      <w:r w:rsidR="002B596E" w:rsidRPr="00540030">
        <w:rPr>
          <w:rFonts w:cstheme="minorHAnsi"/>
          <w:b/>
          <w:bCs/>
          <w:sz w:val="20"/>
          <w:szCs w:val="20"/>
          <w:shd w:val="clear" w:color="auto" w:fill="FFFFFF"/>
        </w:rPr>
        <w:t xml:space="preserve"> (C)</w:t>
      </w:r>
      <w:r w:rsidR="002B596E" w:rsidRPr="00540030">
        <w:rPr>
          <w:rFonts w:cstheme="minorHAnsi"/>
          <w:sz w:val="20"/>
          <w:szCs w:val="20"/>
          <w:shd w:val="clear" w:color="auto" w:fill="FFFFFF"/>
        </w:rPr>
        <w:t xml:space="preserve"> F19I, </w:t>
      </w:r>
      <w:r w:rsidR="002B596E" w:rsidRPr="00540030">
        <w:rPr>
          <w:rFonts w:cstheme="minorHAnsi"/>
          <w:b/>
          <w:bCs/>
          <w:sz w:val="20"/>
          <w:szCs w:val="20"/>
          <w:shd w:val="clear" w:color="auto" w:fill="FFFFFF"/>
        </w:rPr>
        <w:t>(D)</w:t>
      </w:r>
      <w:r w:rsidR="002B596E" w:rsidRPr="00540030">
        <w:rPr>
          <w:rFonts w:cstheme="minorHAnsi"/>
          <w:sz w:val="20"/>
          <w:szCs w:val="20"/>
          <w:shd w:val="clear" w:color="auto" w:fill="FFFFFF"/>
        </w:rPr>
        <w:t xml:space="preserve"> wild-type</w:t>
      </w:r>
      <w:r w:rsidR="002B596E" w:rsidRPr="00540030">
        <w:rPr>
          <w:rFonts w:cstheme="minorHAnsi"/>
          <w:b/>
          <w:bCs/>
          <w:sz w:val="20"/>
          <w:szCs w:val="20"/>
          <w:shd w:val="clear" w:color="auto" w:fill="FFFFFF"/>
        </w:rPr>
        <w:t>, (E)</w:t>
      </w:r>
      <w:r w:rsidR="002B596E" w:rsidRPr="00540030">
        <w:rPr>
          <w:rFonts w:cstheme="minorHAnsi"/>
          <w:sz w:val="20"/>
          <w:szCs w:val="20"/>
          <w:shd w:val="clear" w:color="auto" w:fill="FFFFFF"/>
        </w:rPr>
        <w:t xml:space="preserve"> F19S, </w:t>
      </w:r>
      <w:r w:rsidR="002B596E" w:rsidRPr="00540030">
        <w:rPr>
          <w:rFonts w:cstheme="minorHAnsi"/>
          <w:b/>
          <w:bCs/>
          <w:sz w:val="20"/>
          <w:szCs w:val="20"/>
          <w:shd w:val="clear" w:color="auto" w:fill="FFFFFF"/>
        </w:rPr>
        <w:t>(F)</w:t>
      </w:r>
      <w:r w:rsidR="002B596E" w:rsidRPr="00540030">
        <w:rPr>
          <w:rFonts w:cstheme="minorHAnsi"/>
          <w:sz w:val="20"/>
          <w:szCs w:val="20"/>
          <w:shd w:val="clear" w:color="auto" w:fill="FFFFFF"/>
        </w:rPr>
        <w:t xml:space="preserve"> L17D and </w:t>
      </w:r>
      <w:r w:rsidR="002B596E" w:rsidRPr="00540030">
        <w:rPr>
          <w:rFonts w:cstheme="minorHAnsi"/>
          <w:b/>
          <w:bCs/>
          <w:sz w:val="20"/>
          <w:szCs w:val="20"/>
          <w:shd w:val="clear" w:color="auto" w:fill="FFFFFF"/>
        </w:rPr>
        <w:t>(G)</w:t>
      </w:r>
      <w:r w:rsidR="002B596E" w:rsidRPr="00540030">
        <w:rPr>
          <w:rFonts w:cstheme="minorHAnsi"/>
          <w:sz w:val="20"/>
          <w:szCs w:val="20"/>
          <w:shd w:val="clear" w:color="auto" w:fill="FFFFFF"/>
        </w:rPr>
        <w:t xml:space="preserve"> F19P</w:t>
      </w:r>
      <w:r w:rsidR="006817D2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6817D2" w:rsidRPr="00540030">
        <w:rPr>
          <w:rFonts w:cstheme="minorHAnsi"/>
          <w:sz w:val="20"/>
          <w:szCs w:val="20"/>
        </w:rPr>
        <w:t xml:space="preserve">using an initial monomer concentration of 8 µM. </w:t>
      </w:r>
    </w:p>
    <w:p w14:paraId="0BFE729A" w14:textId="567339DB" w:rsidR="000A7DBD" w:rsidRPr="005A2FFA" w:rsidRDefault="000A7DBD" w:rsidP="000A7DBD">
      <w:pPr>
        <w:pStyle w:val="ListParagraph"/>
        <w:numPr>
          <w:ilvl w:val="0"/>
          <w:numId w:val="3"/>
        </w:numPr>
      </w:pPr>
      <w:r w:rsidRPr="00AA328A">
        <w:rPr>
          <w:b/>
          <w:bCs/>
        </w:rPr>
        <w:t>/</w:t>
      </w:r>
      <w:r>
        <w:rPr>
          <w:b/>
          <w:bCs/>
        </w:rPr>
        <w:t>Supplementary_Figures</w:t>
      </w:r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13</w:t>
      </w:r>
      <w:r w:rsidR="005A2FFA">
        <w:rPr>
          <w:b/>
          <w:bCs/>
        </w:rPr>
        <w:t>/</w:t>
      </w:r>
      <w:r w:rsidR="005A2FFA" w:rsidRPr="005A2FFA">
        <w:rPr>
          <w:b/>
          <w:bCs/>
        </w:rPr>
        <w:t>ab42_site_saturation_library_embeddings</w:t>
      </w:r>
      <w:r w:rsidR="005A2FFA">
        <w:rPr>
          <w:b/>
          <w:bCs/>
        </w:rPr>
        <w:t>.csv</w:t>
      </w:r>
    </w:p>
    <w:p w14:paraId="0760147B" w14:textId="66071FC3" w:rsidR="000A7DBD" w:rsidRDefault="004D2BC3" w:rsidP="004D2BC3">
      <w:pPr>
        <w:pStyle w:val="ListParagraph"/>
        <w:numPr>
          <w:ilvl w:val="1"/>
          <w:numId w:val="3"/>
        </w:numPr>
      </w:pPr>
      <w:r>
        <w:t>Contains</w:t>
      </w:r>
      <w:r w:rsidRPr="004D2BC3">
        <w:t xml:space="preserve"> embedding vectors from Meta’s ESM2 protein language model (esm2_t33_650M_UR50S) for every possible single amino-acid substitution in the 42-residue Aβ</w:t>
      </w:r>
      <w:r w:rsidRPr="00551650">
        <w:rPr>
          <w:vertAlign w:val="subscript"/>
        </w:rPr>
        <w:t>42</w:t>
      </w:r>
      <w:r w:rsidRPr="004D2BC3">
        <w:t xml:space="preserve"> peptide. Each table row is </w:t>
      </w:r>
      <w:proofErr w:type="spellStart"/>
      <w:r w:rsidRPr="004D2BC3">
        <w:t>labeled</w:t>
      </w:r>
      <w:proofErr w:type="spellEnd"/>
      <w:r w:rsidRPr="004D2BC3">
        <w:t xml:space="preserve"> by position and contains the full per-sequence embedding suitable for downstream machine-learning analyses</w:t>
      </w:r>
      <w:r w:rsidR="007A4D2A">
        <w:t>.</w:t>
      </w:r>
      <w:r w:rsidR="00D10470">
        <w:t xml:space="preserve"> </w:t>
      </w:r>
    </w:p>
    <w:p w14:paraId="1B547B08" w14:textId="22F27C97" w:rsidR="00FD31D9" w:rsidRPr="005A2FFA" w:rsidRDefault="00FD31D9" w:rsidP="00FD31D9">
      <w:pPr>
        <w:pStyle w:val="ListParagraph"/>
        <w:numPr>
          <w:ilvl w:val="0"/>
          <w:numId w:val="3"/>
        </w:numPr>
      </w:pP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14/DOI_SHAP.xlsx</w:t>
      </w:r>
    </w:p>
    <w:p w14:paraId="1FEB276E" w14:textId="3C1B3848" w:rsidR="00FD31D9" w:rsidRPr="00142967" w:rsidRDefault="005D3B7C" w:rsidP="005D7200">
      <w:pPr>
        <w:pStyle w:val="ListParagraph"/>
        <w:numPr>
          <w:ilvl w:val="1"/>
          <w:numId w:val="3"/>
        </w:numPr>
      </w:pPr>
      <w:r>
        <w:t xml:space="preserve">Contains the underlying data used to produce the SHAP </w:t>
      </w:r>
      <w:proofErr w:type="spellStart"/>
      <w:r>
        <w:t>beeswarm</w:t>
      </w:r>
      <w:proofErr w:type="spellEnd"/>
      <w:r>
        <w:t xml:space="preserve"> plot for the top 10 most important features of the median</w:t>
      </w:r>
      <w:r w:rsidR="00735B4F">
        <w:t xml:space="preserve"> R</w:t>
      </w:r>
      <w:r w:rsidR="00735B4F">
        <w:rPr>
          <w:vertAlign w:val="superscript"/>
        </w:rPr>
        <w:t>2</w:t>
      </w:r>
      <w:r w:rsidR="00735B4F">
        <w:t xml:space="preserve"> scoring</w:t>
      </w:r>
      <w:r>
        <w:t xml:space="preserve"> Random Forest</w:t>
      </w:r>
      <w:r w:rsidR="00735B4F">
        <w:t xml:space="preserve"> model.</w:t>
      </w:r>
    </w:p>
    <w:p w14:paraId="04D60DE2" w14:textId="17E774D0" w:rsidR="004959BB" w:rsidRPr="0076457C" w:rsidRDefault="004959BB" w:rsidP="006817D2">
      <w:pPr>
        <w:pStyle w:val="ListParagraph"/>
        <w:ind w:left="1440"/>
      </w:pPr>
    </w:p>
    <w:p w14:paraId="75C293F9" w14:textId="77777777" w:rsidR="0099197E" w:rsidRPr="005F4F7D" w:rsidRDefault="0099197E" w:rsidP="005F4F7D">
      <w:pPr>
        <w:ind w:left="1080"/>
        <w:rPr>
          <w:b/>
          <w:bCs/>
        </w:rPr>
      </w:pPr>
    </w:p>
    <w:p w14:paraId="26D4E301" w14:textId="3A9B3679" w:rsidR="00925117" w:rsidRDefault="00925117" w:rsidP="0092511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Other Notes</w:t>
      </w:r>
    </w:p>
    <w:p w14:paraId="507AF163" w14:textId="2063A13B" w:rsidR="00925117" w:rsidRPr="00303AFE" w:rsidRDefault="00925117" w:rsidP="00925117">
      <w:pPr>
        <w:pStyle w:val="ListParagraph"/>
        <w:numPr>
          <w:ilvl w:val="0"/>
          <w:numId w:val="5"/>
        </w:numPr>
      </w:pPr>
      <w:r>
        <w:t xml:space="preserve">Data to create supplementary figure 4 and 5 present in </w:t>
      </w: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/Figure_2/</w:t>
      </w:r>
      <w:r>
        <w:rPr>
          <w:b/>
          <w:bCs/>
        </w:rPr>
        <w:t>Heatmap</w:t>
      </w:r>
      <w:r w:rsidRPr="004B1655">
        <w:rPr>
          <w:b/>
          <w:bCs/>
        </w:rPr>
        <w:t>.</w:t>
      </w:r>
      <w:r>
        <w:rPr>
          <w:b/>
          <w:bCs/>
        </w:rPr>
        <w:t>xlsx</w:t>
      </w:r>
    </w:p>
    <w:p w14:paraId="6656A086" w14:textId="195D0F99" w:rsidR="00925117" w:rsidRDefault="00925117" w:rsidP="00925117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Data to create supplementary figure 7 present in </w:t>
      </w:r>
      <w:proofErr w:type="spellStart"/>
      <w:r w:rsidRPr="004B1655">
        <w:rPr>
          <w:b/>
          <w:bCs/>
        </w:rPr>
        <w:t>Main_Figures</w:t>
      </w:r>
      <w:proofErr w:type="spellEnd"/>
      <w:r w:rsidRPr="004B1655">
        <w:rPr>
          <w:b/>
          <w:bCs/>
        </w:rPr>
        <w:t>/Figure_2/</w:t>
      </w:r>
      <w:r>
        <w:rPr>
          <w:b/>
          <w:bCs/>
        </w:rPr>
        <w:t>Heatmap</w:t>
      </w:r>
      <w:r w:rsidRPr="004B1655">
        <w:rPr>
          <w:b/>
          <w:bCs/>
        </w:rPr>
        <w:t>.</w:t>
      </w:r>
      <w:r>
        <w:rPr>
          <w:b/>
          <w:bCs/>
        </w:rPr>
        <w:t xml:space="preserve">xlsx, </w:t>
      </w: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6</w:t>
      </w:r>
      <w:r w:rsidRPr="00AA328A">
        <w:rPr>
          <w:b/>
          <w:bCs/>
        </w:rPr>
        <w:t>/</w:t>
      </w:r>
      <w:r>
        <w:rPr>
          <w:b/>
          <w:bCs/>
        </w:rPr>
        <w:t xml:space="preserve">sup35p_ab42.xlsx </w:t>
      </w:r>
      <w:r>
        <w:t xml:space="preserve">and </w:t>
      </w:r>
      <w:r w:rsidRPr="00AA328A">
        <w:rPr>
          <w:b/>
          <w:bCs/>
        </w:rPr>
        <w:t>/</w:t>
      </w:r>
      <w:proofErr w:type="spellStart"/>
      <w:r>
        <w:rPr>
          <w:b/>
          <w:bCs/>
        </w:rPr>
        <w:t>Supplementary_Figures</w:t>
      </w:r>
      <w:proofErr w:type="spellEnd"/>
      <w:r w:rsidRPr="00AA328A">
        <w:rPr>
          <w:b/>
          <w:bCs/>
        </w:rPr>
        <w:t>/</w:t>
      </w:r>
      <w:r>
        <w:rPr>
          <w:b/>
          <w:bCs/>
        </w:rPr>
        <w:t>s</w:t>
      </w:r>
      <w:r w:rsidRPr="00AA328A">
        <w:rPr>
          <w:b/>
          <w:bCs/>
        </w:rPr>
        <w:t>Figure_</w:t>
      </w:r>
      <w:r>
        <w:rPr>
          <w:b/>
          <w:bCs/>
        </w:rPr>
        <w:t>6</w:t>
      </w:r>
      <w:r w:rsidRPr="00AA328A">
        <w:rPr>
          <w:b/>
          <w:bCs/>
        </w:rPr>
        <w:t>/</w:t>
      </w:r>
      <w:r>
        <w:rPr>
          <w:b/>
          <w:bCs/>
        </w:rPr>
        <w:t>DHFR_ab42.xlsx</w:t>
      </w:r>
    </w:p>
    <w:p w14:paraId="5F9119D5" w14:textId="4DDE83FB" w:rsidR="00925117" w:rsidRPr="00224F08" w:rsidRDefault="00EC5A0B" w:rsidP="00EC5A0B">
      <w:pPr>
        <w:pStyle w:val="ListParagraph"/>
        <w:numPr>
          <w:ilvl w:val="0"/>
          <w:numId w:val="3"/>
        </w:numPr>
        <w:rPr>
          <w:b/>
          <w:bCs/>
        </w:rPr>
      </w:pPr>
      <w:r>
        <w:t>Colour</w:t>
      </w:r>
      <w:r w:rsidR="00224F08">
        <w:t xml:space="preserve"> </w:t>
      </w:r>
      <w:r>
        <w:t xml:space="preserve">scale for </w:t>
      </w:r>
      <w:r w:rsidR="00FC283B">
        <w:t xml:space="preserve">supplementary figure 8 is consistent with </w:t>
      </w:r>
      <w:r w:rsidR="00224F08">
        <w:t>Figure 2.</w:t>
      </w:r>
    </w:p>
    <w:p w14:paraId="255BE316" w14:textId="77777777" w:rsidR="00A623C9" w:rsidRPr="00065B9D" w:rsidRDefault="00076D54" w:rsidP="00A623C9">
      <w:pPr>
        <w:pStyle w:val="ListParagraph"/>
        <w:numPr>
          <w:ilvl w:val="0"/>
          <w:numId w:val="10"/>
        </w:numPr>
      </w:pPr>
      <w:r>
        <w:t>Supplementary figure</w:t>
      </w:r>
      <w:r w:rsidR="00CF3DB4">
        <w:t>s</w:t>
      </w:r>
      <w:r>
        <w:t xml:space="preserve"> 15-19</w:t>
      </w:r>
      <w:r w:rsidR="00CF3DB4">
        <w:t xml:space="preserve"> were created using data present in</w:t>
      </w:r>
      <w:r w:rsidR="00A623C9">
        <w:t xml:space="preserve"> </w:t>
      </w:r>
      <w:proofErr w:type="spellStart"/>
      <w:r w:rsidR="00A623C9" w:rsidRPr="00CE5325">
        <w:rPr>
          <w:b/>
          <w:bCs/>
        </w:rPr>
        <w:t>Main_Figures</w:t>
      </w:r>
      <w:proofErr w:type="spellEnd"/>
      <w:r w:rsidR="00A623C9" w:rsidRPr="00CE5325">
        <w:rPr>
          <w:b/>
          <w:bCs/>
        </w:rPr>
        <w:t>/Figure_5</w:t>
      </w:r>
      <w:r w:rsidR="00A623C9">
        <w:t>/</w:t>
      </w:r>
      <w:proofErr w:type="spellStart"/>
      <w:r w:rsidR="00A623C9" w:rsidRPr="00CE5325">
        <w:rPr>
          <w:b/>
          <w:bCs/>
        </w:rPr>
        <w:t>ML_Predictions_and_FoldX</w:t>
      </w:r>
      <w:proofErr w:type="spellEnd"/>
    </w:p>
    <w:p w14:paraId="238F75CD" w14:textId="512398B6" w:rsidR="00224F08" w:rsidRPr="00925117" w:rsidRDefault="00224F08" w:rsidP="004D4CED">
      <w:pPr>
        <w:pStyle w:val="ListParagraph"/>
        <w:rPr>
          <w:b/>
          <w:bCs/>
        </w:rPr>
      </w:pPr>
    </w:p>
    <w:p w14:paraId="4A7A0ECB" w14:textId="5905B92C" w:rsidR="00FF6C76" w:rsidRPr="005F4F7D" w:rsidRDefault="00FF6C76" w:rsidP="005F4F7D">
      <w:pPr>
        <w:rPr>
          <w:b/>
          <w:bCs/>
        </w:rPr>
      </w:pPr>
    </w:p>
    <w:p w14:paraId="0FB2700E" w14:textId="5EC2C053" w:rsidR="003223D0" w:rsidRPr="007E7FFE" w:rsidRDefault="003223D0" w:rsidP="00E21C47">
      <w:pPr>
        <w:ind w:left="1080"/>
      </w:pPr>
    </w:p>
    <w:p w14:paraId="3CE09B4B" w14:textId="77777777" w:rsidR="003223D0" w:rsidRDefault="003223D0" w:rsidP="002D4882">
      <w:pPr>
        <w:pStyle w:val="ListParagraph"/>
        <w:ind w:left="1440"/>
      </w:pPr>
    </w:p>
    <w:p w14:paraId="1B96A4A2" w14:textId="77777777" w:rsidR="00DA2A15" w:rsidRDefault="00DA2A15" w:rsidP="00DA2A15">
      <w:pPr>
        <w:pStyle w:val="ListParagraph"/>
        <w:ind w:left="1440"/>
      </w:pPr>
    </w:p>
    <w:p w14:paraId="55E34E19" w14:textId="77777777" w:rsidR="007E7FFE" w:rsidRPr="007E7FFE" w:rsidRDefault="007E7FFE" w:rsidP="007E7FFE">
      <w:r w:rsidRPr="007E7FFE">
        <w:t>5. METHODS</w:t>
      </w:r>
    </w:p>
    <w:p w14:paraId="0C37E8C8" w14:textId="77777777" w:rsidR="007E7FFE" w:rsidRPr="007E7FFE" w:rsidRDefault="007E7FFE" w:rsidP="007E7FFE">
      <w:r w:rsidRPr="007E7FFE">
        <w:t>----------</w:t>
      </w:r>
    </w:p>
    <w:p w14:paraId="57E9F003" w14:textId="77777777" w:rsidR="007E7FFE" w:rsidRPr="007E7FFE" w:rsidRDefault="007E7FFE" w:rsidP="007E7FFE"/>
    <w:p w14:paraId="71993191" w14:textId="3C596B1C" w:rsidR="000B039A" w:rsidRDefault="00AD3241">
      <w:r>
        <w:t xml:space="preserve">See manuscript for full methods: </w:t>
      </w:r>
      <w:r w:rsidRPr="006A2FC1">
        <w:t xml:space="preserve">McKay, C. E., Deans, M., Connor, J., Saunders, J. C., Lloyd, C., Radford, S. E. &amp; Brockwell, D. J. Employing Deep Mutational Scanning in the </w:t>
      </w:r>
      <w:r w:rsidRPr="006A2FC1">
        <w:rPr>
          <w:i/>
          <w:iCs/>
        </w:rPr>
        <w:t>E. coli</w:t>
      </w:r>
      <w:r w:rsidRPr="006A2FC1">
        <w:t xml:space="preserve"> Periplasm to Decode the Thermodynamic Landscape for Amyloid Formation. </w:t>
      </w:r>
      <w:r w:rsidRPr="006A2FC1">
        <w:rPr>
          <w:i/>
          <w:iCs/>
        </w:rPr>
        <w:t>Proceedings of the National Academy of Sciences</w:t>
      </w:r>
      <w:r w:rsidRPr="006A2FC1">
        <w:t xml:space="preserve"> (</w:t>
      </w:r>
      <w:r>
        <w:t>in preparation</w:t>
      </w:r>
      <w:r w:rsidRPr="006A2FC1">
        <w:t>, 2025).</w:t>
      </w:r>
    </w:p>
    <w:sectPr w:rsidR="000B0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655"/>
    <w:multiLevelType w:val="multilevel"/>
    <w:tmpl w:val="4200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F1EF0"/>
    <w:multiLevelType w:val="hybridMultilevel"/>
    <w:tmpl w:val="3E8E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5DA2"/>
    <w:multiLevelType w:val="multilevel"/>
    <w:tmpl w:val="BEF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41557"/>
    <w:multiLevelType w:val="multilevel"/>
    <w:tmpl w:val="9CC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850FB"/>
    <w:multiLevelType w:val="hybridMultilevel"/>
    <w:tmpl w:val="04F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E71"/>
    <w:multiLevelType w:val="hybridMultilevel"/>
    <w:tmpl w:val="CEE0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D4216"/>
    <w:multiLevelType w:val="multilevel"/>
    <w:tmpl w:val="264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E7BCD"/>
    <w:multiLevelType w:val="hybridMultilevel"/>
    <w:tmpl w:val="FDBA6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01CB5"/>
    <w:multiLevelType w:val="multilevel"/>
    <w:tmpl w:val="0F1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272DD"/>
    <w:multiLevelType w:val="hybridMultilevel"/>
    <w:tmpl w:val="61F6844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E8356B"/>
    <w:multiLevelType w:val="hybridMultilevel"/>
    <w:tmpl w:val="21D69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652B51"/>
    <w:multiLevelType w:val="hybridMultilevel"/>
    <w:tmpl w:val="6F76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4208D"/>
    <w:multiLevelType w:val="multilevel"/>
    <w:tmpl w:val="CEA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801455">
    <w:abstractNumId w:val="6"/>
  </w:num>
  <w:num w:numId="2" w16cid:durableId="850340964">
    <w:abstractNumId w:val="5"/>
  </w:num>
  <w:num w:numId="3" w16cid:durableId="397096404">
    <w:abstractNumId w:val="11"/>
  </w:num>
  <w:num w:numId="4" w16cid:durableId="930508028">
    <w:abstractNumId w:val="2"/>
  </w:num>
  <w:num w:numId="5" w16cid:durableId="260916208">
    <w:abstractNumId w:val="4"/>
  </w:num>
  <w:num w:numId="6" w16cid:durableId="1470395176">
    <w:abstractNumId w:val="12"/>
  </w:num>
  <w:num w:numId="7" w16cid:durableId="1351907194">
    <w:abstractNumId w:val="10"/>
  </w:num>
  <w:num w:numId="8" w16cid:durableId="151606155">
    <w:abstractNumId w:val="9"/>
  </w:num>
  <w:num w:numId="9" w16cid:durableId="755634264">
    <w:abstractNumId w:val="8"/>
  </w:num>
  <w:num w:numId="10" w16cid:durableId="779376073">
    <w:abstractNumId w:val="7"/>
  </w:num>
  <w:num w:numId="11" w16cid:durableId="1146825828">
    <w:abstractNumId w:val="3"/>
  </w:num>
  <w:num w:numId="12" w16cid:durableId="373428744">
    <w:abstractNumId w:val="0"/>
  </w:num>
  <w:num w:numId="13" w16cid:durableId="175898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FE"/>
    <w:rsid w:val="000101D7"/>
    <w:rsid w:val="00026330"/>
    <w:rsid w:val="00064581"/>
    <w:rsid w:val="00065B9D"/>
    <w:rsid w:val="00076D54"/>
    <w:rsid w:val="000A7DBD"/>
    <w:rsid w:val="000B039A"/>
    <w:rsid w:val="00130C9F"/>
    <w:rsid w:val="001422E4"/>
    <w:rsid w:val="00142967"/>
    <w:rsid w:val="001B2AC8"/>
    <w:rsid w:val="001E6839"/>
    <w:rsid w:val="001E6B9E"/>
    <w:rsid w:val="001F73A4"/>
    <w:rsid w:val="00200EC6"/>
    <w:rsid w:val="0020100D"/>
    <w:rsid w:val="00224F08"/>
    <w:rsid w:val="00225EF3"/>
    <w:rsid w:val="0026389C"/>
    <w:rsid w:val="002901AA"/>
    <w:rsid w:val="002B596E"/>
    <w:rsid w:val="002D4882"/>
    <w:rsid w:val="00302188"/>
    <w:rsid w:val="00303AFE"/>
    <w:rsid w:val="003223D0"/>
    <w:rsid w:val="0032696A"/>
    <w:rsid w:val="00335609"/>
    <w:rsid w:val="00365FA6"/>
    <w:rsid w:val="003B00B0"/>
    <w:rsid w:val="003B2D7B"/>
    <w:rsid w:val="003D0654"/>
    <w:rsid w:val="003E5A02"/>
    <w:rsid w:val="003F3D17"/>
    <w:rsid w:val="003F665B"/>
    <w:rsid w:val="00435D1B"/>
    <w:rsid w:val="004959BB"/>
    <w:rsid w:val="004B1655"/>
    <w:rsid w:val="004B4296"/>
    <w:rsid w:val="004D2BC3"/>
    <w:rsid w:val="004D4CED"/>
    <w:rsid w:val="0051796D"/>
    <w:rsid w:val="00521550"/>
    <w:rsid w:val="00540030"/>
    <w:rsid w:val="00551650"/>
    <w:rsid w:val="005A2FFA"/>
    <w:rsid w:val="005D3B7C"/>
    <w:rsid w:val="005D7200"/>
    <w:rsid w:val="005F2A78"/>
    <w:rsid w:val="005F36D7"/>
    <w:rsid w:val="005F4F7D"/>
    <w:rsid w:val="00626169"/>
    <w:rsid w:val="0065640B"/>
    <w:rsid w:val="0066050C"/>
    <w:rsid w:val="00662301"/>
    <w:rsid w:val="006817D2"/>
    <w:rsid w:val="00681EDD"/>
    <w:rsid w:val="006A2FC1"/>
    <w:rsid w:val="006D535B"/>
    <w:rsid w:val="00706C7A"/>
    <w:rsid w:val="0073091C"/>
    <w:rsid w:val="00735B4F"/>
    <w:rsid w:val="0076457C"/>
    <w:rsid w:val="007741D3"/>
    <w:rsid w:val="0078573D"/>
    <w:rsid w:val="007A4682"/>
    <w:rsid w:val="007A4D2A"/>
    <w:rsid w:val="007C7F5D"/>
    <w:rsid w:val="007D664C"/>
    <w:rsid w:val="007E20A6"/>
    <w:rsid w:val="007E7FFE"/>
    <w:rsid w:val="008028AB"/>
    <w:rsid w:val="00855D56"/>
    <w:rsid w:val="0085660A"/>
    <w:rsid w:val="00872B51"/>
    <w:rsid w:val="0087674D"/>
    <w:rsid w:val="00884E76"/>
    <w:rsid w:val="00892BBC"/>
    <w:rsid w:val="008B3733"/>
    <w:rsid w:val="008B4D6D"/>
    <w:rsid w:val="008E5751"/>
    <w:rsid w:val="00915941"/>
    <w:rsid w:val="00921FD4"/>
    <w:rsid w:val="00925117"/>
    <w:rsid w:val="00932A9D"/>
    <w:rsid w:val="00937C60"/>
    <w:rsid w:val="00953187"/>
    <w:rsid w:val="0095399C"/>
    <w:rsid w:val="0099197E"/>
    <w:rsid w:val="009B6480"/>
    <w:rsid w:val="009C5626"/>
    <w:rsid w:val="009D546D"/>
    <w:rsid w:val="009D6F5B"/>
    <w:rsid w:val="009E218F"/>
    <w:rsid w:val="009E76C7"/>
    <w:rsid w:val="00A31520"/>
    <w:rsid w:val="00A57433"/>
    <w:rsid w:val="00A623C9"/>
    <w:rsid w:val="00A62713"/>
    <w:rsid w:val="00A97C60"/>
    <w:rsid w:val="00AA328A"/>
    <w:rsid w:val="00AD3241"/>
    <w:rsid w:val="00B1727C"/>
    <w:rsid w:val="00B23501"/>
    <w:rsid w:val="00B3681F"/>
    <w:rsid w:val="00B37E40"/>
    <w:rsid w:val="00B5343A"/>
    <w:rsid w:val="00B5372C"/>
    <w:rsid w:val="00B55F5B"/>
    <w:rsid w:val="00B727D0"/>
    <w:rsid w:val="00B72C65"/>
    <w:rsid w:val="00BE1387"/>
    <w:rsid w:val="00BE6873"/>
    <w:rsid w:val="00C06CED"/>
    <w:rsid w:val="00C14F41"/>
    <w:rsid w:val="00C21D6B"/>
    <w:rsid w:val="00C4226C"/>
    <w:rsid w:val="00C86D79"/>
    <w:rsid w:val="00CB2E38"/>
    <w:rsid w:val="00CB740A"/>
    <w:rsid w:val="00CD5A58"/>
    <w:rsid w:val="00CE5325"/>
    <w:rsid w:val="00CF3DB4"/>
    <w:rsid w:val="00D10470"/>
    <w:rsid w:val="00D33E97"/>
    <w:rsid w:val="00D40037"/>
    <w:rsid w:val="00D56CF2"/>
    <w:rsid w:val="00D73A77"/>
    <w:rsid w:val="00DA2A15"/>
    <w:rsid w:val="00DB4583"/>
    <w:rsid w:val="00DD2B35"/>
    <w:rsid w:val="00DE349E"/>
    <w:rsid w:val="00DE6A62"/>
    <w:rsid w:val="00E15D09"/>
    <w:rsid w:val="00E21C47"/>
    <w:rsid w:val="00E30E57"/>
    <w:rsid w:val="00E472AC"/>
    <w:rsid w:val="00EA44E8"/>
    <w:rsid w:val="00EC5A0B"/>
    <w:rsid w:val="00ED22C1"/>
    <w:rsid w:val="00ED62C3"/>
    <w:rsid w:val="00F00695"/>
    <w:rsid w:val="00F10B42"/>
    <w:rsid w:val="00F10F19"/>
    <w:rsid w:val="00F2681C"/>
    <w:rsid w:val="00F4167C"/>
    <w:rsid w:val="00F71D37"/>
    <w:rsid w:val="00FC283B"/>
    <w:rsid w:val="00FD31D9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BE0F"/>
  <w15:chartTrackingRefBased/>
  <w15:docId w15:val="{EC92EC6E-4FD3-4EB7-8243-A134259A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F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72AC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E472AC"/>
  </w:style>
  <w:style w:type="character" w:styleId="UnresolvedMention">
    <w:name w:val="Unresolved Mention"/>
    <w:basedOn w:val="DefaultParagraphFont"/>
    <w:uiPriority w:val="99"/>
    <w:semiHidden/>
    <w:unhideWhenUsed/>
    <w:rsid w:val="009B648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7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2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e.radford@leeds.ac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j.brockwell@leed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or_mckay98@ao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03.safelinks.protection.outlook.com/?url=https%3A%2F%2Fdoi.org%2F10.5518%2F1653&amp;data=05%7C02%7Cbscem%40leeds.ac.uk%7C42976ab7d9cd42c03c6b08dd5d550c71%7Cbdeaeda8c81d45ce863e5232a535b7cb%7C0%7C0%7C638769342037696596%7CUnknown%7CTWFpbGZsb3d8eyJFbXB0eU1hcGkiOnRydWUsIlYiOiIwLjAuMDAwMCIsIlAiOiJXaW4zMiIsIkFOIjoiTWFpbCIsIldUIjoyfQ%3D%3D%7C0%7C%7C%7C&amp;sdata=%2BbreSsqxvucO8fkle6bQYDPYu6Y2ih5HCFfbXU4M38A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.j.brockwell@leeds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855d489124c00489e273ad516665d482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b4cc50d5a7126749e578fa96a9e405f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531A7-986C-47CA-9918-0F16E2090114}">
  <ds:schemaRefs>
    <ds:schemaRef ds:uri="http://schemas.microsoft.com/office/2006/metadata/properties"/>
    <ds:schemaRef ds:uri="http://schemas.microsoft.com/office/infopath/2007/PartnerControls"/>
    <ds:schemaRef ds:uri="1c66cb88-db77-4d42-9dc4-fb37066edc24"/>
    <ds:schemaRef ds:uri="7cf861dc-a431-4ef3-8baf-d03d54e74a07"/>
  </ds:schemaRefs>
</ds:datastoreItem>
</file>

<file path=customXml/itemProps2.xml><?xml version="1.0" encoding="utf-8"?>
<ds:datastoreItem xmlns:ds="http://schemas.openxmlformats.org/officeDocument/2006/customXml" ds:itemID="{F0BE1C92-A4DB-43C1-AA47-E36FAC490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DB76D-2E2D-46C2-9D0E-9E1ACB67A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6cb88-db77-4d42-9dc4-fb37066edc24"/>
    <ds:schemaRef ds:uri="7cf861dc-a431-4ef3-8baf-d03d54e74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McKay</dc:creator>
  <cp:keywords/>
  <dc:description/>
  <cp:lastModifiedBy>Rachel Proudfoot</cp:lastModifiedBy>
  <cp:revision>148</cp:revision>
  <dcterms:created xsi:type="dcterms:W3CDTF">2025-05-27T06:33:00Z</dcterms:created>
  <dcterms:modified xsi:type="dcterms:W3CDTF">2025-06-03T16:18:00Z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id="hcYU3cEj"/&gt;&lt;style id="http://www.zotero.org/styles/ieee" locale="en-GB" hasBibliography="1" bibliographyStyleHasBeenSet="0"/&gt;&lt;prefs&gt;&lt;pref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  <property fmtid="{D5CDD505-2E9C-101B-9397-08002B2CF9AE}" pid="4" name="ContentTypeId">
    <vt:lpwstr>0x01010068AEB3905992E54BBAD901A47ED1CA8C</vt:lpwstr>
  </property>
</Properties>
</file>